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diagrams/data25.xml" ContentType="application/vnd.openxmlformats-officedocument.drawingml.diagramData+xml"/>
  <Override PartName="/word/diagrams/layout25.xml" ContentType="application/vnd.openxmlformats-officedocument.drawingml.diagramLayout+xml"/>
  <Override PartName="/word/diagrams/quickStyle25.xml" ContentType="application/vnd.openxmlformats-officedocument.drawingml.diagramStyle+xml"/>
  <Override PartName="/word/diagrams/colors25.xml" ContentType="application/vnd.openxmlformats-officedocument.drawingml.diagramColors+xml"/>
  <Override PartName="/word/diagrams/drawing25.xml" ContentType="application/vnd.ms-office.drawingml.diagramDrawing+xml"/>
  <Override PartName="/word/diagrams/data26.xml" ContentType="application/vnd.openxmlformats-officedocument.drawingml.diagramData+xml"/>
  <Override PartName="/word/diagrams/layout26.xml" ContentType="application/vnd.openxmlformats-officedocument.drawingml.diagramLayout+xml"/>
  <Override PartName="/word/diagrams/quickStyle26.xml" ContentType="application/vnd.openxmlformats-officedocument.drawingml.diagramStyle+xml"/>
  <Override PartName="/word/diagrams/colors26.xml" ContentType="application/vnd.openxmlformats-officedocument.drawingml.diagramColors+xml"/>
  <Override PartName="/word/diagrams/drawing26.xml" ContentType="application/vnd.ms-office.drawingml.diagramDrawing+xml"/>
  <Override PartName="/word/diagrams/data27.xml" ContentType="application/vnd.openxmlformats-officedocument.drawingml.diagramData+xml"/>
  <Override PartName="/word/diagrams/layout27.xml" ContentType="application/vnd.openxmlformats-officedocument.drawingml.diagramLayout+xml"/>
  <Override PartName="/word/diagrams/quickStyle27.xml" ContentType="application/vnd.openxmlformats-officedocument.drawingml.diagramStyle+xml"/>
  <Override PartName="/word/diagrams/colors27.xml" ContentType="application/vnd.openxmlformats-officedocument.drawingml.diagramColors+xml"/>
  <Override PartName="/word/diagrams/drawing27.xml" ContentType="application/vnd.ms-office.drawingml.diagramDrawing+xml"/>
  <Override PartName="/word/diagrams/data28.xml" ContentType="application/vnd.openxmlformats-officedocument.drawingml.diagramData+xml"/>
  <Override PartName="/word/diagrams/layout28.xml" ContentType="application/vnd.openxmlformats-officedocument.drawingml.diagramLayout+xml"/>
  <Override PartName="/word/diagrams/quickStyle28.xml" ContentType="application/vnd.openxmlformats-officedocument.drawingml.diagramStyle+xml"/>
  <Override PartName="/word/diagrams/colors28.xml" ContentType="application/vnd.openxmlformats-officedocument.drawingml.diagramColors+xml"/>
  <Override PartName="/word/diagrams/drawing28.xml" ContentType="application/vnd.ms-office.drawingml.diagramDrawing+xml"/>
  <Override PartName="/word/diagrams/data29.xml" ContentType="application/vnd.openxmlformats-officedocument.drawingml.diagramData+xml"/>
  <Override PartName="/word/diagrams/layout29.xml" ContentType="application/vnd.openxmlformats-officedocument.drawingml.diagramLayout+xml"/>
  <Override PartName="/word/diagrams/quickStyle29.xml" ContentType="application/vnd.openxmlformats-officedocument.drawingml.diagramStyle+xml"/>
  <Override PartName="/word/diagrams/colors29.xml" ContentType="application/vnd.openxmlformats-officedocument.drawingml.diagramColors+xml"/>
  <Override PartName="/word/diagrams/drawing29.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81B5B51" w14:textId="77777777" w:rsidR="00B650E5" w:rsidRPr="000E286B" w:rsidRDefault="0053588C" w:rsidP="00326E7E">
      <w:pPr>
        <w:pStyle w:val="SRK1"/>
        <w:rPr>
          <w:sz w:val="36"/>
        </w:rPr>
      </w:pPr>
      <w:bookmarkStart w:id="0" w:name="_Toc480999588"/>
      <w:bookmarkStart w:id="1" w:name="_Toc495649290"/>
      <w:r>
        <w:rPr>
          <w:noProof/>
        </w:rPr>
        <w:drawing>
          <wp:anchor distT="0" distB="0" distL="114300" distR="114300" simplePos="0" relativeHeight="251668480" behindDoc="0" locked="0" layoutInCell="1" allowOverlap="1" wp14:anchorId="01B16EDF" wp14:editId="0EF718E9">
            <wp:simplePos x="0" y="0"/>
            <wp:positionH relativeFrom="column">
              <wp:posOffset>2339340</wp:posOffset>
            </wp:positionH>
            <wp:positionV relativeFrom="paragraph">
              <wp:posOffset>828675</wp:posOffset>
            </wp:positionV>
            <wp:extent cx="4211320" cy="1362075"/>
            <wp:effectExtent l="0" t="0" r="0" b="9525"/>
            <wp:wrapNone/>
            <wp:docPr id="86"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11320" cy="13620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0" locked="0" layoutInCell="1" allowOverlap="1" wp14:anchorId="38836974" wp14:editId="24716A93">
            <wp:simplePos x="0" y="0"/>
            <wp:positionH relativeFrom="column">
              <wp:posOffset>38100</wp:posOffset>
            </wp:positionH>
            <wp:positionV relativeFrom="paragraph">
              <wp:posOffset>1043305</wp:posOffset>
            </wp:positionV>
            <wp:extent cx="1374775" cy="899795"/>
            <wp:effectExtent l="0" t="0" r="0" b="0"/>
            <wp:wrapNone/>
            <wp:docPr id="85" name="Obrázok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3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74775" cy="89979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9504" behindDoc="0" locked="0" layoutInCell="1" allowOverlap="1" wp14:anchorId="2E123E4E" wp14:editId="0CECF2F5">
                <wp:simplePos x="0" y="0"/>
                <wp:positionH relativeFrom="column">
                  <wp:posOffset>-38100</wp:posOffset>
                </wp:positionH>
                <wp:positionV relativeFrom="paragraph">
                  <wp:posOffset>828675</wp:posOffset>
                </wp:positionV>
                <wp:extent cx="6448425" cy="219075"/>
                <wp:effectExtent l="0" t="0" r="0" b="0"/>
                <wp:wrapNone/>
                <wp:docPr id="84" name="Obdĺžnik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8425" cy="219075"/>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636109A" w14:textId="77777777" w:rsidR="00DF4E07" w:rsidRDefault="00DF4E07" w:rsidP="00997CB0">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E123E4E" id="Obdĺžnik 1035" o:spid="_x0000_s1026" style="position:absolute;margin-left:-3pt;margin-top:65.25pt;width:507.75pt;height:17.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" stroked="f" strokeweight="2pt">
                <v:textbox>
                  <w:txbxContent>
                    <w:p w14:paraId="3636109A" w14:textId="77777777" w:rsidR="00DF4E07" w:rsidRDefault="00DF4E07" w:rsidP="00997CB0">
                      <w:pPr>
                        <w:jc w:val="center"/>
                      </w:pPr>
                    </w:p>
                  </w:txbxContent>
                </v:textbox>
              </v:rect>
            </w:pict>
          </mc:Fallback>
        </mc:AlternateContent>
      </w:r>
      <w:bookmarkEnd w:id="0"/>
      <w:bookmarkEnd w:id="1"/>
    </w:p>
    <w:tbl>
      <w:tblPr>
        <w:tblW w:w="5000" w:type="pct"/>
        <w:jc w:val="center"/>
        <w:tblLook w:val="00A0" w:firstRow="1" w:lastRow="0" w:firstColumn="1" w:lastColumn="0" w:noHBand="0" w:noVBand="0"/>
      </w:tblPr>
      <w:tblGrid>
        <w:gridCol w:w="10051"/>
      </w:tblGrid>
      <w:tr w:rsidR="00B650E5" w14:paraId="5272EB17" w14:textId="77777777">
        <w:trPr>
          <w:trHeight w:val="846"/>
          <w:jc w:val="center"/>
        </w:trPr>
        <w:tc>
          <w:tcPr>
            <w:tcW w:w="5000" w:type="pct"/>
          </w:tcPr>
          <w:p w14:paraId="6C8AF33D" w14:textId="77777777" w:rsidR="00B650E5" w:rsidRDefault="00B650E5" w:rsidP="000E286B">
            <w:pPr>
              <w:spacing w:before="120" w:after="120"/>
              <w:rPr>
                <w:caps/>
              </w:rPr>
            </w:pPr>
            <w:r>
              <w:rPr>
                <w:caps/>
              </w:rPr>
              <w:t xml:space="preserve">                                                         </w:t>
            </w:r>
          </w:p>
          <w:p w14:paraId="29A24992" w14:textId="77777777" w:rsidR="00B650E5" w:rsidRDefault="00B650E5">
            <w:pPr>
              <w:tabs>
                <w:tab w:val="right" w:pos="9000"/>
              </w:tabs>
              <w:spacing w:before="120" w:after="120"/>
              <w:rPr>
                <w:caps/>
              </w:rPr>
            </w:pPr>
          </w:p>
          <w:p w14:paraId="51ED3AC8" w14:textId="77777777" w:rsidR="00B650E5" w:rsidRDefault="00B650E5" w:rsidP="000E286B">
            <w:pPr>
              <w:spacing w:after="120"/>
              <w:ind w:right="7995"/>
              <w:jc w:val="center"/>
              <w:rPr>
                <w:rFonts w:ascii="Arial" w:hAnsi="Arial" w:cs="Arial"/>
                <w:sz w:val="20"/>
                <w:szCs w:val="20"/>
              </w:rPr>
            </w:pPr>
          </w:p>
          <w:p w14:paraId="14F4F535"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Európska únia</w:t>
            </w:r>
          </w:p>
          <w:p w14:paraId="146FB0F9"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Európsky fond</w:t>
            </w:r>
          </w:p>
          <w:p w14:paraId="1BE4F536"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regionálneho</w:t>
            </w:r>
          </w:p>
          <w:p w14:paraId="399FC74C"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rozvoja</w:t>
            </w:r>
          </w:p>
          <w:p w14:paraId="41AD8EAB" w14:textId="77777777" w:rsidR="00B650E5" w:rsidRDefault="00B650E5" w:rsidP="000E286B">
            <w:pPr>
              <w:ind w:right="7995"/>
              <w:jc w:val="center"/>
              <w:rPr>
                <w:caps/>
              </w:rPr>
            </w:pPr>
          </w:p>
          <w:p w14:paraId="3A470AB7" w14:textId="77777777" w:rsidR="00B650E5" w:rsidRDefault="00B650E5">
            <w:pPr>
              <w:spacing w:before="120" w:after="120"/>
              <w:jc w:val="center"/>
              <w:rPr>
                <w:caps/>
                <w:sz w:val="28"/>
                <w:szCs w:val="28"/>
              </w:rPr>
            </w:pPr>
            <w:r>
              <w:rPr>
                <w:caps/>
                <w:sz w:val="28"/>
                <w:szCs w:val="28"/>
              </w:rPr>
              <w:t>Centrálny koordinačný orgán</w:t>
            </w:r>
          </w:p>
        </w:tc>
      </w:tr>
      <w:tr w:rsidR="00B650E5" w14:paraId="46ECCD36" w14:textId="77777777">
        <w:trPr>
          <w:trHeight w:val="846"/>
          <w:jc w:val="center"/>
        </w:trPr>
        <w:tc>
          <w:tcPr>
            <w:tcW w:w="5000" w:type="pct"/>
          </w:tcPr>
          <w:p w14:paraId="1DB1BEAE" w14:textId="700ABB9D" w:rsidR="00B650E5" w:rsidRDefault="00B650E5" w:rsidP="00C93F30">
            <w:pPr>
              <w:spacing w:before="120" w:after="120"/>
              <w:jc w:val="center"/>
              <w:rPr>
                <w:caps/>
              </w:rPr>
            </w:pPr>
            <w:r>
              <w:rPr>
                <w:caps/>
              </w:rPr>
              <w:t xml:space="preserve">Úrad PODPREDSEDU VLáDY SLOVENSKEJ REPUBLIKY PRE INVESTíCIE </w:t>
            </w:r>
            <w:r w:rsidR="004E096B">
              <w:rPr>
                <w:caps/>
              </w:rPr>
              <w:t xml:space="preserve">                                    </w:t>
            </w:r>
            <w:r>
              <w:rPr>
                <w:caps/>
              </w:rPr>
              <w:t>A</w:t>
            </w:r>
            <w:r w:rsidR="00C93F30">
              <w:rPr>
                <w:caps/>
              </w:rPr>
              <w:t xml:space="preserve"> </w:t>
            </w:r>
            <w:r>
              <w:rPr>
                <w:caps/>
              </w:rPr>
              <w:t>INFORMATIZÁCIU</w:t>
            </w:r>
          </w:p>
        </w:tc>
      </w:tr>
      <w:tr w:rsidR="00B650E5" w14:paraId="041C184D" w14:textId="77777777">
        <w:trPr>
          <w:trHeight w:val="1440"/>
          <w:jc w:val="center"/>
        </w:trPr>
        <w:tc>
          <w:tcPr>
            <w:tcW w:w="5000" w:type="pct"/>
            <w:tcBorders>
              <w:bottom w:val="single" w:sz="4" w:space="0" w:color="4F81BD"/>
            </w:tcBorders>
            <w:vAlign w:val="center"/>
          </w:tcPr>
          <w:p w14:paraId="05896CB5" w14:textId="77777777" w:rsidR="00B650E5" w:rsidRPr="000E286B" w:rsidRDefault="00B650E5">
            <w:pPr>
              <w:spacing w:before="120" w:after="120"/>
              <w:jc w:val="center"/>
              <w:rPr>
                <w:rFonts w:ascii="Calibri" w:hAnsi="Calibri"/>
                <w:sz w:val="80"/>
                <w:szCs w:val="80"/>
              </w:rPr>
            </w:pPr>
            <w:r w:rsidRPr="000E286B">
              <w:rPr>
                <w:rFonts w:ascii="Calibri" w:hAnsi="Calibri"/>
                <w:color w:val="1E4E9D"/>
                <w:sz w:val="80"/>
                <w:szCs w:val="80"/>
              </w:rPr>
              <w:t>Systém riadenia európskych štrukturálnych a investičných fondov</w:t>
            </w:r>
          </w:p>
        </w:tc>
      </w:tr>
      <w:tr w:rsidR="00B650E5" w14:paraId="6A681DF7" w14:textId="77777777">
        <w:trPr>
          <w:trHeight w:val="720"/>
          <w:jc w:val="center"/>
        </w:trPr>
        <w:tc>
          <w:tcPr>
            <w:tcW w:w="5000" w:type="pct"/>
            <w:tcBorders>
              <w:top w:val="single" w:sz="4" w:space="0" w:color="4F81BD"/>
            </w:tcBorders>
            <w:vAlign w:val="center"/>
          </w:tcPr>
          <w:p w14:paraId="44DCEC75" w14:textId="77777777" w:rsidR="00B650E5" w:rsidRDefault="00B650E5">
            <w:pPr>
              <w:spacing w:before="120" w:after="120"/>
              <w:jc w:val="center"/>
              <w:rPr>
                <w:sz w:val="44"/>
                <w:szCs w:val="44"/>
              </w:rPr>
            </w:pPr>
            <w:r>
              <w:rPr>
                <w:sz w:val="44"/>
                <w:szCs w:val="44"/>
              </w:rPr>
              <w:t>Programové obdobie 2014 - 2020</w:t>
            </w:r>
          </w:p>
        </w:tc>
      </w:tr>
      <w:tr w:rsidR="00B650E5" w14:paraId="74434683" w14:textId="77777777">
        <w:trPr>
          <w:trHeight w:val="360"/>
          <w:jc w:val="center"/>
        </w:trPr>
        <w:tc>
          <w:tcPr>
            <w:tcW w:w="5000" w:type="pct"/>
            <w:vAlign w:val="center"/>
          </w:tcPr>
          <w:p w14:paraId="3752884A" w14:textId="77777777" w:rsidR="00B650E5" w:rsidRDefault="00B650E5">
            <w:pPr>
              <w:spacing w:before="120" w:after="120"/>
              <w:jc w:val="center"/>
            </w:pPr>
          </w:p>
        </w:tc>
      </w:tr>
      <w:tr w:rsidR="00B650E5" w14:paraId="796647C5" w14:textId="77777777">
        <w:trPr>
          <w:trHeight w:val="360"/>
          <w:jc w:val="center"/>
        </w:trPr>
        <w:tc>
          <w:tcPr>
            <w:tcW w:w="5000" w:type="pct"/>
            <w:vAlign w:val="center"/>
          </w:tcPr>
          <w:p w14:paraId="53F5024E" w14:textId="66CC5D96" w:rsidR="00B650E5" w:rsidRDefault="00B650E5" w:rsidP="00666B7B">
            <w:pPr>
              <w:spacing w:before="120" w:after="120"/>
              <w:jc w:val="center"/>
              <w:rPr>
                <w:b/>
                <w:bCs/>
              </w:rPr>
            </w:pPr>
            <w:r>
              <w:rPr>
                <w:b/>
                <w:bCs/>
              </w:rPr>
              <w:t>Verzia 5</w:t>
            </w:r>
          </w:p>
        </w:tc>
      </w:tr>
      <w:tr w:rsidR="00B650E5" w14:paraId="133C281C" w14:textId="77777777">
        <w:trPr>
          <w:trHeight w:val="360"/>
          <w:jc w:val="center"/>
        </w:trPr>
        <w:tc>
          <w:tcPr>
            <w:tcW w:w="5000" w:type="pct"/>
            <w:vAlign w:val="center"/>
          </w:tcPr>
          <w:p w14:paraId="63DC3DCF" w14:textId="044BF3DE" w:rsidR="00B650E5" w:rsidRDefault="00B650E5" w:rsidP="00666B7B">
            <w:pPr>
              <w:spacing w:before="120" w:after="120"/>
              <w:jc w:val="center"/>
              <w:rPr>
                <w:b/>
                <w:bCs/>
              </w:rPr>
            </w:pPr>
            <w:r w:rsidRPr="00A353D3">
              <w:rPr>
                <w:b/>
                <w:bCs/>
              </w:rPr>
              <w:t>201</w:t>
            </w:r>
            <w:r>
              <w:rPr>
                <w:b/>
                <w:bCs/>
              </w:rPr>
              <w:t>7</w:t>
            </w:r>
          </w:p>
        </w:tc>
      </w:tr>
    </w:tbl>
    <w:p w14:paraId="05DB81F5" w14:textId="77777777" w:rsidR="00B650E5" w:rsidRDefault="00B650E5">
      <w:pPr>
        <w:spacing w:before="120" w:after="120"/>
      </w:pPr>
      <w:bookmarkStart w:id="2" w:name="_GoBack"/>
      <w:bookmarkEnd w:id="2"/>
    </w:p>
    <w:p w14:paraId="511547EE" w14:textId="77777777" w:rsidR="00B650E5" w:rsidRDefault="00B650E5">
      <w:pPr>
        <w:spacing w:before="120" w:after="120"/>
      </w:pPr>
    </w:p>
    <w:tbl>
      <w:tblPr>
        <w:tblpPr w:leftFromText="187" w:rightFromText="187" w:horzAnchor="margin" w:tblpXSpec="center" w:tblpYSpec="bottom"/>
        <w:tblW w:w="5000" w:type="pct"/>
        <w:tblLook w:val="00A0" w:firstRow="1" w:lastRow="0" w:firstColumn="1" w:lastColumn="0" w:noHBand="0" w:noVBand="0"/>
      </w:tblPr>
      <w:tblGrid>
        <w:gridCol w:w="10051"/>
      </w:tblGrid>
      <w:tr w:rsidR="00B650E5" w14:paraId="4D9A9A38" w14:textId="77777777">
        <w:trPr>
          <w:trHeight w:val="87"/>
        </w:trPr>
        <w:tc>
          <w:tcPr>
            <w:tcW w:w="5000" w:type="pct"/>
          </w:tcPr>
          <w:p w14:paraId="38754A95" w14:textId="4E680E36" w:rsidR="00B650E5" w:rsidRDefault="00B650E5">
            <w:pPr>
              <w:spacing w:before="120" w:after="120"/>
            </w:pPr>
            <w:r>
              <w:t xml:space="preserve">Účinnosť od: </w:t>
            </w:r>
            <w:r w:rsidR="00AF4615" w:rsidRPr="00AF4615">
              <w:rPr>
                <w:b/>
              </w:rPr>
              <w:t>13. 10. 2017</w:t>
            </w:r>
          </w:p>
          <w:p w14:paraId="06BAF6CC" w14:textId="0CBDEC93" w:rsidR="00B650E5" w:rsidRDefault="00B650E5" w:rsidP="00F94DD3">
            <w:pPr>
              <w:spacing w:before="120" w:after="120"/>
              <w:ind w:left="1344" w:hanging="1344"/>
            </w:pPr>
            <w:r>
              <w:t xml:space="preserve">Schválil: </w:t>
            </w:r>
            <w:r>
              <w:rPr>
                <w:b/>
              </w:rPr>
              <w:t xml:space="preserve">       </w:t>
            </w:r>
            <w:r w:rsidR="0035413F">
              <w:rPr>
                <w:b/>
              </w:rPr>
              <w:t>Mgr</w:t>
            </w:r>
            <w:r w:rsidR="004E096B">
              <w:rPr>
                <w:b/>
              </w:rPr>
              <w:t>.</w:t>
            </w:r>
            <w:r w:rsidR="0035413F">
              <w:rPr>
                <w:b/>
              </w:rPr>
              <w:t xml:space="preserve"> Patrik Krauspe, vedúci Úradu podpredsedu vlády SR pre investície </w:t>
            </w:r>
            <w:r w:rsidR="004E096B">
              <w:rPr>
                <w:b/>
              </w:rPr>
              <w:t xml:space="preserve">                          </w:t>
            </w:r>
            <w:r w:rsidR="0035413F">
              <w:rPr>
                <w:b/>
              </w:rPr>
              <w:t>a informatizáciu</w:t>
            </w:r>
          </w:p>
        </w:tc>
      </w:tr>
    </w:tbl>
    <w:p w14:paraId="3F1B3355" w14:textId="77777777" w:rsidR="00B650E5" w:rsidRDefault="00B650E5">
      <w:pPr>
        <w:spacing w:before="120" w:after="120"/>
      </w:pPr>
      <w:r>
        <w:br w:type="page"/>
      </w:r>
    </w:p>
    <w:p w14:paraId="118D0751" w14:textId="77777777" w:rsidR="00B650E5" w:rsidRDefault="00B650E5">
      <w:pPr>
        <w:spacing w:before="120" w:after="120"/>
      </w:pPr>
      <w:r>
        <w:rPr>
          <w:b/>
          <w:sz w:val="40"/>
        </w:rPr>
        <w:lastRenderedPageBreak/>
        <w:t>Obsah</w:t>
      </w:r>
    </w:p>
    <w:p w14:paraId="587AB1C5" w14:textId="4E3FC294" w:rsidR="00311C90" w:rsidRDefault="00B650E5">
      <w:pPr>
        <w:pStyle w:val="Obsah1"/>
        <w:rPr>
          <w:rFonts w:asciiTheme="minorHAnsi" w:eastAsiaTheme="minorEastAsia" w:hAnsiTheme="minorHAnsi" w:cstheme="minorBidi"/>
          <w:b w:val="0"/>
          <w:sz w:val="22"/>
          <w:szCs w:val="22"/>
        </w:rPr>
      </w:pPr>
      <w:r>
        <w:rPr>
          <w:sz w:val="22"/>
          <w:szCs w:val="22"/>
        </w:rPr>
        <w:fldChar w:fldCharType="begin"/>
      </w:r>
      <w:r>
        <w:rPr>
          <w:sz w:val="22"/>
          <w:szCs w:val="22"/>
        </w:rPr>
        <w:instrText xml:space="preserve"> TOC \o "1-5" \h \z \u </w:instrText>
      </w:r>
      <w:r>
        <w:rPr>
          <w:sz w:val="22"/>
          <w:szCs w:val="22"/>
        </w:rPr>
        <w:fldChar w:fldCharType="separate"/>
      </w:r>
      <w:hyperlink w:anchor="_Toc495649290" w:history="1">
        <w:r w:rsidR="00311C90">
          <w:rPr>
            <w:webHidden/>
          </w:rPr>
          <w:tab/>
        </w:r>
        <w:r w:rsidR="00311C90">
          <w:rPr>
            <w:webHidden/>
          </w:rPr>
          <w:fldChar w:fldCharType="begin"/>
        </w:r>
        <w:r w:rsidR="00311C90">
          <w:rPr>
            <w:webHidden/>
          </w:rPr>
          <w:instrText xml:space="preserve"> PAGEREF _Toc495649290 \h </w:instrText>
        </w:r>
        <w:r w:rsidR="00311C90">
          <w:rPr>
            <w:webHidden/>
          </w:rPr>
        </w:r>
        <w:r w:rsidR="00311C90">
          <w:rPr>
            <w:webHidden/>
          </w:rPr>
          <w:fldChar w:fldCharType="separate"/>
        </w:r>
        <w:r w:rsidR="00A7472F">
          <w:rPr>
            <w:webHidden/>
          </w:rPr>
          <w:t>1</w:t>
        </w:r>
        <w:r w:rsidR="00311C90">
          <w:rPr>
            <w:webHidden/>
          </w:rPr>
          <w:fldChar w:fldCharType="end"/>
        </w:r>
      </w:hyperlink>
    </w:p>
    <w:p w14:paraId="7602BB77" w14:textId="739001D7" w:rsidR="00311C90" w:rsidRDefault="00D90541">
      <w:pPr>
        <w:pStyle w:val="Obsah1"/>
        <w:rPr>
          <w:rFonts w:asciiTheme="minorHAnsi" w:eastAsiaTheme="minorEastAsia" w:hAnsiTheme="minorHAnsi" w:cstheme="minorBidi"/>
          <w:b w:val="0"/>
          <w:sz w:val="22"/>
          <w:szCs w:val="22"/>
        </w:rPr>
      </w:pPr>
      <w:hyperlink w:anchor="_Toc495649291" w:history="1">
        <w:r w:rsidR="00311C90" w:rsidRPr="007077FC">
          <w:rPr>
            <w:rStyle w:val="Hypertextovprepojenie"/>
          </w:rPr>
          <w:t>Časť 1 Spoločné ustanovenia</w:t>
        </w:r>
        <w:r w:rsidR="00311C90">
          <w:rPr>
            <w:webHidden/>
          </w:rPr>
          <w:tab/>
        </w:r>
        <w:r w:rsidR="00311C90">
          <w:rPr>
            <w:webHidden/>
          </w:rPr>
          <w:fldChar w:fldCharType="begin"/>
        </w:r>
        <w:r w:rsidR="00311C90">
          <w:rPr>
            <w:webHidden/>
          </w:rPr>
          <w:instrText xml:space="preserve"> PAGEREF _Toc495649291 \h </w:instrText>
        </w:r>
        <w:r w:rsidR="00311C90">
          <w:rPr>
            <w:webHidden/>
          </w:rPr>
        </w:r>
        <w:r w:rsidR="00311C90">
          <w:rPr>
            <w:webHidden/>
          </w:rPr>
          <w:fldChar w:fldCharType="separate"/>
        </w:r>
        <w:r w:rsidR="00A7472F">
          <w:rPr>
            <w:webHidden/>
          </w:rPr>
          <w:t>8</w:t>
        </w:r>
        <w:r w:rsidR="00311C90">
          <w:rPr>
            <w:webHidden/>
          </w:rPr>
          <w:fldChar w:fldCharType="end"/>
        </w:r>
      </w:hyperlink>
    </w:p>
    <w:p w14:paraId="61DEA975" w14:textId="79429072" w:rsidR="00311C90" w:rsidRDefault="00D90541">
      <w:pPr>
        <w:pStyle w:val="Obsah2"/>
        <w:rPr>
          <w:rFonts w:asciiTheme="minorHAnsi" w:eastAsiaTheme="minorEastAsia" w:hAnsiTheme="minorHAnsi" w:cstheme="minorBidi"/>
          <w:noProof/>
          <w:sz w:val="22"/>
          <w:szCs w:val="22"/>
        </w:rPr>
      </w:pPr>
      <w:hyperlink w:anchor="_Toc495649292" w:history="1">
        <w:r w:rsidR="00311C90" w:rsidRPr="007077FC">
          <w:rPr>
            <w:rStyle w:val="Hypertextovprepojenie"/>
            <w:noProof/>
          </w:rPr>
          <w:t>1.1 Legislatíva EÚ a SR</w:t>
        </w:r>
        <w:r w:rsidR="00311C90">
          <w:rPr>
            <w:noProof/>
            <w:webHidden/>
          </w:rPr>
          <w:tab/>
        </w:r>
        <w:r w:rsidR="00311C90">
          <w:rPr>
            <w:noProof/>
            <w:webHidden/>
          </w:rPr>
          <w:fldChar w:fldCharType="begin"/>
        </w:r>
        <w:r w:rsidR="00311C90">
          <w:rPr>
            <w:noProof/>
            <w:webHidden/>
          </w:rPr>
          <w:instrText xml:space="preserve"> PAGEREF _Toc495649292 \h </w:instrText>
        </w:r>
        <w:r w:rsidR="00311C90">
          <w:rPr>
            <w:noProof/>
            <w:webHidden/>
          </w:rPr>
        </w:r>
        <w:r w:rsidR="00311C90">
          <w:rPr>
            <w:noProof/>
            <w:webHidden/>
          </w:rPr>
          <w:fldChar w:fldCharType="separate"/>
        </w:r>
        <w:r w:rsidR="00A7472F">
          <w:rPr>
            <w:noProof/>
            <w:webHidden/>
          </w:rPr>
          <w:t>8</w:t>
        </w:r>
        <w:r w:rsidR="00311C90">
          <w:rPr>
            <w:noProof/>
            <w:webHidden/>
          </w:rPr>
          <w:fldChar w:fldCharType="end"/>
        </w:r>
      </w:hyperlink>
    </w:p>
    <w:p w14:paraId="3617D6A1" w14:textId="33F744D7" w:rsidR="00311C90" w:rsidRDefault="00D90541">
      <w:pPr>
        <w:pStyle w:val="Obsah3"/>
        <w:rPr>
          <w:rFonts w:asciiTheme="minorHAnsi" w:eastAsiaTheme="minorEastAsia" w:hAnsiTheme="minorHAnsi" w:cstheme="minorBidi"/>
          <w:noProof/>
          <w:sz w:val="22"/>
          <w:szCs w:val="22"/>
        </w:rPr>
      </w:pPr>
      <w:hyperlink w:anchor="_Toc495649293" w:history="1">
        <w:r w:rsidR="00311C90" w:rsidRPr="007077FC">
          <w:rPr>
            <w:rStyle w:val="Hypertextovprepojenie"/>
            <w:noProof/>
          </w:rPr>
          <w:t>1.1.1 Základné právne predpisy EÚ</w:t>
        </w:r>
        <w:r w:rsidR="00311C90">
          <w:rPr>
            <w:noProof/>
            <w:webHidden/>
          </w:rPr>
          <w:tab/>
        </w:r>
        <w:r w:rsidR="00311C90">
          <w:rPr>
            <w:noProof/>
            <w:webHidden/>
          </w:rPr>
          <w:fldChar w:fldCharType="begin"/>
        </w:r>
        <w:r w:rsidR="00311C90">
          <w:rPr>
            <w:noProof/>
            <w:webHidden/>
          </w:rPr>
          <w:instrText xml:space="preserve"> PAGEREF _Toc495649293 \h </w:instrText>
        </w:r>
        <w:r w:rsidR="00311C90">
          <w:rPr>
            <w:noProof/>
            <w:webHidden/>
          </w:rPr>
        </w:r>
        <w:r w:rsidR="00311C90">
          <w:rPr>
            <w:noProof/>
            <w:webHidden/>
          </w:rPr>
          <w:fldChar w:fldCharType="separate"/>
        </w:r>
        <w:r w:rsidR="00A7472F">
          <w:rPr>
            <w:noProof/>
            <w:webHidden/>
          </w:rPr>
          <w:t>8</w:t>
        </w:r>
        <w:r w:rsidR="00311C90">
          <w:rPr>
            <w:noProof/>
            <w:webHidden/>
          </w:rPr>
          <w:fldChar w:fldCharType="end"/>
        </w:r>
      </w:hyperlink>
    </w:p>
    <w:p w14:paraId="4B91B242" w14:textId="3DBCF122" w:rsidR="00311C90" w:rsidRDefault="00D90541">
      <w:pPr>
        <w:pStyle w:val="Obsah3"/>
        <w:rPr>
          <w:rFonts w:asciiTheme="minorHAnsi" w:eastAsiaTheme="minorEastAsia" w:hAnsiTheme="minorHAnsi" w:cstheme="minorBidi"/>
          <w:noProof/>
          <w:sz w:val="22"/>
          <w:szCs w:val="22"/>
        </w:rPr>
      </w:pPr>
      <w:hyperlink w:anchor="_Toc495649294" w:history="1">
        <w:r w:rsidR="00311C90" w:rsidRPr="007077FC">
          <w:rPr>
            <w:rStyle w:val="Hypertextovprepojenie"/>
            <w:noProof/>
          </w:rPr>
          <w:t>1.1.2 Základné právne predpisy SR</w:t>
        </w:r>
        <w:r w:rsidR="00311C90">
          <w:rPr>
            <w:noProof/>
            <w:webHidden/>
          </w:rPr>
          <w:tab/>
        </w:r>
        <w:r w:rsidR="00311C90">
          <w:rPr>
            <w:noProof/>
            <w:webHidden/>
          </w:rPr>
          <w:fldChar w:fldCharType="begin"/>
        </w:r>
        <w:r w:rsidR="00311C90">
          <w:rPr>
            <w:noProof/>
            <w:webHidden/>
          </w:rPr>
          <w:instrText xml:space="preserve"> PAGEREF _Toc495649294 \h </w:instrText>
        </w:r>
        <w:r w:rsidR="00311C90">
          <w:rPr>
            <w:noProof/>
            <w:webHidden/>
          </w:rPr>
        </w:r>
        <w:r w:rsidR="00311C90">
          <w:rPr>
            <w:noProof/>
            <w:webHidden/>
          </w:rPr>
          <w:fldChar w:fldCharType="separate"/>
        </w:r>
        <w:r w:rsidR="00A7472F">
          <w:rPr>
            <w:noProof/>
            <w:webHidden/>
          </w:rPr>
          <w:t>11</w:t>
        </w:r>
        <w:r w:rsidR="00311C90">
          <w:rPr>
            <w:noProof/>
            <w:webHidden/>
          </w:rPr>
          <w:fldChar w:fldCharType="end"/>
        </w:r>
      </w:hyperlink>
    </w:p>
    <w:p w14:paraId="2F706AAA" w14:textId="62B1169D" w:rsidR="00311C90" w:rsidRDefault="00D90541">
      <w:pPr>
        <w:pStyle w:val="Obsah2"/>
        <w:rPr>
          <w:rFonts w:asciiTheme="minorHAnsi" w:eastAsiaTheme="minorEastAsia" w:hAnsiTheme="minorHAnsi" w:cstheme="minorBidi"/>
          <w:noProof/>
          <w:sz w:val="22"/>
          <w:szCs w:val="22"/>
        </w:rPr>
      </w:pPr>
      <w:hyperlink w:anchor="_Toc495649295" w:history="1">
        <w:r w:rsidR="00311C90" w:rsidRPr="007077FC">
          <w:rPr>
            <w:rStyle w:val="Hypertextovprepojenie"/>
            <w:noProof/>
          </w:rPr>
          <w:t>1.2 Základné ustanovenia a rozsah aplikácie</w:t>
        </w:r>
        <w:r w:rsidR="00311C90">
          <w:rPr>
            <w:noProof/>
            <w:webHidden/>
          </w:rPr>
          <w:tab/>
        </w:r>
        <w:r w:rsidR="00311C90">
          <w:rPr>
            <w:noProof/>
            <w:webHidden/>
          </w:rPr>
          <w:fldChar w:fldCharType="begin"/>
        </w:r>
        <w:r w:rsidR="00311C90">
          <w:rPr>
            <w:noProof/>
            <w:webHidden/>
          </w:rPr>
          <w:instrText xml:space="preserve"> PAGEREF _Toc495649295 \h </w:instrText>
        </w:r>
        <w:r w:rsidR="00311C90">
          <w:rPr>
            <w:noProof/>
            <w:webHidden/>
          </w:rPr>
        </w:r>
        <w:r w:rsidR="00311C90">
          <w:rPr>
            <w:noProof/>
            <w:webHidden/>
          </w:rPr>
          <w:fldChar w:fldCharType="separate"/>
        </w:r>
        <w:r w:rsidR="00A7472F">
          <w:rPr>
            <w:noProof/>
            <w:webHidden/>
          </w:rPr>
          <w:t>13</w:t>
        </w:r>
        <w:r w:rsidR="00311C90">
          <w:rPr>
            <w:noProof/>
            <w:webHidden/>
          </w:rPr>
          <w:fldChar w:fldCharType="end"/>
        </w:r>
      </w:hyperlink>
    </w:p>
    <w:p w14:paraId="06B8C9B0" w14:textId="06B8F1D4" w:rsidR="00311C90" w:rsidRDefault="00D90541">
      <w:pPr>
        <w:pStyle w:val="Obsah3"/>
        <w:rPr>
          <w:rFonts w:asciiTheme="minorHAnsi" w:eastAsiaTheme="minorEastAsia" w:hAnsiTheme="minorHAnsi" w:cstheme="minorBidi"/>
          <w:noProof/>
          <w:sz w:val="22"/>
          <w:szCs w:val="22"/>
        </w:rPr>
      </w:pPr>
      <w:hyperlink w:anchor="_Toc495649296" w:history="1">
        <w:r w:rsidR="00311C90" w:rsidRPr="007077FC">
          <w:rPr>
            <w:rStyle w:val="Hypertextovprepojenie"/>
            <w:noProof/>
          </w:rPr>
          <w:t>1.2.1 Zoznam použitých skratiek a vybraných pojmov</w:t>
        </w:r>
        <w:r w:rsidR="00311C90">
          <w:rPr>
            <w:noProof/>
            <w:webHidden/>
          </w:rPr>
          <w:tab/>
        </w:r>
        <w:r w:rsidR="00311C90">
          <w:rPr>
            <w:noProof/>
            <w:webHidden/>
          </w:rPr>
          <w:fldChar w:fldCharType="begin"/>
        </w:r>
        <w:r w:rsidR="00311C90">
          <w:rPr>
            <w:noProof/>
            <w:webHidden/>
          </w:rPr>
          <w:instrText xml:space="preserve"> PAGEREF _Toc495649296 \h </w:instrText>
        </w:r>
        <w:r w:rsidR="00311C90">
          <w:rPr>
            <w:noProof/>
            <w:webHidden/>
          </w:rPr>
        </w:r>
        <w:r w:rsidR="00311C90">
          <w:rPr>
            <w:noProof/>
            <w:webHidden/>
          </w:rPr>
          <w:fldChar w:fldCharType="separate"/>
        </w:r>
        <w:r w:rsidR="00A7472F">
          <w:rPr>
            <w:noProof/>
            <w:webHidden/>
          </w:rPr>
          <w:t>16</w:t>
        </w:r>
        <w:r w:rsidR="00311C90">
          <w:rPr>
            <w:noProof/>
            <w:webHidden/>
          </w:rPr>
          <w:fldChar w:fldCharType="end"/>
        </w:r>
      </w:hyperlink>
    </w:p>
    <w:p w14:paraId="7A1E14D0" w14:textId="34E8DC8F" w:rsidR="00311C90" w:rsidRDefault="00D90541">
      <w:pPr>
        <w:pStyle w:val="Obsah2"/>
        <w:rPr>
          <w:rFonts w:asciiTheme="minorHAnsi" w:eastAsiaTheme="minorEastAsia" w:hAnsiTheme="minorHAnsi" w:cstheme="minorBidi"/>
          <w:noProof/>
          <w:sz w:val="22"/>
          <w:szCs w:val="22"/>
        </w:rPr>
      </w:pPr>
      <w:hyperlink w:anchor="_Toc495649297" w:history="1">
        <w:r w:rsidR="00311C90" w:rsidRPr="007077FC">
          <w:rPr>
            <w:rStyle w:val="Hypertextovprepojenie"/>
            <w:noProof/>
          </w:rPr>
          <w:t>1.3 Subjekty zapojené do riadenia a kontroly EŠIF</w:t>
        </w:r>
        <w:r w:rsidR="00311C90">
          <w:rPr>
            <w:noProof/>
            <w:webHidden/>
          </w:rPr>
          <w:tab/>
        </w:r>
        <w:r w:rsidR="00311C90">
          <w:rPr>
            <w:noProof/>
            <w:webHidden/>
          </w:rPr>
          <w:fldChar w:fldCharType="begin"/>
        </w:r>
        <w:r w:rsidR="00311C90">
          <w:rPr>
            <w:noProof/>
            <w:webHidden/>
          </w:rPr>
          <w:instrText xml:space="preserve"> PAGEREF _Toc495649297 \h </w:instrText>
        </w:r>
        <w:r w:rsidR="00311C90">
          <w:rPr>
            <w:noProof/>
            <w:webHidden/>
          </w:rPr>
        </w:r>
        <w:r w:rsidR="00311C90">
          <w:rPr>
            <w:noProof/>
            <w:webHidden/>
          </w:rPr>
          <w:fldChar w:fldCharType="separate"/>
        </w:r>
        <w:r w:rsidR="00A7472F">
          <w:rPr>
            <w:noProof/>
            <w:webHidden/>
          </w:rPr>
          <w:t>19</w:t>
        </w:r>
        <w:r w:rsidR="00311C90">
          <w:rPr>
            <w:noProof/>
            <w:webHidden/>
          </w:rPr>
          <w:fldChar w:fldCharType="end"/>
        </w:r>
      </w:hyperlink>
    </w:p>
    <w:p w14:paraId="6F117262" w14:textId="232AF1D1" w:rsidR="00311C90" w:rsidRDefault="00D90541">
      <w:pPr>
        <w:pStyle w:val="Obsah3"/>
        <w:rPr>
          <w:rFonts w:asciiTheme="minorHAnsi" w:eastAsiaTheme="minorEastAsia" w:hAnsiTheme="minorHAnsi" w:cstheme="minorBidi"/>
          <w:noProof/>
          <w:sz w:val="22"/>
          <w:szCs w:val="22"/>
        </w:rPr>
      </w:pPr>
      <w:hyperlink w:anchor="_Toc495649298" w:history="1">
        <w:r w:rsidR="00311C90" w:rsidRPr="007077FC">
          <w:rPr>
            <w:rStyle w:val="Hypertextovprepojenie"/>
            <w:noProof/>
          </w:rPr>
          <w:t>1.3.1 Subjekty zapojené do riadenia a kontroly na strategickej úrovni</w:t>
        </w:r>
        <w:r w:rsidR="00311C90">
          <w:rPr>
            <w:noProof/>
            <w:webHidden/>
          </w:rPr>
          <w:tab/>
        </w:r>
        <w:r w:rsidR="00311C90">
          <w:rPr>
            <w:noProof/>
            <w:webHidden/>
          </w:rPr>
          <w:fldChar w:fldCharType="begin"/>
        </w:r>
        <w:r w:rsidR="00311C90">
          <w:rPr>
            <w:noProof/>
            <w:webHidden/>
          </w:rPr>
          <w:instrText xml:space="preserve"> PAGEREF _Toc495649298 \h </w:instrText>
        </w:r>
        <w:r w:rsidR="00311C90">
          <w:rPr>
            <w:noProof/>
            <w:webHidden/>
          </w:rPr>
        </w:r>
        <w:r w:rsidR="00311C90">
          <w:rPr>
            <w:noProof/>
            <w:webHidden/>
          </w:rPr>
          <w:fldChar w:fldCharType="separate"/>
        </w:r>
        <w:r w:rsidR="00A7472F">
          <w:rPr>
            <w:noProof/>
            <w:webHidden/>
          </w:rPr>
          <w:t>19</w:t>
        </w:r>
        <w:r w:rsidR="00311C90">
          <w:rPr>
            <w:noProof/>
            <w:webHidden/>
          </w:rPr>
          <w:fldChar w:fldCharType="end"/>
        </w:r>
      </w:hyperlink>
    </w:p>
    <w:p w14:paraId="0B5E1F81" w14:textId="27B4EEF5" w:rsidR="00311C90" w:rsidRDefault="00D90541">
      <w:pPr>
        <w:pStyle w:val="Obsah4"/>
        <w:rPr>
          <w:rFonts w:asciiTheme="minorHAnsi" w:eastAsiaTheme="minorEastAsia" w:hAnsiTheme="minorHAnsi" w:cstheme="minorBidi"/>
        </w:rPr>
      </w:pPr>
      <w:hyperlink w:anchor="_Toc495649299" w:history="1">
        <w:r w:rsidR="00311C90" w:rsidRPr="007077FC">
          <w:rPr>
            <w:rStyle w:val="Hypertextovprepojenie"/>
          </w:rPr>
          <w:t>1.3.1.1 Podpredseda vlády SR pre investície a informatizáciu</w:t>
        </w:r>
        <w:r w:rsidR="00311C90">
          <w:rPr>
            <w:webHidden/>
          </w:rPr>
          <w:tab/>
        </w:r>
        <w:r w:rsidR="00311C90">
          <w:rPr>
            <w:webHidden/>
          </w:rPr>
          <w:fldChar w:fldCharType="begin"/>
        </w:r>
        <w:r w:rsidR="00311C90">
          <w:rPr>
            <w:webHidden/>
          </w:rPr>
          <w:instrText xml:space="preserve"> PAGEREF _Toc495649299 \h </w:instrText>
        </w:r>
        <w:r w:rsidR="00311C90">
          <w:rPr>
            <w:webHidden/>
          </w:rPr>
        </w:r>
        <w:r w:rsidR="00311C90">
          <w:rPr>
            <w:webHidden/>
          </w:rPr>
          <w:fldChar w:fldCharType="separate"/>
        </w:r>
        <w:r w:rsidR="00A7472F">
          <w:rPr>
            <w:webHidden/>
          </w:rPr>
          <w:t>19</w:t>
        </w:r>
        <w:r w:rsidR="00311C90">
          <w:rPr>
            <w:webHidden/>
          </w:rPr>
          <w:fldChar w:fldCharType="end"/>
        </w:r>
      </w:hyperlink>
    </w:p>
    <w:p w14:paraId="34EB3BC1" w14:textId="24CA3DE6" w:rsidR="00311C90" w:rsidRDefault="00D90541">
      <w:pPr>
        <w:pStyle w:val="Obsah4"/>
        <w:rPr>
          <w:rFonts w:asciiTheme="minorHAnsi" w:eastAsiaTheme="minorEastAsia" w:hAnsiTheme="minorHAnsi" w:cstheme="minorBidi"/>
        </w:rPr>
      </w:pPr>
      <w:hyperlink w:anchor="_Toc495649300" w:history="1">
        <w:r w:rsidR="00311C90" w:rsidRPr="007077FC">
          <w:rPr>
            <w:rStyle w:val="Hypertextovprepojenie"/>
          </w:rPr>
          <w:t>1.3.1.2 Centrálny koordinačný orgán</w:t>
        </w:r>
        <w:r w:rsidR="00311C90">
          <w:rPr>
            <w:webHidden/>
          </w:rPr>
          <w:tab/>
        </w:r>
        <w:r w:rsidR="00311C90">
          <w:rPr>
            <w:webHidden/>
          </w:rPr>
          <w:fldChar w:fldCharType="begin"/>
        </w:r>
        <w:r w:rsidR="00311C90">
          <w:rPr>
            <w:webHidden/>
          </w:rPr>
          <w:instrText xml:space="preserve"> PAGEREF _Toc495649300 \h </w:instrText>
        </w:r>
        <w:r w:rsidR="00311C90">
          <w:rPr>
            <w:webHidden/>
          </w:rPr>
        </w:r>
        <w:r w:rsidR="00311C90">
          <w:rPr>
            <w:webHidden/>
          </w:rPr>
          <w:fldChar w:fldCharType="separate"/>
        </w:r>
        <w:r w:rsidR="00A7472F">
          <w:rPr>
            <w:webHidden/>
          </w:rPr>
          <w:t>19</w:t>
        </w:r>
        <w:r w:rsidR="00311C90">
          <w:rPr>
            <w:webHidden/>
          </w:rPr>
          <w:fldChar w:fldCharType="end"/>
        </w:r>
      </w:hyperlink>
    </w:p>
    <w:p w14:paraId="3F60352D" w14:textId="35D7A9DB" w:rsidR="00311C90" w:rsidRDefault="00D90541">
      <w:pPr>
        <w:pStyle w:val="Obsah4"/>
        <w:rPr>
          <w:rFonts w:asciiTheme="minorHAnsi" w:eastAsiaTheme="minorEastAsia" w:hAnsiTheme="minorHAnsi" w:cstheme="minorBidi"/>
        </w:rPr>
      </w:pPr>
      <w:hyperlink w:anchor="_Toc495649301" w:history="1">
        <w:r w:rsidR="00311C90" w:rsidRPr="007077FC">
          <w:rPr>
            <w:rStyle w:val="Hypertextovprepojenie"/>
          </w:rPr>
          <w:t>1.3.1.3 Orgán auditu</w:t>
        </w:r>
        <w:r w:rsidR="00311C90">
          <w:rPr>
            <w:webHidden/>
          </w:rPr>
          <w:tab/>
        </w:r>
        <w:r w:rsidR="00311C90">
          <w:rPr>
            <w:webHidden/>
          </w:rPr>
          <w:fldChar w:fldCharType="begin"/>
        </w:r>
        <w:r w:rsidR="00311C90">
          <w:rPr>
            <w:webHidden/>
          </w:rPr>
          <w:instrText xml:space="preserve"> PAGEREF _Toc495649301 \h </w:instrText>
        </w:r>
        <w:r w:rsidR="00311C90">
          <w:rPr>
            <w:webHidden/>
          </w:rPr>
        </w:r>
        <w:r w:rsidR="00311C90">
          <w:rPr>
            <w:webHidden/>
          </w:rPr>
          <w:fldChar w:fldCharType="separate"/>
        </w:r>
        <w:r w:rsidR="00A7472F">
          <w:rPr>
            <w:webHidden/>
          </w:rPr>
          <w:t>22</w:t>
        </w:r>
        <w:r w:rsidR="00311C90">
          <w:rPr>
            <w:webHidden/>
          </w:rPr>
          <w:fldChar w:fldCharType="end"/>
        </w:r>
      </w:hyperlink>
    </w:p>
    <w:p w14:paraId="68E4E5EC" w14:textId="568CF1F8" w:rsidR="00311C90" w:rsidRDefault="00D90541">
      <w:pPr>
        <w:pStyle w:val="Obsah4"/>
        <w:rPr>
          <w:rFonts w:asciiTheme="minorHAnsi" w:eastAsiaTheme="minorEastAsia" w:hAnsiTheme="minorHAnsi" w:cstheme="minorBidi"/>
        </w:rPr>
      </w:pPr>
      <w:hyperlink w:anchor="_Toc495649302" w:history="1">
        <w:r w:rsidR="00311C90" w:rsidRPr="007077FC">
          <w:rPr>
            <w:rStyle w:val="Hypertextovprepojenie"/>
          </w:rPr>
          <w:t>1.3.1.4 Certifikačný orgán</w:t>
        </w:r>
        <w:r w:rsidR="00311C90">
          <w:rPr>
            <w:webHidden/>
          </w:rPr>
          <w:tab/>
        </w:r>
        <w:r w:rsidR="00311C90">
          <w:rPr>
            <w:webHidden/>
          </w:rPr>
          <w:fldChar w:fldCharType="begin"/>
        </w:r>
        <w:r w:rsidR="00311C90">
          <w:rPr>
            <w:webHidden/>
          </w:rPr>
          <w:instrText xml:space="preserve"> PAGEREF _Toc495649302 \h </w:instrText>
        </w:r>
        <w:r w:rsidR="00311C90">
          <w:rPr>
            <w:webHidden/>
          </w:rPr>
        </w:r>
        <w:r w:rsidR="00311C90">
          <w:rPr>
            <w:webHidden/>
          </w:rPr>
          <w:fldChar w:fldCharType="separate"/>
        </w:r>
        <w:r w:rsidR="00A7472F">
          <w:rPr>
            <w:webHidden/>
          </w:rPr>
          <w:t>22</w:t>
        </w:r>
        <w:r w:rsidR="00311C90">
          <w:rPr>
            <w:webHidden/>
          </w:rPr>
          <w:fldChar w:fldCharType="end"/>
        </w:r>
      </w:hyperlink>
    </w:p>
    <w:p w14:paraId="30558220" w14:textId="3A69B23D" w:rsidR="00311C90" w:rsidRDefault="00D90541">
      <w:pPr>
        <w:pStyle w:val="Obsah4"/>
        <w:rPr>
          <w:rFonts w:asciiTheme="minorHAnsi" w:eastAsiaTheme="minorEastAsia" w:hAnsiTheme="minorHAnsi" w:cstheme="minorBidi"/>
        </w:rPr>
      </w:pPr>
      <w:hyperlink w:anchor="_Toc495649303" w:history="1">
        <w:r w:rsidR="00311C90" w:rsidRPr="007077FC">
          <w:rPr>
            <w:rStyle w:val="Hypertextovprepojenie"/>
          </w:rPr>
          <w:t>1.3.1.5 Gestori horizontálnych princípov</w:t>
        </w:r>
        <w:r w:rsidR="00311C90">
          <w:rPr>
            <w:webHidden/>
          </w:rPr>
          <w:tab/>
        </w:r>
        <w:r w:rsidR="00311C90">
          <w:rPr>
            <w:webHidden/>
          </w:rPr>
          <w:fldChar w:fldCharType="begin"/>
        </w:r>
        <w:r w:rsidR="00311C90">
          <w:rPr>
            <w:webHidden/>
          </w:rPr>
          <w:instrText xml:space="preserve"> PAGEREF _Toc495649303 \h </w:instrText>
        </w:r>
        <w:r w:rsidR="00311C90">
          <w:rPr>
            <w:webHidden/>
          </w:rPr>
        </w:r>
        <w:r w:rsidR="00311C90">
          <w:rPr>
            <w:webHidden/>
          </w:rPr>
          <w:fldChar w:fldCharType="separate"/>
        </w:r>
        <w:r w:rsidR="00A7472F">
          <w:rPr>
            <w:webHidden/>
          </w:rPr>
          <w:t>22</w:t>
        </w:r>
        <w:r w:rsidR="00311C90">
          <w:rPr>
            <w:webHidden/>
          </w:rPr>
          <w:fldChar w:fldCharType="end"/>
        </w:r>
      </w:hyperlink>
    </w:p>
    <w:p w14:paraId="5B6DD4F9" w14:textId="67D768AC" w:rsidR="00311C90" w:rsidRDefault="00D90541">
      <w:pPr>
        <w:pStyle w:val="Obsah4"/>
        <w:rPr>
          <w:rFonts w:asciiTheme="minorHAnsi" w:eastAsiaTheme="minorEastAsia" w:hAnsiTheme="minorHAnsi" w:cstheme="minorBidi"/>
        </w:rPr>
      </w:pPr>
      <w:hyperlink w:anchor="_Toc495649304" w:history="1">
        <w:r w:rsidR="00311C90" w:rsidRPr="007077FC">
          <w:rPr>
            <w:rStyle w:val="Hypertextovprepojenie"/>
          </w:rPr>
          <w:t>1.3.1.6 Orgán zabezpečujúci ochranu finančných záujmov</w:t>
        </w:r>
        <w:r w:rsidR="00311C90">
          <w:rPr>
            <w:webHidden/>
          </w:rPr>
          <w:tab/>
        </w:r>
        <w:r w:rsidR="00311C90">
          <w:rPr>
            <w:webHidden/>
          </w:rPr>
          <w:fldChar w:fldCharType="begin"/>
        </w:r>
        <w:r w:rsidR="00311C90">
          <w:rPr>
            <w:webHidden/>
          </w:rPr>
          <w:instrText xml:space="preserve"> PAGEREF _Toc495649304 \h </w:instrText>
        </w:r>
        <w:r w:rsidR="00311C90">
          <w:rPr>
            <w:webHidden/>
          </w:rPr>
        </w:r>
        <w:r w:rsidR="00311C90">
          <w:rPr>
            <w:webHidden/>
          </w:rPr>
          <w:fldChar w:fldCharType="separate"/>
        </w:r>
        <w:r w:rsidR="00A7472F">
          <w:rPr>
            <w:webHidden/>
          </w:rPr>
          <w:t>24</w:t>
        </w:r>
        <w:r w:rsidR="00311C90">
          <w:rPr>
            <w:webHidden/>
          </w:rPr>
          <w:fldChar w:fldCharType="end"/>
        </w:r>
      </w:hyperlink>
    </w:p>
    <w:p w14:paraId="1F903C03" w14:textId="5E5F2C14" w:rsidR="00311C90" w:rsidRDefault="00D90541">
      <w:pPr>
        <w:pStyle w:val="Obsah4"/>
        <w:rPr>
          <w:rFonts w:asciiTheme="minorHAnsi" w:eastAsiaTheme="minorEastAsia" w:hAnsiTheme="minorHAnsi" w:cstheme="minorBidi"/>
        </w:rPr>
      </w:pPr>
      <w:hyperlink w:anchor="_Toc495649305" w:history="1">
        <w:r w:rsidR="00311C90" w:rsidRPr="007077FC">
          <w:rPr>
            <w:rStyle w:val="Hypertextovprepojenie"/>
          </w:rPr>
          <w:t>1.3.1.7 Ministerstvo zahraničných vecí a európskych záležitostí SR</w:t>
        </w:r>
        <w:r w:rsidR="00311C90">
          <w:rPr>
            <w:webHidden/>
          </w:rPr>
          <w:tab/>
        </w:r>
        <w:r w:rsidR="00311C90">
          <w:rPr>
            <w:webHidden/>
          </w:rPr>
          <w:fldChar w:fldCharType="begin"/>
        </w:r>
        <w:r w:rsidR="00311C90">
          <w:rPr>
            <w:webHidden/>
          </w:rPr>
          <w:instrText xml:space="preserve"> PAGEREF _Toc495649305 \h </w:instrText>
        </w:r>
        <w:r w:rsidR="00311C90">
          <w:rPr>
            <w:webHidden/>
          </w:rPr>
        </w:r>
        <w:r w:rsidR="00311C90">
          <w:rPr>
            <w:webHidden/>
          </w:rPr>
          <w:fldChar w:fldCharType="separate"/>
        </w:r>
        <w:r w:rsidR="00A7472F">
          <w:rPr>
            <w:webHidden/>
          </w:rPr>
          <w:t>24</w:t>
        </w:r>
        <w:r w:rsidR="00311C90">
          <w:rPr>
            <w:webHidden/>
          </w:rPr>
          <w:fldChar w:fldCharType="end"/>
        </w:r>
      </w:hyperlink>
    </w:p>
    <w:p w14:paraId="7B5AF39C" w14:textId="7BDC2BDB" w:rsidR="00311C90" w:rsidRDefault="00D90541">
      <w:pPr>
        <w:pStyle w:val="Obsah4"/>
        <w:rPr>
          <w:rFonts w:asciiTheme="minorHAnsi" w:eastAsiaTheme="minorEastAsia" w:hAnsiTheme="minorHAnsi" w:cstheme="minorBidi"/>
        </w:rPr>
      </w:pPr>
      <w:hyperlink w:anchor="_Toc495649306" w:history="1">
        <w:r w:rsidR="00311C90" w:rsidRPr="007077FC">
          <w:rPr>
            <w:rStyle w:val="Hypertextovprepojenie"/>
          </w:rPr>
          <w:t>1.3.1.8 Národný monitorovací výbor</w:t>
        </w:r>
        <w:r w:rsidR="00311C90">
          <w:rPr>
            <w:webHidden/>
          </w:rPr>
          <w:tab/>
        </w:r>
        <w:r w:rsidR="00311C90">
          <w:rPr>
            <w:webHidden/>
          </w:rPr>
          <w:fldChar w:fldCharType="begin"/>
        </w:r>
        <w:r w:rsidR="00311C90">
          <w:rPr>
            <w:webHidden/>
          </w:rPr>
          <w:instrText xml:space="preserve"> PAGEREF _Toc495649306 \h </w:instrText>
        </w:r>
        <w:r w:rsidR="00311C90">
          <w:rPr>
            <w:webHidden/>
          </w:rPr>
        </w:r>
        <w:r w:rsidR="00311C90">
          <w:rPr>
            <w:webHidden/>
          </w:rPr>
          <w:fldChar w:fldCharType="separate"/>
        </w:r>
        <w:r w:rsidR="00A7472F">
          <w:rPr>
            <w:webHidden/>
          </w:rPr>
          <w:t>25</w:t>
        </w:r>
        <w:r w:rsidR="00311C90">
          <w:rPr>
            <w:webHidden/>
          </w:rPr>
          <w:fldChar w:fldCharType="end"/>
        </w:r>
      </w:hyperlink>
    </w:p>
    <w:p w14:paraId="6B40B489" w14:textId="25AE9A67" w:rsidR="00311C90" w:rsidRDefault="00D90541">
      <w:pPr>
        <w:pStyle w:val="Obsah4"/>
        <w:rPr>
          <w:rFonts w:asciiTheme="minorHAnsi" w:eastAsiaTheme="minorEastAsia" w:hAnsiTheme="minorHAnsi" w:cstheme="minorBidi"/>
        </w:rPr>
      </w:pPr>
      <w:hyperlink w:anchor="_Toc495649307" w:history="1">
        <w:r w:rsidR="00311C90" w:rsidRPr="007077FC">
          <w:rPr>
            <w:rStyle w:val="Hypertextovprepojenie"/>
          </w:rPr>
          <w:t>1.3.1.9 Koordinačný výbor pre spoluprácu pri kontrole verejného obstarávania</w:t>
        </w:r>
        <w:r w:rsidR="00311C90">
          <w:rPr>
            <w:webHidden/>
          </w:rPr>
          <w:tab/>
        </w:r>
        <w:r w:rsidR="00311C90">
          <w:rPr>
            <w:webHidden/>
          </w:rPr>
          <w:fldChar w:fldCharType="begin"/>
        </w:r>
        <w:r w:rsidR="00311C90">
          <w:rPr>
            <w:webHidden/>
          </w:rPr>
          <w:instrText xml:space="preserve"> PAGEREF _Toc495649307 \h </w:instrText>
        </w:r>
        <w:r w:rsidR="00311C90">
          <w:rPr>
            <w:webHidden/>
          </w:rPr>
        </w:r>
        <w:r w:rsidR="00311C90">
          <w:rPr>
            <w:webHidden/>
          </w:rPr>
          <w:fldChar w:fldCharType="separate"/>
        </w:r>
        <w:r w:rsidR="00A7472F">
          <w:rPr>
            <w:webHidden/>
          </w:rPr>
          <w:t>26</w:t>
        </w:r>
        <w:r w:rsidR="00311C90">
          <w:rPr>
            <w:webHidden/>
          </w:rPr>
          <w:fldChar w:fldCharType="end"/>
        </w:r>
      </w:hyperlink>
    </w:p>
    <w:p w14:paraId="2C5AD831" w14:textId="08A91F6C" w:rsidR="00311C90" w:rsidRDefault="00D90541">
      <w:pPr>
        <w:pStyle w:val="Obsah4"/>
        <w:rPr>
          <w:rFonts w:asciiTheme="minorHAnsi" w:eastAsiaTheme="minorEastAsia" w:hAnsiTheme="minorHAnsi" w:cstheme="minorBidi"/>
        </w:rPr>
      </w:pPr>
      <w:hyperlink w:anchor="_Toc495649308" w:history="1">
        <w:r w:rsidR="00311C90" w:rsidRPr="007077FC">
          <w:rPr>
            <w:rStyle w:val="Hypertextovprepojenie"/>
          </w:rPr>
          <w:t>1.3.1.10 Pracovná komisia pre koordináciu a zabezpečenie synergických účinkov medzi EŠIF a ostatnými nástrojmi podpory Únie a SR</w:t>
        </w:r>
        <w:r w:rsidR="00311C90">
          <w:rPr>
            <w:webHidden/>
          </w:rPr>
          <w:tab/>
        </w:r>
        <w:r w:rsidR="00311C90">
          <w:rPr>
            <w:webHidden/>
          </w:rPr>
          <w:fldChar w:fldCharType="begin"/>
        </w:r>
        <w:r w:rsidR="00311C90">
          <w:rPr>
            <w:webHidden/>
          </w:rPr>
          <w:instrText xml:space="preserve"> PAGEREF _Toc495649308 \h </w:instrText>
        </w:r>
        <w:r w:rsidR="00311C90">
          <w:rPr>
            <w:webHidden/>
          </w:rPr>
        </w:r>
        <w:r w:rsidR="00311C90">
          <w:rPr>
            <w:webHidden/>
          </w:rPr>
          <w:fldChar w:fldCharType="separate"/>
        </w:r>
        <w:r w:rsidR="00A7472F">
          <w:rPr>
            <w:webHidden/>
          </w:rPr>
          <w:t>27</w:t>
        </w:r>
        <w:r w:rsidR="00311C90">
          <w:rPr>
            <w:webHidden/>
          </w:rPr>
          <w:fldChar w:fldCharType="end"/>
        </w:r>
      </w:hyperlink>
    </w:p>
    <w:p w14:paraId="3424A359" w14:textId="092919EC" w:rsidR="00311C90" w:rsidRDefault="00D90541">
      <w:pPr>
        <w:pStyle w:val="Obsah4"/>
        <w:rPr>
          <w:rFonts w:asciiTheme="minorHAnsi" w:eastAsiaTheme="minorEastAsia" w:hAnsiTheme="minorHAnsi" w:cstheme="minorBidi"/>
        </w:rPr>
      </w:pPr>
      <w:hyperlink w:anchor="_Toc495649309" w:history="1">
        <w:r w:rsidR="00311C90" w:rsidRPr="007077FC">
          <w:rPr>
            <w:rStyle w:val="Hypertextovprepojenie"/>
          </w:rPr>
          <w:t>1.3.1.11 Rada CKO</w:t>
        </w:r>
        <w:r w:rsidR="00311C90">
          <w:rPr>
            <w:webHidden/>
          </w:rPr>
          <w:tab/>
        </w:r>
        <w:r w:rsidR="00311C90">
          <w:rPr>
            <w:webHidden/>
          </w:rPr>
          <w:fldChar w:fldCharType="begin"/>
        </w:r>
        <w:r w:rsidR="00311C90">
          <w:rPr>
            <w:webHidden/>
          </w:rPr>
          <w:instrText xml:space="preserve"> PAGEREF _Toc495649309 \h </w:instrText>
        </w:r>
        <w:r w:rsidR="00311C90">
          <w:rPr>
            <w:webHidden/>
          </w:rPr>
        </w:r>
        <w:r w:rsidR="00311C90">
          <w:rPr>
            <w:webHidden/>
          </w:rPr>
          <w:fldChar w:fldCharType="separate"/>
        </w:r>
        <w:r w:rsidR="00A7472F">
          <w:rPr>
            <w:webHidden/>
          </w:rPr>
          <w:t>28</w:t>
        </w:r>
        <w:r w:rsidR="00311C90">
          <w:rPr>
            <w:webHidden/>
          </w:rPr>
          <w:fldChar w:fldCharType="end"/>
        </w:r>
      </w:hyperlink>
    </w:p>
    <w:p w14:paraId="7C9B551C" w14:textId="4BB12F79" w:rsidR="00311C90" w:rsidRDefault="00D90541">
      <w:pPr>
        <w:pStyle w:val="Obsah4"/>
        <w:rPr>
          <w:rFonts w:asciiTheme="minorHAnsi" w:eastAsiaTheme="minorEastAsia" w:hAnsiTheme="minorHAnsi" w:cstheme="minorBidi"/>
        </w:rPr>
      </w:pPr>
      <w:hyperlink w:anchor="_Toc495649310" w:history="1">
        <w:r w:rsidR="00311C90" w:rsidRPr="007077FC">
          <w:rPr>
            <w:rStyle w:val="Hypertextovprepojenie"/>
          </w:rPr>
          <w:t>1.3.1.12 Úrad vlády Slovenskej republiky</w:t>
        </w:r>
        <w:r w:rsidR="00311C90">
          <w:rPr>
            <w:webHidden/>
          </w:rPr>
          <w:tab/>
        </w:r>
        <w:r w:rsidR="00311C90">
          <w:rPr>
            <w:webHidden/>
          </w:rPr>
          <w:fldChar w:fldCharType="begin"/>
        </w:r>
        <w:r w:rsidR="00311C90">
          <w:rPr>
            <w:webHidden/>
          </w:rPr>
          <w:instrText xml:space="preserve"> PAGEREF _Toc495649310 \h </w:instrText>
        </w:r>
        <w:r w:rsidR="00311C90">
          <w:rPr>
            <w:webHidden/>
          </w:rPr>
        </w:r>
        <w:r w:rsidR="00311C90">
          <w:rPr>
            <w:webHidden/>
          </w:rPr>
          <w:fldChar w:fldCharType="separate"/>
        </w:r>
        <w:r w:rsidR="00A7472F">
          <w:rPr>
            <w:webHidden/>
          </w:rPr>
          <w:t>29</w:t>
        </w:r>
        <w:r w:rsidR="00311C90">
          <w:rPr>
            <w:webHidden/>
          </w:rPr>
          <w:fldChar w:fldCharType="end"/>
        </w:r>
      </w:hyperlink>
    </w:p>
    <w:p w14:paraId="6E1D13D2" w14:textId="5DEF94BC" w:rsidR="00311C90" w:rsidRDefault="00D90541">
      <w:pPr>
        <w:pStyle w:val="Obsah4"/>
        <w:rPr>
          <w:rFonts w:asciiTheme="minorHAnsi" w:eastAsiaTheme="minorEastAsia" w:hAnsiTheme="minorHAnsi" w:cstheme="minorBidi"/>
        </w:rPr>
      </w:pPr>
      <w:hyperlink w:anchor="_Toc495649311" w:history="1">
        <w:r w:rsidR="00311C90" w:rsidRPr="007077FC">
          <w:rPr>
            <w:rStyle w:val="Hypertextovprepojenie"/>
          </w:rPr>
          <w:t>1.3.1.13 Nezávislý monitorovací subjekt</w:t>
        </w:r>
        <w:r w:rsidR="00311C90">
          <w:rPr>
            <w:webHidden/>
          </w:rPr>
          <w:tab/>
        </w:r>
        <w:r w:rsidR="00311C90">
          <w:rPr>
            <w:webHidden/>
          </w:rPr>
          <w:fldChar w:fldCharType="begin"/>
        </w:r>
        <w:r w:rsidR="00311C90">
          <w:rPr>
            <w:webHidden/>
          </w:rPr>
          <w:instrText xml:space="preserve"> PAGEREF _Toc495649311 \h </w:instrText>
        </w:r>
        <w:r w:rsidR="00311C90">
          <w:rPr>
            <w:webHidden/>
          </w:rPr>
        </w:r>
        <w:r w:rsidR="00311C90">
          <w:rPr>
            <w:webHidden/>
          </w:rPr>
          <w:fldChar w:fldCharType="separate"/>
        </w:r>
        <w:r w:rsidR="00A7472F">
          <w:rPr>
            <w:webHidden/>
          </w:rPr>
          <w:t>30</w:t>
        </w:r>
        <w:r w:rsidR="00311C90">
          <w:rPr>
            <w:webHidden/>
          </w:rPr>
          <w:fldChar w:fldCharType="end"/>
        </w:r>
      </w:hyperlink>
    </w:p>
    <w:p w14:paraId="6C8E5AD8" w14:textId="21D41D7F" w:rsidR="00311C90" w:rsidRDefault="00D90541">
      <w:pPr>
        <w:pStyle w:val="Obsah3"/>
        <w:rPr>
          <w:rFonts w:asciiTheme="minorHAnsi" w:eastAsiaTheme="minorEastAsia" w:hAnsiTheme="minorHAnsi" w:cstheme="minorBidi"/>
          <w:noProof/>
          <w:sz w:val="22"/>
          <w:szCs w:val="22"/>
        </w:rPr>
      </w:pPr>
      <w:hyperlink w:anchor="_Toc495649312" w:history="1">
        <w:r w:rsidR="00311C90" w:rsidRPr="007077FC">
          <w:rPr>
            <w:rStyle w:val="Hypertextovprepojenie"/>
            <w:noProof/>
          </w:rPr>
          <w:t>1.3.2 Subjekty zapojené do riadenia a kontroly na programovej úrovni</w:t>
        </w:r>
        <w:r w:rsidR="00311C90">
          <w:rPr>
            <w:noProof/>
            <w:webHidden/>
          </w:rPr>
          <w:tab/>
        </w:r>
        <w:r w:rsidR="00311C90">
          <w:rPr>
            <w:noProof/>
            <w:webHidden/>
          </w:rPr>
          <w:fldChar w:fldCharType="begin"/>
        </w:r>
        <w:r w:rsidR="00311C90">
          <w:rPr>
            <w:noProof/>
            <w:webHidden/>
          </w:rPr>
          <w:instrText xml:space="preserve"> PAGEREF _Toc495649312 \h </w:instrText>
        </w:r>
        <w:r w:rsidR="00311C90">
          <w:rPr>
            <w:noProof/>
            <w:webHidden/>
          </w:rPr>
        </w:r>
        <w:r w:rsidR="00311C90">
          <w:rPr>
            <w:noProof/>
            <w:webHidden/>
          </w:rPr>
          <w:fldChar w:fldCharType="separate"/>
        </w:r>
        <w:r w:rsidR="00A7472F">
          <w:rPr>
            <w:noProof/>
            <w:webHidden/>
          </w:rPr>
          <w:t>31</w:t>
        </w:r>
        <w:r w:rsidR="00311C90">
          <w:rPr>
            <w:noProof/>
            <w:webHidden/>
          </w:rPr>
          <w:fldChar w:fldCharType="end"/>
        </w:r>
      </w:hyperlink>
    </w:p>
    <w:p w14:paraId="2C3FFE8A" w14:textId="77AEA936" w:rsidR="00311C90" w:rsidRDefault="00D90541">
      <w:pPr>
        <w:pStyle w:val="Obsah4"/>
        <w:rPr>
          <w:rFonts w:asciiTheme="minorHAnsi" w:eastAsiaTheme="minorEastAsia" w:hAnsiTheme="minorHAnsi" w:cstheme="minorBidi"/>
        </w:rPr>
      </w:pPr>
      <w:hyperlink w:anchor="_Toc495649313" w:history="1">
        <w:r w:rsidR="00311C90" w:rsidRPr="007077FC">
          <w:rPr>
            <w:rStyle w:val="Hypertextovprepojenie"/>
          </w:rPr>
          <w:t>1.3.2.1 Riadiaci orgán</w:t>
        </w:r>
        <w:r w:rsidR="00311C90">
          <w:rPr>
            <w:webHidden/>
          </w:rPr>
          <w:tab/>
        </w:r>
        <w:r w:rsidR="00311C90">
          <w:rPr>
            <w:webHidden/>
          </w:rPr>
          <w:fldChar w:fldCharType="begin"/>
        </w:r>
        <w:r w:rsidR="00311C90">
          <w:rPr>
            <w:webHidden/>
          </w:rPr>
          <w:instrText xml:space="preserve"> PAGEREF _Toc495649313 \h </w:instrText>
        </w:r>
        <w:r w:rsidR="00311C90">
          <w:rPr>
            <w:webHidden/>
          </w:rPr>
        </w:r>
        <w:r w:rsidR="00311C90">
          <w:rPr>
            <w:webHidden/>
          </w:rPr>
          <w:fldChar w:fldCharType="separate"/>
        </w:r>
        <w:r w:rsidR="00A7472F">
          <w:rPr>
            <w:webHidden/>
          </w:rPr>
          <w:t>31</w:t>
        </w:r>
        <w:r w:rsidR="00311C90">
          <w:rPr>
            <w:webHidden/>
          </w:rPr>
          <w:fldChar w:fldCharType="end"/>
        </w:r>
      </w:hyperlink>
    </w:p>
    <w:p w14:paraId="2E14C788" w14:textId="15A8B025" w:rsidR="00311C90" w:rsidRDefault="00D90541">
      <w:pPr>
        <w:pStyle w:val="Obsah4"/>
        <w:rPr>
          <w:rFonts w:asciiTheme="minorHAnsi" w:eastAsiaTheme="minorEastAsia" w:hAnsiTheme="minorHAnsi" w:cstheme="minorBidi"/>
        </w:rPr>
      </w:pPr>
      <w:hyperlink w:anchor="_Toc495649314" w:history="1">
        <w:r w:rsidR="00311C90" w:rsidRPr="007077FC">
          <w:rPr>
            <w:rStyle w:val="Hypertextovprepojenie"/>
          </w:rPr>
          <w:t>1.3.2.2 Sprostredkovateľský orgán</w:t>
        </w:r>
        <w:r w:rsidR="00311C90">
          <w:rPr>
            <w:webHidden/>
          </w:rPr>
          <w:tab/>
        </w:r>
        <w:r w:rsidR="00311C90">
          <w:rPr>
            <w:webHidden/>
          </w:rPr>
          <w:fldChar w:fldCharType="begin"/>
        </w:r>
        <w:r w:rsidR="00311C90">
          <w:rPr>
            <w:webHidden/>
          </w:rPr>
          <w:instrText xml:space="preserve"> PAGEREF _Toc495649314 \h </w:instrText>
        </w:r>
        <w:r w:rsidR="00311C90">
          <w:rPr>
            <w:webHidden/>
          </w:rPr>
        </w:r>
        <w:r w:rsidR="00311C90">
          <w:rPr>
            <w:webHidden/>
          </w:rPr>
          <w:fldChar w:fldCharType="separate"/>
        </w:r>
        <w:r w:rsidR="00A7472F">
          <w:rPr>
            <w:webHidden/>
          </w:rPr>
          <w:t>34</w:t>
        </w:r>
        <w:r w:rsidR="00311C90">
          <w:rPr>
            <w:webHidden/>
          </w:rPr>
          <w:fldChar w:fldCharType="end"/>
        </w:r>
      </w:hyperlink>
    </w:p>
    <w:p w14:paraId="6E376640" w14:textId="0249EBD5" w:rsidR="00311C90" w:rsidRDefault="00D90541">
      <w:pPr>
        <w:pStyle w:val="Obsah4"/>
        <w:rPr>
          <w:rFonts w:asciiTheme="minorHAnsi" w:eastAsiaTheme="minorEastAsia" w:hAnsiTheme="minorHAnsi" w:cstheme="minorBidi"/>
        </w:rPr>
      </w:pPr>
      <w:hyperlink w:anchor="_Toc495649315" w:history="1">
        <w:r w:rsidR="00311C90" w:rsidRPr="007077FC">
          <w:rPr>
            <w:rStyle w:val="Hypertextovprepojenie"/>
          </w:rPr>
          <w:t>1.3.2.3   Monitorovací výbor</w:t>
        </w:r>
        <w:r w:rsidR="00311C90">
          <w:rPr>
            <w:webHidden/>
          </w:rPr>
          <w:tab/>
        </w:r>
        <w:r w:rsidR="00311C90">
          <w:rPr>
            <w:webHidden/>
          </w:rPr>
          <w:fldChar w:fldCharType="begin"/>
        </w:r>
        <w:r w:rsidR="00311C90">
          <w:rPr>
            <w:webHidden/>
          </w:rPr>
          <w:instrText xml:space="preserve"> PAGEREF _Toc495649315 \h </w:instrText>
        </w:r>
        <w:r w:rsidR="00311C90">
          <w:rPr>
            <w:webHidden/>
          </w:rPr>
        </w:r>
        <w:r w:rsidR="00311C90">
          <w:rPr>
            <w:webHidden/>
          </w:rPr>
          <w:fldChar w:fldCharType="separate"/>
        </w:r>
        <w:r w:rsidR="00A7472F">
          <w:rPr>
            <w:webHidden/>
          </w:rPr>
          <w:t>35</w:t>
        </w:r>
        <w:r w:rsidR="00311C90">
          <w:rPr>
            <w:webHidden/>
          </w:rPr>
          <w:fldChar w:fldCharType="end"/>
        </w:r>
      </w:hyperlink>
    </w:p>
    <w:p w14:paraId="5E5A87C7" w14:textId="4EE67AA5" w:rsidR="00311C90" w:rsidRDefault="00D90541">
      <w:pPr>
        <w:pStyle w:val="Obsah5"/>
        <w:rPr>
          <w:rFonts w:asciiTheme="minorHAnsi" w:eastAsiaTheme="minorEastAsia" w:hAnsiTheme="minorHAnsi" w:cstheme="minorBidi"/>
          <w:sz w:val="22"/>
        </w:rPr>
      </w:pPr>
      <w:hyperlink w:anchor="_Toc495649316" w:history="1">
        <w:r w:rsidR="00311C90" w:rsidRPr="007077FC">
          <w:rPr>
            <w:rStyle w:val="Hypertextovprepojenie"/>
          </w:rPr>
          <w:t>1.3.2.3.1 Funkcie monitorovacieho výboru</w:t>
        </w:r>
        <w:r w:rsidR="00311C90">
          <w:rPr>
            <w:webHidden/>
          </w:rPr>
          <w:tab/>
        </w:r>
        <w:r w:rsidR="00311C90">
          <w:rPr>
            <w:webHidden/>
          </w:rPr>
          <w:fldChar w:fldCharType="begin"/>
        </w:r>
        <w:r w:rsidR="00311C90">
          <w:rPr>
            <w:webHidden/>
          </w:rPr>
          <w:instrText xml:space="preserve"> PAGEREF _Toc495649316 \h </w:instrText>
        </w:r>
        <w:r w:rsidR="00311C90">
          <w:rPr>
            <w:webHidden/>
          </w:rPr>
        </w:r>
        <w:r w:rsidR="00311C90">
          <w:rPr>
            <w:webHidden/>
          </w:rPr>
          <w:fldChar w:fldCharType="separate"/>
        </w:r>
        <w:r w:rsidR="00A7472F">
          <w:rPr>
            <w:webHidden/>
          </w:rPr>
          <w:t>36</w:t>
        </w:r>
        <w:r w:rsidR="00311C90">
          <w:rPr>
            <w:webHidden/>
          </w:rPr>
          <w:fldChar w:fldCharType="end"/>
        </w:r>
      </w:hyperlink>
    </w:p>
    <w:p w14:paraId="5217D81A" w14:textId="2C8B5CC1" w:rsidR="00311C90" w:rsidRDefault="00D90541">
      <w:pPr>
        <w:pStyle w:val="Obsah5"/>
        <w:rPr>
          <w:rFonts w:asciiTheme="minorHAnsi" w:eastAsiaTheme="minorEastAsia" w:hAnsiTheme="minorHAnsi" w:cstheme="minorBidi"/>
          <w:sz w:val="22"/>
        </w:rPr>
      </w:pPr>
      <w:hyperlink w:anchor="_Toc495649317" w:history="1">
        <w:r w:rsidR="00311C90" w:rsidRPr="007077FC">
          <w:rPr>
            <w:rStyle w:val="Hypertextovprepojenie"/>
          </w:rPr>
          <w:t>1.3.2.3.2 Komisia pri monitorovacom výbore</w:t>
        </w:r>
        <w:r w:rsidR="00311C90">
          <w:rPr>
            <w:webHidden/>
          </w:rPr>
          <w:tab/>
        </w:r>
        <w:r w:rsidR="00311C90">
          <w:rPr>
            <w:webHidden/>
          </w:rPr>
          <w:fldChar w:fldCharType="begin"/>
        </w:r>
        <w:r w:rsidR="00311C90">
          <w:rPr>
            <w:webHidden/>
          </w:rPr>
          <w:instrText xml:space="preserve"> PAGEREF _Toc495649317 \h </w:instrText>
        </w:r>
        <w:r w:rsidR="00311C90">
          <w:rPr>
            <w:webHidden/>
          </w:rPr>
        </w:r>
        <w:r w:rsidR="00311C90">
          <w:rPr>
            <w:webHidden/>
          </w:rPr>
          <w:fldChar w:fldCharType="separate"/>
        </w:r>
        <w:r w:rsidR="00A7472F">
          <w:rPr>
            <w:webHidden/>
          </w:rPr>
          <w:t>37</w:t>
        </w:r>
        <w:r w:rsidR="00311C90">
          <w:rPr>
            <w:webHidden/>
          </w:rPr>
          <w:fldChar w:fldCharType="end"/>
        </w:r>
      </w:hyperlink>
    </w:p>
    <w:p w14:paraId="77CA2C1E" w14:textId="28306626" w:rsidR="00311C90" w:rsidRDefault="00D90541">
      <w:pPr>
        <w:pStyle w:val="Obsah2"/>
        <w:rPr>
          <w:rFonts w:asciiTheme="minorHAnsi" w:eastAsiaTheme="minorEastAsia" w:hAnsiTheme="minorHAnsi" w:cstheme="minorBidi"/>
          <w:noProof/>
          <w:sz w:val="22"/>
          <w:szCs w:val="22"/>
        </w:rPr>
      </w:pPr>
      <w:hyperlink w:anchor="_Toc495649318" w:history="1">
        <w:r w:rsidR="00311C90" w:rsidRPr="007077FC">
          <w:rPr>
            <w:rStyle w:val="Hypertextovprepojenie"/>
            <w:noProof/>
          </w:rPr>
          <w:t>1.4 Elektronická komunikácia</w:t>
        </w:r>
        <w:r w:rsidR="00311C90">
          <w:rPr>
            <w:noProof/>
            <w:webHidden/>
          </w:rPr>
          <w:tab/>
        </w:r>
        <w:r w:rsidR="00311C90">
          <w:rPr>
            <w:noProof/>
            <w:webHidden/>
          </w:rPr>
          <w:fldChar w:fldCharType="begin"/>
        </w:r>
        <w:r w:rsidR="00311C90">
          <w:rPr>
            <w:noProof/>
            <w:webHidden/>
          </w:rPr>
          <w:instrText xml:space="preserve"> PAGEREF _Toc495649318 \h </w:instrText>
        </w:r>
        <w:r w:rsidR="00311C90">
          <w:rPr>
            <w:noProof/>
            <w:webHidden/>
          </w:rPr>
        </w:r>
        <w:r w:rsidR="00311C90">
          <w:rPr>
            <w:noProof/>
            <w:webHidden/>
          </w:rPr>
          <w:fldChar w:fldCharType="separate"/>
        </w:r>
        <w:r w:rsidR="00A7472F">
          <w:rPr>
            <w:noProof/>
            <w:webHidden/>
          </w:rPr>
          <w:t>38</w:t>
        </w:r>
        <w:r w:rsidR="00311C90">
          <w:rPr>
            <w:noProof/>
            <w:webHidden/>
          </w:rPr>
          <w:fldChar w:fldCharType="end"/>
        </w:r>
      </w:hyperlink>
    </w:p>
    <w:p w14:paraId="220B7077" w14:textId="122BBF23" w:rsidR="00311C90" w:rsidRDefault="00D90541">
      <w:pPr>
        <w:pStyle w:val="Obsah1"/>
        <w:rPr>
          <w:rFonts w:asciiTheme="minorHAnsi" w:eastAsiaTheme="minorEastAsia" w:hAnsiTheme="minorHAnsi" w:cstheme="minorBidi"/>
          <w:b w:val="0"/>
          <w:sz w:val="22"/>
          <w:szCs w:val="22"/>
        </w:rPr>
      </w:pPr>
      <w:hyperlink w:anchor="_Toc495649319" w:history="1">
        <w:r w:rsidR="00311C90" w:rsidRPr="007077FC">
          <w:rPr>
            <w:rStyle w:val="Hypertextovprepojenie"/>
          </w:rPr>
          <w:t>Časť 2 Programovanie</w:t>
        </w:r>
        <w:r w:rsidR="00311C90">
          <w:rPr>
            <w:webHidden/>
          </w:rPr>
          <w:tab/>
        </w:r>
        <w:r w:rsidR="00311C90">
          <w:rPr>
            <w:webHidden/>
          </w:rPr>
          <w:fldChar w:fldCharType="begin"/>
        </w:r>
        <w:r w:rsidR="00311C90">
          <w:rPr>
            <w:webHidden/>
          </w:rPr>
          <w:instrText xml:space="preserve"> PAGEREF _Toc495649319 \h </w:instrText>
        </w:r>
        <w:r w:rsidR="00311C90">
          <w:rPr>
            <w:webHidden/>
          </w:rPr>
        </w:r>
        <w:r w:rsidR="00311C90">
          <w:rPr>
            <w:webHidden/>
          </w:rPr>
          <w:fldChar w:fldCharType="separate"/>
        </w:r>
        <w:r w:rsidR="00A7472F">
          <w:rPr>
            <w:webHidden/>
          </w:rPr>
          <w:t>39</w:t>
        </w:r>
        <w:r w:rsidR="00311C90">
          <w:rPr>
            <w:webHidden/>
          </w:rPr>
          <w:fldChar w:fldCharType="end"/>
        </w:r>
      </w:hyperlink>
    </w:p>
    <w:p w14:paraId="2BE6388F" w14:textId="2DD533F9" w:rsidR="00311C90" w:rsidRDefault="00D90541">
      <w:pPr>
        <w:pStyle w:val="Obsah2"/>
        <w:rPr>
          <w:rFonts w:asciiTheme="minorHAnsi" w:eastAsiaTheme="minorEastAsia" w:hAnsiTheme="minorHAnsi" w:cstheme="minorBidi"/>
          <w:noProof/>
          <w:sz w:val="22"/>
          <w:szCs w:val="22"/>
        </w:rPr>
      </w:pPr>
      <w:hyperlink w:anchor="_Toc495649320" w:history="1">
        <w:r w:rsidR="00311C90" w:rsidRPr="007077FC">
          <w:rPr>
            <w:rStyle w:val="Hypertextovprepojenie"/>
            <w:noProof/>
          </w:rPr>
          <w:t>2.1 Príprava a zmena partnerskej dohody</w:t>
        </w:r>
        <w:r w:rsidR="00311C90">
          <w:rPr>
            <w:noProof/>
            <w:webHidden/>
          </w:rPr>
          <w:tab/>
        </w:r>
        <w:r w:rsidR="00311C90">
          <w:rPr>
            <w:noProof/>
            <w:webHidden/>
          </w:rPr>
          <w:fldChar w:fldCharType="begin"/>
        </w:r>
        <w:r w:rsidR="00311C90">
          <w:rPr>
            <w:noProof/>
            <w:webHidden/>
          </w:rPr>
          <w:instrText xml:space="preserve"> PAGEREF _Toc495649320 \h </w:instrText>
        </w:r>
        <w:r w:rsidR="00311C90">
          <w:rPr>
            <w:noProof/>
            <w:webHidden/>
          </w:rPr>
        </w:r>
        <w:r w:rsidR="00311C90">
          <w:rPr>
            <w:noProof/>
            <w:webHidden/>
          </w:rPr>
          <w:fldChar w:fldCharType="separate"/>
        </w:r>
        <w:r w:rsidR="00A7472F">
          <w:rPr>
            <w:noProof/>
            <w:webHidden/>
          </w:rPr>
          <w:t>39</w:t>
        </w:r>
        <w:r w:rsidR="00311C90">
          <w:rPr>
            <w:noProof/>
            <w:webHidden/>
          </w:rPr>
          <w:fldChar w:fldCharType="end"/>
        </w:r>
      </w:hyperlink>
    </w:p>
    <w:p w14:paraId="3A1489AF" w14:textId="5A8EB0D6" w:rsidR="00311C90" w:rsidRDefault="00D90541">
      <w:pPr>
        <w:pStyle w:val="Obsah3"/>
        <w:rPr>
          <w:rFonts w:asciiTheme="minorHAnsi" w:eastAsiaTheme="minorEastAsia" w:hAnsiTheme="minorHAnsi" w:cstheme="minorBidi"/>
          <w:noProof/>
          <w:sz w:val="22"/>
          <w:szCs w:val="22"/>
        </w:rPr>
      </w:pPr>
      <w:hyperlink w:anchor="_Toc495649321" w:history="1">
        <w:r w:rsidR="00311C90" w:rsidRPr="007077FC">
          <w:rPr>
            <w:rStyle w:val="Hypertextovprepojenie"/>
            <w:noProof/>
          </w:rPr>
          <w:t>2.1.1 Obsah partnerskej dohody</w:t>
        </w:r>
        <w:r w:rsidR="00311C90">
          <w:rPr>
            <w:noProof/>
            <w:webHidden/>
          </w:rPr>
          <w:tab/>
        </w:r>
        <w:r w:rsidR="00311C90">
          <w:rPr>
            <w:noProof/>
            <w:webHidden/>
          </w:rPr>
          <w:fldChar w:fldCharType="begin"/>
        </w:r>
        <w:r w:rsidR="00311C90">
          <w:rPr>
            <w:noProof/>
            <w:webHidden/>
          </w:rPr>
          <w:instrText xml:space="preserve"> PAGEREF _Toc495649321 \h </w:instrText>
        </w:r>
        <w:r w:rsidR="00311C90">
          <w:rPr>
            <w:noProof/>
            <w:webHidden/>
          </w:rPr>
        </w:r>
        <w:r w:rsidR="00311C90">
          <w:rPr>
            <w:noProof/>
            <w:webHidden/>
          </w:rPr>
          <w:fldChar w:fldCharType="separate"/>
        </w:r>
        <w:r w:rsidR="00A7472F">
          <w:rPr>
            <w:noProof/>
            <w:webHidden/>
          </w:rPr>
          <w:t>39</w:t>
        </w:r>
        <w:r w:rsidR="00311C90">
          <w:rPr>
            <w:noProof/>
            <w:webHidden/>
          </w:rPr>
          <w:fldChar w:fldCharType="end"/>
        </w:r>
      </w:hyperlink>
    </w:p>
    <w:p w14:paraId="40F2E035" w14:textId="6B1A4916" w:rsidR="00311C90" w:rsidRDefault="00D90541">
      <w:pPr>
        <w:pStyle w:val="Obsah3"/>
        <w:rPr>
          <w:rFonts w:asciiTheme="minorHAnsi" w:eastAsiaTheme="minorEastAsia" w:hAnsiTheme="minorHAnsi" w:cstheme="minorBidi"/>
          <w:noProof/>
          <w:sz w:val="22"/>
          <w:szCs w:val="22"/>
        </w:rPr>
      </w:pPr>
      <w:hyperlink w:anchor="_Toc495649322" w:history="1">
        <w:r w:rsidR="00311C90" w:rsidRPr="007077FC">
          <w:rPr>
            <w:rStyle w:val="Hypertextovprepojenie"/>
            <w:noProof/>
          </w:rPr>
          <w:t>2.1.2 Prijatie a zmena partnerskej dohody</w:t>
        </w:r>
        <w:r w:rsidR="00311C90">
          <w:rPr>
            <w:noProof/>
            <w:webHidden/>
          </w:rPr>
          <w:tab/>
        </w:r>
        <w:r w:rsidR="00311C90">
          <w:rPr>
            <w:noProof/>
            <w:webHidden/>
          </w:rPr>
          <w:fldChar w:fldCharType="begin"/>
        </w:r>
        <w:r w:rsidR="00311C90">
          <w:rPr>
            <w:noProof/>
            <w:webHidden/>
          </w:rPr>
          <w:instrText xml:space="preserve"> PAGEREF _Toc495649322 \h </w:instrText>
        </w:r>
        <w:r w:rsidR="00311C90">
          <w:rPr>
            <w:noProof/>
            <w:webHidden/>
          </w:rPr>
        </w:r>
        <w:r w:rsidR="00311C90">
          <w:rPr>
            <w:noProof/>
            <w:webHidden/>
          </w:rPr>
          <w:fldChar w:fldCharType="separate"/>
        </w:r>
        <w:r w:rsidR="00A7472F">
          <w:rPr>
            <w:noProof/>
            <w:webHidden/>
          </w:rPr>
          <w:t>40</w:t>
        </w:r>
        <w:r w:rsidR="00311C90">
          <w:rPr>
            <w:noProof/>
            <w:webHidden/>
          </w:rPr>
          <w:fldChar w:fldCharType="end"/>
        </w:r>
      </w:hyperlink>
    </w:p>
    <w:p w14:paraId="40901EBB" w14:textId="4FF8D21F" w:rsidR="00311C90" w:rsidRDefault="00D90541">
      <w:pPr>
        <w:pStyle w:val="Obsah2"/>
        <w:rPr>
          <w:rFonts w:asciiTheme="minorHAnsi" w:eastAsiaTheme="minorEastAsia" w:hAnsiTheme="minorHAnsi" w:cstheme="minorBidi"/>
          <w:noProof/>
          <w:sz w:val="22"/>
          <w:szCs w:val="22"/>
        </w:rPr>
      </w:pPr>
      <w:hyperlink w:anchor="_Toc495649323" w:history="1">
        <w:r w:rsidR="00311C90" w:rsidRPr="007077FC">
          <w:rPr>
            <w:rStyle w:val="Hypertextovprepojenie"/>
            <w:noProof/>
          </w:rPr>
          <w:t>2.2 Príprava a zmena operačných programov</w:t>
        </w:r>
        <w:r w:rsidR="00311C90">
          <w:rPr>
            <w:noProof/>
            <w:webHidden/>
          </w:rPr>
          <w:tab/>
        </w:r>
        <w:r w:rsidR="00311C90">
          <w:rPr>
            <w:noProof/>
            <w:webHidden/>
          </w:rPr>
          <w:fldChar w:fldCharType="begin"/>
        </w:r>
        <w:r w:rsidR="00311C90">
          <w:rPr>
            <w:noProof/>
            <w:webHidden/>
          </w:rPr>
          <w:instrText xml:space="preserve"> PAGEREF _Toc495649323 \h </w:instrText>
        </w:r>
        <w:r w:rsidR="00311C90">
          <w:rPr>
            <w:noProof/>
            <w:webHidden/>
          </w:rPr>
        </w:r>
        <w:r w:rsidR="00311C90">
          <w:rPr>
            <w:noProof/>
            <w:webHidden/>
          </w:rPr>
          <w:fldChar w:fldCharType="separate"/>
        </w:r>
        <w:r w:rsidR="00A7472F">
          <w:rPr>
            <w:noProof/>
            <w:webHidden/>
          </w:rPr>
          <w:t>41</w:t>
        </w:r>
        <w:r w:rsidR="00311C90">
          <w:rPr>
            <w:noProof/>
            <w:webHidden/>
          </w:rPr>
          <w:fldChar w:fldCharType="end"/>
        </w:r>
      </w:hyperlink>
    </w:p>
    <w:p w14:paraId="73F7BEBA" w14:textId="33736A37" w:rsidR="00311C90" w:rsidRDefault="00D90541">
      <w:pPr>
        <w:pStyle w:val="Obsah3"/>
        <w:rPr>
          <w:rFonts w:asciiTheme="minorHAnsi" w:eastAsiaTheme="minorEastAsia" w:hAnsiTheme="minorHAnsi" w:cstheme="minorBidi"/>
          <w:noProof/>
          <w:sz w:val="22"/>
          <w:szCs w:val="22"/>
        </w:rPr>
      </w:pPr>
      <w:hyperlink w:anchor="_Toc495649324" w:history="1">
        <w:r w:rsidR="00311C90" w:rsidRPr="007077FC">
          <w:rPr>
            <w:rStyle w:val="Hypertextovprepojenie"/>
            <w:noProof/>
          </w:rPr>
          <w:t>2.2.1 Obsah operačného programu</w:t>
        </w:r>
        <w:r w:rsidR="00311C90">
          <w:rPr>
            <w:noProof/>
            <w:webHidden/>
          </w:rPr>
          <w:tab/>
        </w:r>
        <w:r w:rsidR="00311C90">
          <w:rPr>
            <w:noProof/>
            <w:webHidden/>
          </w:rPr>
          <w:fldChar w:fldCharType="begin"/>
        </w:r>
        <w:r w:rsidR="00311C90">
          <w:rPr>
            <w:noProof/>
            <w:webHidden/>
          </w:rPr>
          <w:instrText xml:space="preserve"> PAGEREF _Toc495649324 \h </w:instrText>
        </w:r>
        <w:r w:rsidR="00311C90">
          <w:rPr>
            <w:noProof/>
            <w:webHidden/>
          </w:rPr>
        </w:r>
        <w:r w:rsidR="00311C90">
          <w:rPr>
            <w:noProof/>
            <w:webHidden/>
          </w:rPr>
          <w:fldChar w:fldCharType="separate"/>
        </w:r>
        <w:r w:rsidR="00A7472F">
          <w:rPr>
            <w:noProof/>
            <w:webHidden/>
          </w:rPr>
          <w:t>41</w:t>
        </w:r>
        <w:r w:rsidR="00311C90">
          <w:rPr>
            <w:noProof/>
            <w:webHidden/>
          </w:rPr>
          <w:fldChar w:fldCharType="end"/>
        </w:r>
      </w:hyperlink>
    </w:p>
    <w:p w14:paraId="025CDAC3" w14:textId="42625302" w:rsidR="00311C90" w:rsidRDefault="00D90541">
      <w:pPr>
        <w:pStyle w:val="Obsah3"/>
        <w:rPr>
          <w:rFonts w:asciiTheme="minorHAnsi" w:eastAsiaTheme="minorEastAsia" w:hAnsiTheme="minorHAnsi" w:cstheme="minorBidi"/>
          <w:noProof/>
          <w:sz w:val="22"/>
          <w:szCs w:val="22"/>
        </w:rPr>
      </w:pPr>
      <w:hyperlink w:anchor="_Toc495649325" w:history="1">
        <w:r w:rsidR="00311C90" w:rsidRPr="007077FC">
          <w:rPr>
            <w:rStyle w:val="Hypertextovprepojenie"/>
            <w:noProof/>
          </w:rPr>
          <w:t>2.2.2 Prijatie a zmena operačného programu</w:t>
        </w:r>
        <w:r w:rsidR="00311C90">
          <w:rPr>
            <w:noProof/>
            <w:webHidden/>
          </w:rPr>
          <w:tab/>
        </w:r>
        <w:r w:rsidR="00311C90">
          <w:rPr>
            <w:noProof/>
            <w:webHidden/>
          </w:rPr>
          <w:fldChar w:fldCharType="begin"/>
        </w:r>
        <w:r w:rsidR="00311C90">
          <w:rPr>
            <w:noProof/>
            <w:webHidden/>
          </w:rPr>
          <w:instrText xml:space="preserve"> PAGEREF _Toc495649325 \h </w:instrText>
        </w:r>
        <w:r w:rsidR="00311C90">
          <w:rPr>
            <w:noProof/>
            <w:webHidden/>
          </w:rPr>
        </w:r>
        <w:r w:rsidR="00311C90">
          <w:rPr>
            <w:noProof/>
            <w:webHidden/>
          </w:rPr>
          <w:fldChar w:fldCharType="separate"/>
        </w:r>
        <w:r w:rsidR="00A7472F">
          <w:rPr>
            <w:noProof/>
            <w:webHidden/>
          </w:rPr>
          <w:t>43</w:t>
        </w:r>
        <w:r w:rsidR="00311C90">
          <w:rPr>
            <w:noProof/>
            <w:webHidden/>
          </w:rPr>
          <w:fldChar w:fldCharType="end"/>
        </w:r>
      </w:hyperlink>
    </w:p>
    <w:p w14:paraId="3F41219D" w14:textId="03F69D26" w:rsidR="00311C90" w:rsidRDefault="00D90541">
      <w:pPr>
        <w:pStyle w:val="Obsah2"/>
        <w:rPr>
          <w:rFonts w:asciiTheme="minorHAnsi" w:eastAsiaTheme="minorEastAsia" w:hAnsiTheme="minorHAnsi" w:cstheme="minorBidi"/>
          <w:noProof/>
          <w:sz w:val="22"/>
          <w:szCs w:val="22"/>
        </w:rPr>
      </w:pPr>
      <w:hyperlink w:anchor="_Toc495649326" w:history="1">
        <w:r w:rsidR="00311C90" w:rsidRPr="007077FC">
          <w:rPr>
            <w:rStyle w:val="Hypertextovprepojenie"/>
            <w:noProof/>
          </w:rPr>
          <w:t>2.3 Riadiaca dokumentácia na úrovni operačného programu</w:t>
        </w:r>
        <w:r w:rsidR="00311C90">
          <w:rPr>
            <w:noProof/>
            <w:webHidden/>
          </w:rPr>
          <w:tab/>
        </w:r>
        <w:r w:rsidR="00311C90">
          <w:rPr>
            <w:noProof/>
            <w:webHidden/>
          </w:rPr>
          <w:fldChar w:fldCharType="begin"/>
        </w:r>
        <w:r w:rsidR="00311C90">
          <w:rPr>
            <w:noProof/>
            <w:webHidden/>
          </w:rPr>
          <w:instrText xml:space="preserve"> PAGEREF _Toc495649326 \h </w:instrText>
        </w:r>
        <w:r w:rsidR="00311C90">
          <w:rPr>
            <w:noProof/>
            <w:webHidden/>
          </w:rPr>
        </w:r>
        <w:r w:rsidR="00311C90">
          <w:rPr>
            <w:noProof/>
            <w:webHidden/>
          </w:rPr>
          <w:fldChar w:fldCharType="separate"/>
        </w:r>
        <w:r w:rsidR="00A7472F">
          <w:rPr>
            <w:noProof/>
            <w:webHidden/>
          </w:rPr>
          <w:t>44</w:t>
        </w:r>
        <w:r w:rsidR="00311C90">
          <w:rPr>
            <w:noProof/>
            <w:webHidden/>
          </w:rPr>
          <w:fldChar w:fldCharType="end"/>
        </w:r>
      </w:hyperlink>
    </w:p>
    <w:p w14:paraId="40B35569" w14:textId="7BE4621F" w:rsidR="00311C90" w:rsidRDefault="00D90541">
      <w:pPr>
        <w:pStyle w:val="Obsah3"/>
        <w:rPr>
          <w:rFonts w:asciiTheme="minorHAnsi" w:eastAsiaTheme="minorEastAsia" w:hAnsiTheme="minorHAnsi" w:cstheme="minorBidi"/>
          <w:noProof/>
          <w:sz w:val="22"/>
          <w:szCs w:val="22"/>
        </w:rPr>
      </w:pPr>
      <w:hyperlink w:anchor="_Toc495649327" w:history="1">
        <w:r w:rsidR="00311C90" w:rsidRPr="007077FC">
          <w:rPr>
            <w:rStyle w:val="Hypertextovprepojenie"/>
            <w:noProof/>
          </w:rPr>
          <w:t>2.3.1 Manuál procedúr</w:t>
        </w:r>
        <w:r w:rsidR="00311C90">
          <w:rPr>
            <w:noProof/>
            <w:webHidden/>
          </w:rPr>
          <w:tab/>
        </w:r>
        <w:r w:rsidR="00311C90">
          <w:rPr>
            <w:noProof/>
            <w:webHidden/>
          </w:rPr>
          <w:fldChar w:fldCharType="begin"/>
        </w:r>
        <w:r w:rsidR="00311C90">
          <w:rPr>
            <w:noProof/>
            <w:webHidden/>
          </w:rPr>
          <w:instrText xml:space="preserve"> PAGEREF _Toc495649327 \h </w:instrText>
        </w:r>
        <w:r w:rsidR="00311C90">
          <w:rPr>
            <w:noProof/>
            <w:webHidden/>
          </w:rPr>
        </w:r>
        <w:r w:rsidR="00311C90">
          <w:rPr>
            <w:noProof/>
            <w:webHidden/>
          </w:rPr>
          <w:fldChar w:fldCharType="separate"/>
        </w:r>
        <w:r w:rsidR="00A7472F">
          <w:rPr>
            <w:noProof/>
            <w:webHidden/>
          </w:rPr>
          <w:t>44</w:t>
        </w:r>
        <w:r w:rsidR="00311C90">
          <w:rPr>
            <w:noProof/>
            <w:webHidden/>
          </w:rPr>
          <w:fldChar w:fldCharType="end"/>
        </w:r>
      </w:hyperlink>
    </w:p>
    <w:p w14:paraId="3AE071AA" w14:textId="0CF32989" w:rsidR="00311C90" w:rsidRDefault="00D90541">
      <w:pPr>
        <w:pStyle w:val="Obsah3"/>
        <w:rPr>
          <w:rFonts w:asciiTheme="minorHAnsi" w:eastAsiaTheme="minorEastAsia" w:hAnsiTheme="minorHAnsi" w:cstheme="minorBidi"/>
          <w:noProof/>
          <w:sz w:val="22"/>
          <w:szCs w:val="22"/>
        </w:rPr>
      </w:pPr>
      <w:hyperlink w:anchor="_Toc495649328" w:history="1">
        <w:r w:rsidR="00311C90" w:rsidRPr="007077FC">
          <w:rPr>
            <w:rStyle w:val="Hypertextovprepojenie"/>
            <w:noProof/>
          </w:rPr>
          <w:t>2.3.2 Opis systému riadenia a kontroly</w:t>
        </w:r>
        <w:r w:rsidR="00311C90">
          <w:rPr>
            <w:noProof/>
            <w:webHidden/>
          </w:rPr>
          <w:tab/>
        </w:r>
        <w:r w:rsidR="00311C90">
          <w:rPr>
            <w:noProof/>
            <w:webHidden/>
          </w:rPr>
          <w:fldChar w:fldCharType="begin"/>
        </w:r>
        <w:r w:rsidR="00311C90">
          <w:rPr>
            <w:noProof/>
            <w:webHidden/>
          </w:rPr>
          <w:instrText xml:space="preserve"> PAGEREF _Toc495649328 \h </w:instrText>
        </w:r>
        <w:r w:rsidR="00311C90">
          <w:rPr>
            <w:noProof/>
            <w:webHidden/>
          </w:rPr>
        </w:r>
        <w:r w:rsidR="00311C90">
          <w:rPr>
            <w:noProof/>
            <w:webHidden/>
          </w:rPr>
          <w:fldChar w:fldCharType="separate"/>
        </w:r>
        <w:r w:rsidR="00A7472F">
          <w:rPr>
            <w:noProof/>
            <w:webHidden/>
          </w:rPr>
          <w:t>46</w:t>
        </w:r>
        <w:r w:rsidR="00311C90">
          <w:rPr>
            <w:noProof/>
            <w:webHidden/>
          </w:rPr>
          <w:fldChar w:fldCharType="end"/>
        </w:r>
      </w:hyperlink>
    </w:p>
    <w:p w14:paraId="4F755C66" w14:textId="2E4B6957" w:rsidR="00311C90" w:rsidRDefault="00D90541">
      <w:pPr>
        <w:pStyle w:val="Obsah3"/>
        <w:rPr>
          <w:rFonts w:asciiTheme="minorHAnsi" w:eastAsiaTheme="minorEastAsia" w:hAnsiTheme="minorHAnsi" w:cstheme="minorBidi"/>
          <w:noProof/>
          <w:sz w:val="22"/>
          <w:szCs w:val="22"/>
        </w:rPr>
      </w:pPr>
      <w:hyperlink w:anchor="_Toc495649329" w:history="1">
        <w:r w:rsidR="00311C90" w:rsidRPr="007077FC">
          <w:rPr>
            <w:rStyle w:val="Hypertextovprepojenie"/>
            <w:noProof/>
          </w:rPr>
          <w:t>2.3.3 Schémy pomoci</w:t>
        </w:r>
        <w:r w:rsidR="00311C90">
          <w:rPr>
            <w:noProof/>
            <w:webHidden/>
          </w:rPr>
          <w:tab/>
        </w:r>
        <w:r w:rsidR="00311C90">
          <w:rPr>
            <w:noProof/>
            <w:webHidden/>
          </w:rPr>
          <w:fldChar w:fldCharType="begin"/>
        </w:r>
        <w:r w:rsidR="00311C90">
          <w:rPr>
            <w:noProof/>
            <w:webHidden/>
          </w:rPr>
          <w:instrText xml:space="preserve"> PAGEREF _Toc495649329 \h </w:instrText>
        </w:r>
        <w:r w:rsidR="00311C90">
          <w:rPr>
            <w:noProof/>
            <w:webHidden/>
          </w:rPr>
        </w:r>
        <w:r w:rsidR="00311C90">
          <w:rPr>
            <w:noProof/>
            <w:webHidden/>
          </w:rPr>
          <w:fldChar w:fldCharType="separate"/>
        </w:r>
        <w:r w:rsidR="00A7472F">
          <w:rPr>
            <w:noProof/>
            <w:webHidden/>
          </w:rPr>
          <w:t>46</w:t>
        </w:r>
        <w:r w:rsidR="00311C90">
          <w:rPr>
            <w:noProof/>
            <w:webHidden/>
          </w:rPr>
          <w:fldChar w:fldCharType="end"/>
        </w:r>
      </w:hyperlink>
    </w:p>
    <w:p w14:paraId="6466A67F" w14:textId="282E2C5F" w:rsidR="00311C90" w:rsidRDefault="00D90541">
      <w:pPr>
        <w:pStyle w:val="Obsah2"/>
        <w:rPr>
          <w:rFonts w:asciiTheme="minorHAnsi" w:eastAsiaTheme="minorEastAsia" w:hAnsiTheme="minorHAnsi" w:cstheme="minorBidi"/>
          <w:noProof/>
          <w:sz w:val="22"/>
          <w:szCs w:val="22"/>
        </w:rPr>
      </w:pPr>
      <w:hyperlink w:anchor="_Toc495649330" w:history="1">
        <w:r w:rsidR="00311C90" w:rsidRPr="007077FC">
          <w:rPr>
            <w:rStyle w:val="Hypertextovprepojenie"/>
            <w:noProof/>
          </w:rPr>
          <w:t>2.4 Riadiaca dokumentácia pre výber a implementáciu projektov</w:t>
        </w:r>
        <w:r w:rsidR="00311C90">
          <w:rPr>
            <w:noProof/>
            <w:webHidden/>
          </w:rPr>
          <w:tab/>
        </w:r>
        <w:r w:rsidR="00311C90">
          <w:rPr>
            <w:noProof/>
            <w:webHidden/>
          </w:rPr>
          <w:fldChar w:fldCharType="begin"/>
        </w:r>
        <w:r w:rsidR="00311C90">
          <w:rPr>
            <w:noProof/>
            <w:webHidden/>
          </w:rPr>
          <w:instrText xml:space="preserve"> PAGEREF _Toc495649330 \h </w:instrText>
        </w:r>
        <w:r w:rsidR="00311C90">
          <w:rPr>
            <w:noProof/>
            <w:webHidden/>
          </w:rPr>
        </w:r>
        <w:r w:rsidR="00311C90">
          <w:rPr>
            <w:noProof/>
            <w:webHidden/>
          </w:rPr>
          <w:fldChar w:fldCharType="separate"/>
        </w:r>
        <w:r w:rsidR="00A7472F">
          <w:rPr>
            <w:noProof/>
            <w:webHidden/>
          </w:rPr>
          <w:t>46</w:t>
        </w:r>
        <w:r w:rsidR="00311C90">
          <w:rPr>
            <w:noProof/>
            <w:webHidden/>
          </w:rPr>
          <w:fldChar w:fldCharType="end"/>
        </w:r>
      </w:hyperlink>
    </w:p>
    <w:p w14:paraId="510E3020" w14:textId="6E680A15" w:rsidR="00311C90" w:rsidRDefault="00D90541">
      <w:pPr>
        <w:pStyle w:val="Obsah3"/>
        <w:rPr>
          <w:rFonts w:asciiTheme="minorHAnsi" w:eastAsiaTheme="minorEastAsia" w:hAnsiTheme="minorHAnsi" w:cstheme="minorBidi"/>
          <w:noProof/>
          <w:sz w:val="22"/>
          <w:szCs w:val="22"/>
        </w:rPr>
      </w:pPr>
      <w:hyperlink w:anchor="_Toc495649331" w:history="1">
        <w:r w:rsidR="00311C90" w:rsidRPr="007077FC">
          <w:rPr>
            <w:rStyle w:val="Hypertextovprepojenie"/>
            <w:noProof/>
          </w:rPr>
          <w:t>2.4.1 Formulár projektového zámeru</w:t>
        </w:r>
        <w:r w:rsidR="00311C90">
          <w:rPr>
            <w:noProof/>
            <w:webHidden/>
          </w:rPr>
          <w:tab/>
        </w:r>
        <w:r w:rsidR="00311C90">
          <w:rPr>
            <w:noProof/>
            <w:webHidden/>
          </w:rPr>
          <w:fldChar w:fldCharType="begin"/>
        </w:r>
        <w:r w:rsidR="00311C90">
          <w:rPr>
            <w:noProof/>
            <w:webHidden/>
          </w:rPr>
          <w:instrText xml:space="preserve"> PAGEREF _Toc495649331 \h </w:instrText>
        </w:r>
        <w:r w:rsidR="00311C90">
          <w:rPr>
            <w:noProof/>
            <w:webHidden/>
          </w:rPr>
        </w:r>
        <w:r w:rsidR="00311C90">
          <w:rPr>
            <w:noProof/>
            <w:webHidden/>
          </w:rPr>
          <w:fldChar w:fldCharType="separate"/>
        </w:r>
        <w:r w:rsidR="00A7472F">
          <w:rPr>
            <w:noProof/>
            <w:webHidden/>
          </w:rPr>
          <w:t>47</w:t>
        </w:r>
        <w:r w:rsidR="00311C90">
          <w:rPr>
            <w:noProof/>
            <w:webHidden/>
          </w:rPr>
          <w:fldChar w:fldCharType="end"/>
        </w:r>
      </w:hyperlink>
    </w:p>
    <w:p w14:paraId="28591B3C" w14:textId="48E7FB94" w:rsidR="00311C90" w:rsidRDefault="00D90541">
      <w:pPr>
        <w:pStyle w:val="Obsah3"/>
        <w:rPr>
          <w:rFonts w:asciiTheme="minorHAnsi" w:eastAsiaTheme="minorEastAsia" w:hAnsiTheme="minorHAnsi" w:cstheme="minorBidi"/>
          <w:noProof/>
          <w:sz w:val="22"/>
          <w:szCs w:val="22"/>
        </w:rPr>
      </w:pPr>
      <w:hyperlink w:anchor="_Toc495649332" w:history="1">
        <w:r w:rsidR="00311C90" w:rsidRPr="007077FC">
          <w:rPr>
            <w:rStyle w:val="Hypertextovprepojenie"/>
            <w:noProof/>
          </w:rPr>
          <w:t>2.4.2 Formulár žiadosti o poskytnutie nenávratného finančného príspevku</w:t>
        </w:r>
        <w:r w:rsidR="00311C90">
          <w:rPr>
            <w:noProof/>
            <w:webHidden/>
          </w:rPr>
          <w:tab/>
        </w:r>
        <w:r w:rsidR="00311C90">
          <w:rPr>
            <w:noProof/>
            <w:webHidden/>
          </w:rPr>
          <w:fldChar w:fldCharType="begin"/>
        </w:r>
        <w:r w:rsidR="00311C90">
          <w:rPr>
            <w:noProof/>
            <w:webHidden/>
          </w:rPr>
          <w:instrText xml:space="preserve"> PAGEREF _Toc495649332 \h </w:instrText>
        </w:r>
        <w:r w:rsidR="00311C90">
          <w:rPr>
            <w:noProof/>
            <w:webHidden/>
          </w:rPr>
        </w:r>
        <w:r w:rsidR="00311C90">
          <w:rPr>
            <w:noProof/>
            <w:webHidden/>
          </w:rPr>
          <w:fldChar w:fldCharType="separate"/>
        </w:r>
        <w:r w:rsidR="00A7472F">
          <w:rPr>
            <w:noProof/>
            <w:webHidden/>
          </w:rPr>
          <w:t>48</w:t>
        </w:r>
        <w:r w:rsidR="00311C90">
          <w:rPr>
            <w:noProof/>
            <w:webHidden/>
          </w:rPr>
          <w:fldChar w:fldCharType="end"/>
        </w:r>
      </w:hyperlink>
    </w:p>
    <w:p w14:paraId="7D769DF1" w14:textId="728E3C24" w:rsidR="00311C90" w:rsidRDefault="00D90541">
      <w:pPr>
        <w:pStyle w:val="Obsah4"/>
        <w:rPr>
          <w:rFonts w:asciiTheme="minorHAnsi" w:eastAsiaTheme="minorEastAsia" w:hAnsiTheme="minorHAnsi" w:cstheme="minorBidi"/>
        </w:rPr>
      </w:pPr>
      <w:hyperlink w:anchor="_Toc495649333" w:history="1">
        <w:r w:rsidR="00311C90" w:rsidRPr="007077FC">
          <w:rPr>
            <w:rStyle w:val="Hypertextovprepojenie"/>
          </w:rPr>
          <w:t>2.4.2.1 Opis projektu</w:t>
        </w:r>
        <w:r w:rsidR="00311C90">
          <w:rPr>
            <w:webHidden/>
          </w:rPr>
          <w:tab/>
        </w:r>
        <w:r w:rsidR="00311C90">
          <w:rPr>
            <w:webHidden/>
          </w:rPr>
          <w:fldChar w:fldCharType="begin"/>
        </w:r>
        <w:r w:rsidR="00311C90">
          <w:rPr>
            <w:webHidden/>
          </w:rPr>
          <w:instrText xml:space="preserve"> PAGEREF _Toc495649333 \h </w:instrText>
        </w:r>
        <w:r w:rsidR="00311C90">
          <w:rPr>
            <w:webHidden/>
          </w:rPr>
        </w:r>
        <w:r w:rsidR="00311C90">
          <w:rPr>
            <w:webHidden/>
          </w:rPr>
          <w:fldChar w:fldCharType="separate"/>
        </w:r>
        <w:r w:rsidR="00A7472F">
          <w:rPr>
            <w:webHidden/>
          </w:rPr>
          <w:t>61</w:t>
        </w:r>
        <w:r w:rsidR="00311C90">
          <w:rPr>
            <w:webHidden/>
          </w:rPr>
          <w:fldChar w:fldCharType="end"/>
        </w:r>
      </w:hyperlink>
    </w:p>
    <w:p w14:paraId="4A961BE3" w14:textId="60D4EA52" w:rsidR="00311C90" w:rsidRDefault="00D90541">
      <w:pPr>
        <w:pStyle w:val="Obsah3"/>
        <w:rPr>
          <w:rFonts w:asciiTheme="minorHAnsi" w:eastAsiaTheme="minorEastAsia" w:hAnsiTheme="minorHAnsi" w:cstheme="minorBidi"/>
          <w:noProof/>
          <w:sz w:val="22"/>
          <w:szCs w:val="22"/>
        </w:rPr>
      </w:pPr>
      <w:hyperlink w:anchor="_Toc495649334" w:history="1">
        <w:r w:rsidR="00311C90" w:rsidRPr="007077FC">
          <w:rPr>
            <w:rStyle w:val="Hypertextovprepojenie"/>
            <w:noProof/>
          </w:rPr>
          <w:t>2.4.3 Kritériá pre výber projektov</w:t>
        </w:r>
        <w:r w:rsidR="00311C90">
          <w:rPr>
            <w:noProof/>
            <w:webHidden/>
          </w:rPr>
          <w:tab/>
        </w:r>
        <w:r w:rsidR="00311C90">
          <w:rPr>
            <w:noProof/>
            <w:webHidden/>
          </w:rPr>
          <w:fldChar w:fldCharType="begin"/>
        </w:r>
        <w:r w:rsidR="00311C90">
          <w:rPr>
            <w:noProof/>
            <w:webHidden/>
          </w:rPr>
          <w:instrText xml:space="preserve"> PAGEREF _Toc495649334 \h </w:instrText>
        </w:r>
        <w:r w:rsidR="00311C90">
          <w:rPr>
            <w:noProof/>
            <w:webHidden/>
          </w:rPr>
        </w:r>
        <w:r w:rsidR="00311C90">
          <w:rPr>
            <w:noProof/>
            <w:webHidden/>
          </w:rPr>
          <w:fldChar w:fldCharType="separate"/>
        </w:r>
        <w:r w:rsidR="00A7472F">
          <w:rPr>
            <w:noProof/>
            <w:webHidden/>
          </w:rPr>
          <w:t>61</w:t>
        </w:r>
        <w:r w:rsidR="00311C90">
          <w:rPr>
            <w:noProof/>
            <w:webHidden/>
          </w:rPr>
          <w:fldChar w:fldCharType="end"/>
        </w:r>
      </w:hyperlink>
    </w:p>
    <w:p w14:paraId="7BB8BEAF" w14:textId="010F4D7E" w:rsidR="00311C90" w:rsidRDefault="00D90541">
      <w:pPr>
        <w:pStyle w:val="Obsah4"/>
        <w:rPr>
          <w:rFonts w:asciiTheme="minorHAnsi" w:eastAsiaTheme="minorEastAsia" w:hAnsiTheme="minorHAnsi" w:cstheme="minorBidi"/>
        </w:rPr>
      </w:pPr>
      <w:hyperlink w:anchor="_Toc495649335" w:history="1">
        <w:r w:rsidR="00311C90" w:rsidRPr="007077FC">
          <w:rPr>
            <w:rStyle w:val="Hypertextovprepojenie"/>
          </w:rPr>
          <w:t>2.4.3.1 Kritériá pre posúdenie projektových zámerov</w:t>
        </w:r>
        <w:r w:rsidR="00311C90">
          <w:rPr>
            <w:webHidden/>
          </w:rPr>
          <w:tab/>
        </w:r>
        <w:r w:rsidR="00311C90">
          <w:rPr>
            <w:webHidden/>
          </w:rPr>
          <w:fldChar w:fldCharType="begin"/>
        </w:r>
        <w:r w:rsidR="00311C90">
          <w:rPr>
            <w:webHidden/>
          </w:rPr>
          <w:instrText xml:space="preserve"> PAGEREF _Toc495649335 \h </w:instrText>
        </w:r>
        <w:r w:rsidR="00311C90">
          <w:rPr>
            <w:webHidden/>
          </w:rPr>
        </w:r>
        <w:r w:rsidR="00311C90">
          <w:rPr>
            <w:webHidden/>
          </w:rPr>
          <w:fldChar w:fldCharType="separate"/>
        </w:r>
        <w:r w:rsidR="00A7472F">
          <w:rPr>
            <w:webHidden/>
          </w:rPr>
          <w:t>63</w:t>
        </w:r>
        <w:r w:rsidR="00311C90">
          <w:rPr>
            <w:webHidden/>
          </w:rPr>
          <w:fldChar w:fldCharType="end"/>
        </w:r>
      </w:hyperlink>
    </w:p>
    <w:p w14:paraId="79783D00" w14:textId="3BE2C3E5" w:rsidR="00311C90" w:rsidRDefault="00D90541">
      <w:pPr>
        <w:pStyle w:val="Obsah4"/>
        <w:rPr>
          <w:rFonts w:asciiTheme="minorHAnsi" w:eastAsiaTheme="minorEastAsia" w:hAnsiTheme="minorHAnsi" w:cstheme="minorBidi"/>
        </w:rPr>
      </w:pPr>
      <w:hyperlink w:anchor="_Toc495649336" w:history="1">
        <w:r w:rsidR="00311C90" w:rsidRPr="007077FC">
          <w:rPr>
            <w:rStyle w:val="Hypertextovprepojenie"/>
          </w:rPr>
          <w:t>2.4.3.2 Hodnotiace kritériá žiadostí o poskytnutie nenávratného finančného príspevku</w:t>
        </w:r>
        <w:r w:rsidR="00311C90">
          <w:rPr>
            <w:webHidden/>
          </w:rPr>
          <w:tab/>
        </w:r>
        <w:r w:rsidR="00311C90">
          <w:rPr>
            <w:webHidden/>
          </w:rPr>
          <w:fldChar w:fldCharType="begin"/>
        </w:r>
        <w:r w:rsidR="00311C90">
          <w:rPr>
            <w:webHidden/>
          </w:rPr>
          <w:instrText xml:space="preserve"> PAGEREF _Toc495649336 \h </w:instrText>
        </w:r>
        <w:r w:rsidR="00311C90">
          <w:rPr>
            <w:webHidden/>
          </w:rPr>
        </w:r>
        <w:r w:rsidR="00311C90">
          <w:rPr>
            <w:webHidden/>
          </w:rPr>
          <w:fldChar w:fldCharType="separate"/>
        </w:r>
        <w:r w:rsidR="00A7472F">
          <w:rPr>
            <w:webHidden/>
          </w:rPr>
          <w:t>63</w:t>
        </w:r>
        <w:r w:rsidR="00311C90">
          <w:rPr>
            <w:webHidden/>
          </w:rPr>
          <w:fldChar w:fldCharType="end"/>
        </w:r>
      </w:hyperlink>
    </w:p>
    <w:p w14:paraId="14C92BE7" w14:textId="66A34970" w:rsidR="00311C90" w:rsidRDefault="00D90541">
      <w:pPr>
        <w:pStyle w:val="Obsah4"/>
        <w:rPr>
          <w:rFonts w:asciiTheme="minorHAnsi" w:eastAsiaTheme="minorEastAsia" w:hAnsiTheme="minorHAnsi" w:cstheme="minorBidi"/>
        </w:rPr>
      </w:pPr>
      <w:hyperlink w:anchor="_Toc495649337" w:history="1">
        <w:r w:rsidR="00311C90" w:rsidRPr="007077FC">
          <w:rPr>
            <w:rStyle w:val="Hypertextovprepojenie"/>
          </w:rPr>
          <w:t>2.4.3.3 Výberové kritériá žiadostí o poskytnutie nenávratného finančného príspevku</w:t>
        </w:r>
        <w:r w:rsidR="00311C90">
          <w:rPr>
            <w:webHidden/>
          </w:rPr>
          <w:tab/>
        </w:r>
        <w:r w:rsidR="00311C90">
          <w:rPr>
            <w:webHidden/>
          </w:rPr>
          <w:fldChar w:fldCharType="begin"/>
        </w:r>
        <w:r w:rsidR="00311C90">
          <w:rPr>
            <w:webHidden/>
          </w:rPr>
          <w:instrText xml:space="preserve"> PAGEREF _Toc495649337 \h </w:instrText>
        </w:r>
        <w:r w:rsidR="00311C90">
          <w:rPr>
            <w:webHidden/>
          </w:rPr>
        </w:r>
        <w:r w:rsidR="00311C90">
          <w:rPr>
            <w:webHidden/>
          </w:rPr>
          <w:fldChar w:fldCharType="separate"/>
        </w:r>
        <w:r w:rsidR="00A7472F">
          <w:rPr>
            <w:webHidden/>
          </w:rPr>
          <w:t>64</w:t>
        </w:r>
        <w:r w:rsidR="00311C90">
          <w:rPr>
            <w:webHidden/>
          </w:rPr>
          <w:fldChar w:fldCharType="end"/>
        </w:r>
      </w:hyperlink>
    </w:p>
    <w:p w14:paraId="04A5FCFC" w14:textId="7ADB34B9" w:rsidR="00311C90" w:rsidRDefault="00D90541">
      <w:pPr>
        <w:pStyle w:val="Obsah4"/>
        <w:rPr>
          <w:rFonts w:asciiTheme="minorHAnsi" w:eastAsiaTheme="minorEastAsia" w:hAnsiTheme="minorHAnsi" w:cstheme="minorBidi"/>
        </w:rPr>
      </w:pPr>
      <w:hyperlink w:anchor="_Toc495649338" w:history="1">
        <w:r w:rsidR="00311C90" w:rsidRPr="007077FC">
          <w:rPr>
            <w:rStyle w:val="Hypertextovprepojenie"/>
          </w:rPr>
          <w:t>2.4.3.4 Príručka pre odborných hodnotiteľov</w:t>
        </w:r>
        <w:r w:rsidR="00311C90">
          <w:rPr>
            <w:webHidden/>
          </w:rPr>
          <w:tab/>
        </w:r>
        <w:r w:rsidR="00311C90">
          <w:rPr>
            <w:webHidden/>
          </w:rPr>
          <w:fldChar w:fldCharType="begin"/>
        </w:r>
        <w:r w:rsidR="00311C90">
          <w:rPr>
            <w:webHidden/>
          </w:rPr>
          <w:instrText xml:space="preserve"> PAGEREF _Toc495649338 \h </w:instrText>
        </w:r>
        <w:r w:rsidR="00311C90">
          <w:rPr>
            <w:webHidden/>
          </w:rPr>
        </w:r>
        <w:r w:rsidR="00311C90">
          <w:rPr>
            <w:webHidden/>
          </w:rPr>
          <w:fldChar w:fldCharType="separate"/>
        </w:r>
        <w:r w:rsidR="00A7472F">
          <w:rPr>
            <w:webHidden/>
          </w:rPr>
          <w:t>65</w:t>
        </w:r>
        <w:r w:rsidR="00311C90">
          <w:rPr>
            <w:webHidden/>
          </w:rPr>
          <w:fldChar w:fldCharType="end"/>
        </w:r>
      </w:hyperlink>
    </w:p>
    <w:p w14:paraId="6EE70EA2" w14:textId="1817C259" w:rsidR="00311C90" w:rsidRDefault="00D90541">
      <w:pPr>
        <w:pStyle w:val="Obsah3"/>
        <w:rPr>
          <w:rFonts w:asciiTheme="minorHAnsi" w:eastAsiaTheme="minorEastAsia" w:hAnsiTheme="minorHAnsi" w:cstheme="minorBidi"/>
          <w:noProof/>
          <w:sz w:val="22"/>
          <w:szCs w:val="22"/>
        </w:rPr>
      </w:pPr>
      <w:hyperlink w:anchor="_Toc495649339" w:history="1">
        <w:r w:rsidR="00311C90" w:rsidRPr="007077FC">
          <w:rPr>
            <w:rStyle w:val="Hypertextovprepojenie"/>
            <w:noProof/>
          </w:rPr>
          <w:t>2.4.4 Príručka pre žiadateľa</w:t>
        </w:r>
        <w:r w:rsidR="00311C90">
          <w:rPr>
            <w:noProof/>
            <w:webHidden/>
          </w:rPr>
          <w:tab/>
        </w:r>
        <w:r w:rsidR="00311C90">
          <w:rPr>
            <w:noProof/>
            <w:webHidden/>
          </w:rPr>
          <w:fldChar w:fldCharType="begin"/>
        </w:r>
        <w:r w:rsidR="00311C90">
          <w:rPr>
            <w:noProof/>
            <w:webHidden/>
          </w:rPr>
          <w:instrText xml:space="preserve"> PAGEREF _Toc495649339 \h </w:instrText>
        </w:r>
        <w:r w:rsidR="00311C90">
          <w:rPr>
            <w:noProof/>
            <w:webHidden/>
          </w:rPr>
        </w:r>
        <w:r w:rsidR="00311C90">
          <w:rPr>
            <w:noProof/>
            <w:webHidden/>
          </w:rPr>
          <w:fldChar w:fldCharType="separate"/>
        </w:r>
        <w:r w:rsidR="00A7472F">
          <w:rPr>
            <w:noProof/>
            <w:webHidden/>
          </w:rPr>
          <w:t>65</w:t>
        </w:r>
        <w:r w:rsidR="00311C90">
          <w:rPr>
            <w:noProof/>
            <w:webHidden/>
          </w:rPr>
          <w:fldChar w:fldCharType="end"/>
        </w:r>
      </w:hyperlink>
    </w:p>
    <w:p w14:paraId="31295ACF" w14:textId="055C7C6A" w:rsidR="00311C90" w:rsidRDefault="00D90541">
      <w:pPr>
        <w:pStyle w:val="Obsah3"/>
        <w:rPr>
          <w:rFonts w:asciiTheme="minorHAnsi" w:eastAsiaTheme="minorEastAsia" w:hAnsiTheme="minorHAnsi" w:cstheme="minorBidi"/>
          <w:noProof/>
          <w:sz w:val="22"/>
          <w:szCs w:val="22"/>
        </w:rPr>
      </w:pPr>
      <w:hyperlink w:anchor="_Toc495649340" w:history="1">
        <w:r w:rsidR="00311C90" w:rsidRPr="007077FC">
          <w:rPr>
            <w:rStyle w:val="Hypertextovprepojenie"/>
            <w:noProof/>
          </w:rPr>
          <w:t>2.4.5 Príručka pre prijímateľa</w:t>
        </w:r>
        <w:r w:rsidR="00311C90">
          <w:rPr>
            <w:noProof/>
            <w:webHidden/>
          </w:rPr>
          <w:tab/>
        </w:r>
        <w:r w:rsidR="00311C90">
          <w:rPr>
            <w:noProof/>
            <w:webHidden/>
          </w:rPr>
          <w:fldChar w:fldCharType="begin"/>
        </w:r>
        <w:r w:rsidR="00311C90">
          <w:rPr>
            <w:noProof/>
            <w:webHidden/>
          </w:rPr>
          <w:instrText xml:space="preserve"> PAGEREF _Toc495649340 \h </w:instrText>
        </w:r>
        <w:r w:rsidR="00311C90">
          <w:rPr>
            <w:noProof/>
            <w:webHidden/>
          </w:rPr>
        </w:r>
        <w:r w:rsidR="00311C90">
          <w:rPr>
            <w:noProof/>
            <w:webHidden/>
          </w:rPr>
          <w:fldChar w:fldCharType="separate"/>
        </w:r>
        <w:r w:rsidR="00A7472F">
          <w:rPr>
            <w:noProof/>
            <w:webHidden/>
          </w:rPr>
          <w:t>66</w:t>
        </w:r>
        <w:r w:rsidR="00311C90">
          <w:rPr>
            <w:noProof/>
            <w:webHidden/>
          </w:rPr>
          <w:fldChar w:fldCharType="end"/>
        </w:r>
      </w:hyperlink>
    </w:p>
    <w:p w14:paraId="1A8D77B7" w14:textId="36A7D204" w:rsidR="00311C90" w:rsidRDefault="00D90541">
      <w:pPr>
        <w:pStyle w:val="Obsah3"/>
        <w:rPr>
          <w:rFonts w:asciiTheme="minorHAnsi" w:eastAsiaTheme="minorEastAsia" w:hAnsiTheme="minorHAnsi" w:cstheme="minorBidi"/>
          <w:noProof/>
          <w:sz w:val="22"/>
          <w:szCs w:val="22"/>
        </w:rPr>
      </w:pPr>
      <w:hyperlink w:anchor="_Toc495649341" w:history="1">
        <w:r w:rsidR="00311C90" w:rsidRPr="007077FC">
          <w:rPr>
            <w:rStyle w:val="Hypertextovprepojenie"/>
            <w:noProof/>
          </w:rPr>
          <w:t>2.4.6 Merateľné ukazovatele</w:t>
        </w:r>
        <w:r w:rsidR="00311C90">
          <w:rPr>
            <w:noProof/>
            <w:webHidden/>
          </w:rPr>
          <w:tab/>
        </w:r>
        <w:r w:rsidR="00311C90">
          <w:rPr>
            <w:noProof/>
            <w:webHidden/>
          </w:rPr>
          <w:fldChar w:fldCharType="begin"/>
        </w:r>
        <w:r w:rsidR="00311C90">
          <w:rPr>
            <w:noProof/>
            <w:webHidden/>
          </w:rPr>
          <w:instrText xml:space="preserve"> PAGEREF _Toc495649341 \h </w:instrText>
        </w:r>
        <w:r w:rsidR="00311C90">
          <w:rPr>
            <w:noProof/>
            <w:webHidden/>
          </w:rPr>
        </w:r>
        <w:r w:rsidR="00311C90">
          <w:rPr>
            <w:noProof/>
            <w:webHidden/>
          </w:rPr>
          <w:fldChar w:fldCharType="separate"/>
        </w:r>
        <w:r w:rsidR="00A7472F">
          <w:rPr>
            <w:noProof/>
            <w:webHidden/>
          </w:rPr>
          <w:t>67</w:t>
        </w:r>
        <w:r w:rsidR="00311C90">
          <w:rPr>
            <w:noProof/>
            <w:webHidden/>
          </w:rPr>
          <w:fldChar w:fldCharType="end"/>
        </w:r>
      </w:hyperlink>
    </w:p>
    <w:p w14:paraId="40366A04" w14:textId="6D3C4802" w:rsidR="00311C90" w:rsidRDefault="00D90541">
      <w:pPr>
        <w:pStyle w:val="Obsah4"/>
        <w:rPr>
          <w:rFonts w:asciiTheme="minorHAnsi" w:eastAsiaTheme="minorEastAsia" w:hAnsiTheme="minorHAnsi" w:cstheme="minorBidi"/>
        </w:rPr>
      </w:pPr>
      <w:hyperlink w:anchor="_Toc495649342" w:history="1">
        <w:r w:rsidR="00311C90" w:rsidRPr="007077FC">
          <w:rPr>
            <w:rStyle w:val="Hypertextovprepojenie"/>
          </w:rPr>
          <w:t>2.4.6.1 Merateľné ukazovatele na úrovni projektov</w:t>
        </w:r>
        <w:r w:rsidR="00311C90">
          <w:rPr>
            <w:webHidden/>
          </w:rPr>
          <w:tab/>
        </w:r>
        <w:r w:rsidR="00311C90">
          <w:rPr>
            <w:webHidden/>
          </w:rPr>
          <w:fldChar w:fldCharType="begin"/>
        </w:r>
        <w:r w:rsidR="00311C90">
          <w:rPr>
            <w:webHidden/>
          </w:rPr>
          <w:instrText xml:space="preserve"> PAGEREF _Toc495649342 \h </w:instrText>
        </w:r>
        <w:r w:rsidR="00311C90">
          <w:rPr>
            <w:webHidden/>
          </w:rPr>
        </w:r>
        <w:r w:rsidR="00311C90">
          <w:rPr>
            <w:webHidden/>
          </w:rPr>
          <w:fldChar w:fldCharType="separate"/>
        </w:r>
        <w:r w:rsidR="00A7472F">
          <w:rPr>
            <w:webHidden/>
          </w:rPr>
          <w:t>68</w:t>
        </w:r>
        <w:r w:rsidR="00311C90">
          <w:rPr>
            <w:webHidden/>
          </w:rPr>
          <w:fldChar w:fldCharType="end"/>
        </w:r>
      </w:hyperlink>
    </w:p>
    <w:p w14:paraId="028E00AF" w14:textId="647F0F01" w:rsidR="00311C90" w:rsidRDefault="00D90541">
      <w:pPr>
        <w:pStyle w:val="Obsah5"/>
        <w:rPr>
          <w:rFonts w:asciiTheme="minorHAnsi" w:eastAsiaTheme="minorEastAsia" w:hAnsiTheme="minorHAnsi" w:cstheme="minorBidi"/>
          <w:sz w:val="22"/>
        </w:rPr>
      </w:pPr>
      <w:hyperlink w:anchor="_Toc495649343" w:history="1">
        <w:r w:rsidR="00311C90" w:rsidRPr="007077FC">
          <w:rPr>
            <w:rStyle w:val="Hypertextovprepojenie"/>
          </w:rPr>
          <w:t>2.4.6.1.1 Používanie merateľných ukazovateľov projektu pri predkladaní ŽoNFP a počas implementácie projektu</w:t>
        </w:r>
        <w:r w:rsidR="00311C90">
          <w:rPr>
            <w:webHidden/>
          </w:rPr>
          <w:tab/>
        </w:r>
        <w:r w:rsidR="00311C90">
          <w:rPr>
            <w:webHidden/>
          </w:rPr>
          <w:fldChar w:fldCharType="begin"/>
        </w:r>
        <w:r w:rsidR="00311C90">
          <w:rPr>
            <w:webHidden/>
          </w:rPr>
          <w:instrText xml:space="preserve"> PAGEREF _Toc495649343 \h </w:instrText>
        </w:r>
        <w:r w:rsidR="00311C90">
          <w:rPr>
            <w:webHidden/>
          </w:rPr>
        </w:r>
        <w:r w:rsidR="00311C90">
          <w:rPr>
            <w:webHidden/>
          </w:rPr>
          <w:fldChar w:fldCharType="separate"/>
        </w:r>
        <w:r w:rsidR="00A7472F">
          <w:rPr>
            <w:webHidden/>
          </w:rPr>
          <w:t>70</w:t>
        </w:r>
        <w:r w:rsidR="00311C90">
          <w:rPr>
            <w:webHidden/>
          </w:rPr>
          <w:fldChar w:fldCharType="end"/>
        </w:r>
      </w:hyperlink>
    </w:p>
    <w:p w14:paraId="1CBCFC43" w14:textId="459A6CEE" w:rsidR="00311C90" w:rsidRDefault="00D90541">
      <w:pPr>
        <w:pStyle w:val="Obsah4"/>
        <w:rPr>
          <w:rFonts w:asciiTheme="minorHAnsi" w:eastAsiaTheme="minorEastAsia" w:hAnsiTheme="minorHAnsi" w:cstheme="minorBidi"/>
        </w:rPr>
      </w:pPr>
      <w:hyperlink w:anchor="_Toc495649344" w:history="1">
        <w:r w:rsidR="00311C90" w:rsidRPr="007077FC">
          <w:rPr>
            <w:rStyle w:val="Hypertextovprepojenie"/>
          </w:rPr>
          <w:t>2.4.6.2 Číselník merateľných ukazovateľov</w:t>
        </w:r>
        <w:r w:rsidR="00311C90">
          <w:rPr>
            <w:webHidden/>
          </w:rPr>
          <w:tab/>
        </w:r>
        <w:r w:rsidR="00311C90">
          <w:rPr>
            <w:webHidden/>
          </w:rPr>
          <w:fldChar w:fldCharType="begin"/>
        </w:r>
        <w:r w:rsidR="00311C90">
          <w:rPr>
            <w:webHidden/>
          </w:rPr>
          <w:instrText xml:space="preserve"> PAGEREF _Toc495649344 \h </w:instrText>
        </w:r>
        <w:r w:rsidR="00311C90">
          <w:rPr>
            <w:webHidden/>
          </w:rPr>
        </w:r>
        <w:r w:rsidR="00311C90">
          <w:rPr>
            <w:webHidden/>
          </w:rPr>
          <w:fldChar w:fldCharType="separate"/>
        </w:r>
        <w:r w:rsidR="00A7472F">
          <w:rPr>
            <w:webHidden/>
          </w:rPr>
          <w:t>72</w:t>
        </w:r>
        <w:r w:rsidR="00311C90">
          <w:rPr>
            <w:webHidden/>
          </w:rPr>
          <w:fldChar w:fldCharType="end"/>
        </w:r>
      </w:hyperlink>
    </w:p>
    <w:p w14:paraId="19266325" w14:textId="6C64CEF8" w:rsidR="00311C90" w:rsidRDefault="00D90541">
      <w:pPr>
        <w:pStyle w:val="Obsah3"/>
        <w:rPr>
          <w:rFonts w:asciiTheme="minorHAnsi" w:eastAsiaTheme="minorEastAsia" w:hAnsiTheme="minorHAnsi" w:cstheme="minorBidi"/>
          <w:noProof/>
          <w:sz w:val="22"/>
          <w:szCs w:val="22"/>
        </w:rPr>
      </w:pPr>
      <w:hyperlink w:anchor="_Toc495649345" w:history="1">
        <w:r w:rsidR="00311C90" w:rsidRPr="007077FC">
          <w:rPr>
            <w:rStyle w:val="Hypertextovprepojenie"/>
            <w:noProof/>
          </w:rPr>
          <w:t>2.4.7 Ďalšia dokumentácia na úrovni projektov</w:t>
        </w:r>
        <w:r w:rsidR="00311C90">
          <w:rPr>
            <w:noProof/>
            <w:webHidden/>
          </w:rPr>
          <w:tab/>
        </w:r>
        <w:r w:rsidR="00311C90">
          <w:rPr>
            <w:noProof/>
            <w:webHidden/>
          </w:rPr>
          <w:fldChar w:fldCharType="begin"/>
        </w:r>
        <w:r w:rsidR="00311C90">
          <w:rPr>
            <w:noProof/>
            <w:webHidden/>
          </w:rPr>
          <w:instrText xml:space="preserve"> PAGEREF _Toc495649345 \h </w:instrText>
        </w:r>
        <w:r w:rsidR="00311C90">
          <w:rPr>
            <w:noProof/>
            <w:webHidden/>
          </w:rPr>
        </w:r>
        <w:r w:rsidR="00311C90">
          <w:rPr>
            <w:noProof/>
            <w:webHidden/>
          </w:rPr>
          <w:fldChar w:fldCharType="separate"/>
        </w:r>
        <w:r w:rsidR="00A7472F">
          <w:rPr>
            <w:noProof/>
            <w:webHidden/>
          </w:rPr>
          <w:t>73</w:t>
        </w:r>
        <w:r w:rsidR="00311C90">
          <w:rPr>
            <w:noProof/>
            <w:webHidden/>
          </w:rPr>
          <w:fldChar w:fldCharType="end"/>
        </w:r>
      </w:hyperlink>
    </w:p>
    <w:p w14:paraId="70B653E3" w14:textId="24AFD90D" w:rsidR="00311C90" w:rsidRDefault="00D90541">
      <w:pPr>
        <w:pStyle w:val="Obsah2"/>
        <w:rPr>
          <w:rFonts w:asciiTheme="minorHAnsi" w:eastAsiaTheme="minorEastAsia" w:hAnsiTheme="minorHAnsi" w:cstheme="minorBidi"/>
          <w:noProof/>
          <w:sz w:val="22"/>
          <w:szCs w:val="22"/>
        </w:rPr>
      </w:pPr>
      <w:hyperlink w:anchor="_Toc495649346" w:history="1">
        <w:r w:rsidR="00311C90" w:rsidRPr="007077FC">
          <w:rPr>
            <w:rStyle w:val="Hypertextovprepojenie"/>
            <w:noProof/>
          </w:rPr>
          <w:t>2.5 Výber odborných hodnotiteľov v procese odborného hodnotenia</w:t>
        </w:r>
        <w:r w:rsidR="00311C90">
          <w:rPr>
            <w:noProof/>
            <w:webHidden/>
          </w:rPr>
          <w:tab/>
        </w:r>
        <w:r w:rsidR="00311C90">
          <w:rPr>
            <w:noProof/>
            <w:webHidden/>
          </w:rPr>
          <w:fldChar w:fldCharType="begin"/>
        </w:r>
        <w:r w:rsidR="00311C90">
          <w:rPr>
            <w:noProof/>
            <w:webHidden/>
          </w:rPr>
          <w:instrText xml:space="preserve"> PAGEREF _Toc495649346 \h </w:instrText>
        </w:r>
        <w:r w:rsidR="00311C90">
          <w:rPr>
            <w:noProof/>
            <w:webHidden/>
          </w:rPr>
        </w:r>
        <w:r w:rsidR="00311C90">
          <w:rPr>
            <w:noProof/>
            <w:webHidden/>
          </w:rPr>
          <w:fldChar w:fldCharType="separate"/>
        </w:r>
        <w:r w:rsidR="00A7472F">
          <w:rPr>
            <w:noProof/>
            <w:webHidden/>
          </w:rPr>
          <w:t>73</w:t>
        </w:r>
        <w:r w:rsidR="00311C90">
          <w:rPr>
            <w:noProof/>
            <w:webHidden/>
          </w:rPr>
          <w:fldChar w:fldCharType="end"/>
        </w:r>
      </w:hyperlink>
    </w:p>
    <w:p w14:paraId="1DBD1651" w14:textId="29086EE2" w:rsidR="00311C90" w:rsidRDefault="00D90541">
      <w:pPr>
        <w:pStyle w:val="Obsah1"/>
        <w:rPr>
          <w:rFonts w:asciiTheme="minorHAnsi" w:eastAsiaTheme="minorEastAsia" w:hAnsiTheme="minorHAnsi" w:cstheme="minorBidi"/>
          <w:b w:val="0"/>
          <w:sz w:val="22"/>
          <w:szCs w:val="22"/>
        </w:rPr>
      </w:pPr>
      <w:hyperlink w:anchor="_Toc495649347" w:history="1">
        <w:r w:rsidR="00311C90" w:rsidRPr="007077FC">
          <w:rPr>
            <w:rStyle w:val="Hypertextovprepojenie"/>
          </w:rPr>
          <w:t>Časť 3 Implementácia operačných programov</w:t>
        </w:r>
        <w:r w:rsidR="00311C90">
          <w:rPr>
            <w:webHidden/>
          </w:rPr>
          <w:tab/>
        </w:r>
        <w:r w:rsidR="00311C90">
          <w:rPr>
            <w:webHidden/>
          </w:rPr>
          <w:fldChar w:fldCharType="begin"/>
        </w:r>
        <w:r w:rsidR="00311C90">
          <w:rPr>
            <w:webHidden/>
          </w:rPr>
          <w:instrText xml:space="preserve"> PAGEREF _Toc495649347 \h </w:instrText>
        </w:r>
        <w:r w:rsidR="00311C90">
          <w:rPr>
            <w:webHidden/>
          </w:rPr>
        </w:r>
        <w:r w:rsidR="00311C90">
          <w:rPr>
            <w:webHidden/>
          </w:rPr>
          <w:fldChar w:fldCharType="separate"/>
        </w:r>
        <w:r w:rsidR="00A7472F">
          <w:rPr>
            <w:webHidden/>
          </w:rPr>
          <w:t>75</w:t>
        </w:r>
        <w:r w:rsidR="00311C90">
          <w:rPr>
            <w:webHidden/>
          </w:rPr>
          <w:fldChar w:fldCharType="end"/>
        </w:r>
      </w:hyperlink>
    </w:p>
    <w:p w14:paraId="7A0DD5CC" w14:textId="6C6A10C1" w:rsidR="00311C90" w:rsidRDefault="00D90541">
      <w:pPr>
        <w:pStyle w:val="Obsah2"/>
        <w:rPr>
          <w:rFonts w:asciiTheme="minorHAnsi" w:eastAsiaTheme="minorEastAsia" w:hAnsiTheme="minorHAnsi" w:cstheme="minorBidi"/>
          <w:noProof/>
          <w:sz w:val="22"/>
          <w:szCs w:val="22"/>
        </w:rPr>
      </w:pPr>
      <w:hyperlink w:anchor="_Toc495649348" w:history="1">
        <w:r w:rsidR="00311C90" w:rsidRPr="007077FC">
          <w:rPr>
            <w:rStyle w:val="Hypertextovprepojenie"/>
            <w:noProof/>
          </w:rPr>
          <w:t>3.1 Výzvy – spoločné ustanovenia</w:t>
        </w:r>
        <w:r w:rsidR="00311C90">
          <w:rPr>
            <w:noProof/>
            <w:webHidden/>
          </w:rPr>
          <w:tab/>
        </w:r>
        <w:r w:rsidR="00311C90">
          <w:rPr>
            <w:noProof/>
            <w:webHidden/>
          </w:rPr>
          <w:fldChar w:fldCharType="begin"/>
        </w:r>
        <w:r w:rsidR="00311C90">
          <w:rPr>
            <w:noProof/>
            <w:webHidden/>
          </w:rPr>
          <w:instrText xml:space="preserve"> PAGEREF _Toc495649348 \h </w:instrText>
        </w:r>
        <w:r w:rsidR="00311C90">
          <w:rPr>
            <w:noProof/>
            <w:webHidden/>
          </w:rPr>
        </w:r>
        <w:r w:rsidR="00311C90">
          <w:rPr>
            <w:noProof/>
            <w:webHidden/>
          </w:rPr>
          <w:fldChar w:fldCharType="separate"/>
        </w:r>
        <w:r w:rsidR="00A7472F">
          <w:rPr>
            <w:noProof/>
            <w:webHidden/>
          </w:rPr>
          <w:t>75</w:t>
        </w:r>
        <w:r w:rsidR="00311C90">
          <w:rPr>
            <w:noProof/>
            <w:webHidden/>
          </w:rPr>
          <w:fldChar w:fldCharType="end"/>
        </w:r>
      </w:hyperlink>
    </w:p>
    <w:p w14:paraId="7FCFF209" w14:textId="0FE53C01" w:rsidR="00311C90" w:rsidRDefault="00D90541">
      <w:pPr>
        <w:pStyle w:val="Obsah3"/>
        <w:rPr>
          <w:rFonts w:asciiTheme="minorHAnsi" w:eastAsiaTheme="minorEastAsia" w:hAnsiTheme="minorHAnsi" w:cstheme="minorBidi"/>
          <w:noProof/>
          <w:sz w:val="22"/>
          <w:szCs w:val="22"/>
        </w:rPr>
      </w:pPr>
      <w:hyperlink w:anchor="_Toc495649349" w:history="1">
        <w:r w:rsidR="00311C90" w:rsidRPr="007077FC">
          <w:rPr>
            <w:rStyle w:val="Hypertextovprepojenie"/>
            <w:noProof/>
          </w:rPr>
          <w:t>3.1.1 Výzva</w:t>
        </w:r>
        <w:r w:rsidR="00311C90">
          <w:rPr>
            <w:noProof/>
            <w:webHidden/>
          </w:rPr>
          <w:tab/>
        </w:r>
        <w:r w:rsidR="00311C90">
          <w:rPr>
            <w:noProof/>
            <w:webHidden/>
          </w:rPr>
          <w:fldChar w:fldCharType="begin"/>
        </w:r>
        <w:r w:rsidR="00311C90">
          <w:rPr>
            <w:noProof/>
            <w:webHidden/>
          </w:rPr>
          <w:instrText xml:space="preserve"> PAGEREF _Toc495649349 \h </w:instrText>
        </w:r>
        <w:r w:rsidR="00311C90">
          <w:rPr>
            <w:noProof/>
            <w:webHidden/>
          </w:rPr>
        </w:r>
        <w:r w:rsidR="00311C90">
          <w:rPr>
            <w:noProof/>
            <w:webHidden/>
          </w:rPr>
          <w:fldChar w:fldCharType="separate"/>
        </w:r>
        <w:r w:rsidR="00A7472F">
          <w:rPr>
            <w:noProof/>
            <w:webHidden/>
          </w:rPr>
          <w:t>77</w:t>
        </w:r>
        <w:r w:rsidR="00311C90">
          <w:rPr>
            <w:noProof/>
            <w:webHidden/>
          </w:rPr>
          <w:fldChar w:fldCharType="end"/>
        </w:r>
      </w:hyperlink>
    </w:p>
    <w:p w14:paraId="67853815" w14:textId="529B232F" w:rsidR="00311C90" w:rsidRDefault="00D90541">
      <w:pPr>
        <w:pStyle w:val="Obsah4"/>
        <w:rPr>
          <w:rFonts w:asciiTheme="minorHAnsi" w:eastAsiaTheme="minorEastAsia" w:hAnsiTheme="minorHAnsi" w:cstheme="minorBidi"/>
        </w:rPr>
      </w:pPr>
      <w:hyperlink w:anchor="_Toc495649350" w:history="1">
        <w:r w:rsidR="00311C90" w:rsidRPr="007077FC">
          <w:rPr>
            <w:rStyle w:val="Hypertextovprepojenie"/>
          </w:rPr>
          <w:t>3.1.1.1 Zmena a zrušenie výzvy</w:t>
        </w:r>
        <w:r w:rsidR="00311C90">
          <w:rPr>
            <w:webHidden/>
          </w:rPr>
          <w:tab/>
        </w:r>
        <w:r w:rsidR="00311C90">
          <w:rPr>
            <w:webHidden/>
          </w:rPr>
          <w:fldChar w:fldCharType="begin"/>
        </w:r>
        <w:r w:rsidR="00311C90">
          <w:rPr>
            <w:webHidden/>
          </w:rPr>
          <w:instrText xml:space="preserve"> PAGEREF _Toc495649350 \h </w:instrText>
        </w:r>
        <w:r w:rsidR="00311C90">
          <w:rPr>
            <w:webHidden/>
          </w:rPr>
        </w:r>
        <w:r w:rsidR="00311C90">
          <w:rPr>
            <w:webHidden/>
          </w:rPr>
          <w:fldChar w:fldCharType="separate"/>
        </w:r>
        <w:r w:rsidR="00A7472F">
          <w:rPr>
            <w:webHidden/>
          </w:rPr>
          <w:t>80</w:t>
        </w:r>
        <w:r w:rsidR="00311C90">
          <w:rPr>
            <w:webHidden/>
          </w:rPr>
          <w:fldChar w:fldCharType="end"/>
        </w:r>
      </w:hyperlink>
    </w:p>
    <w:p w14:paraId="7CC55E5C" w14:textId="66BC139E" w:rsidR="00311C90" w:rsidRDefault="00D90541">
      <w:pPr>
        <w:pStyle w:val="Obsah3"/>
        <w:rPr>
          <w:rFonts w:asciiTheme="minorHAnsi" w:eastAsiaTheme="minorEastAsia" w:hAnsiTheme="minorHAnsi" w:cstheme="minorBidi"/>
          <w:noProof/>
          <w:sz w:val="22"/>
          <w:szCs w:val="22"/>
        </w:rPr>
      </w:pPr>
      <w:hyperlink w:anchor="_Toc495649351" w:history="1">
        <w:r w:rsidR="00311C90" w:rsidRPr="007077FC">
          <w:rPr>
            <w:rStyle w:val="Hypertextovprepojenie"/>
            <w:noProof/>
          </w:rPr>
          <w:t>3.1.2 Výzva na predkladanie projektových zámerov</w:t>
        </w:r>
        <w:r w:rsidR="00311C90">
          <w:rPr>
            <w:noProof/>
            <w:webHidden/>
          </w:rPr>
          <w:tab/>
        </w:r>
        <w:r w:rsidR="00311C90">
          <w:rPr>
            <w:noProof/>
            <w:webHidden/>
          </w:rPr>
          <w:fldChar w:fldCharType="begin"/>
        </w:r>
        <w:r w:rsidR="00311C90">
          <w:rPr>
            <w:noProof/>
            <w:webHidden/>
          </w:rPr>
          <w:instrText xml:space="preserve"> PAGEREF _Toc495649351 \h </w:instrText>
        </w:r>
        <w:r w:rsidR="00311C90">
          <w:rPr>
            <w:noProof/>
            <w:webHidden/>
          </w:rPr>
        </w:r>
        <w:r w:rsidR="00311C90">
          <w:rPr>
            <w:noProof/>
            <w:webHidden/>
          </w:rPr>
          <w:fldChar w:fldCharType="separate"/>
        </w:r>
        <w:r w:rsidR="00A7472F">
          <w:rPr>
            <w:noProof/>
            <w:webHidden/>
          </w:rPr>
          <w:t>82</w:t>
        </w:r>
        <w:r w:rsidR="00311C90">
          <w:rPr>
            <w:noProof/>
            <w:webHidden/>
          </w:rPr>
          <w:fldChar w:fldCharType="end"/>
        </w:r>
      </w:hyperlink>
    </w:p>
    <w:p w14:paraId="3AC1DC5E" w14:textId="17896422" w:rsidR="00311C90" w:rsidRDefault="00D90541">
      <w:pPr>
        <w:pStyle w:val="Obsah2"/>
        <w:rPr>
          <w:rFonts w:asciiTheme="minorHAnsi" w:eastAsiaTheme="minorEastAsia" w:hAnsiTheme="minorHAnsi" w:cstheme="minorBidi"/>
          <w:noProof/>
          <w:sz w:val="22"/>
          <w:szCs w:val="22"/>
        </w:rPr>
      </w:pPr>
      <w:hyperlink w:anchor="_Toc495649352" w:history="1">
        <w:r w:rsidR="00311C90" w:rsidRPr="007077FC">
          <w:rPr>
            <w:rStyle w:val="Hypertextovprepojenie"/>
            <w:noProof/>
          </w:rPr>
          <w:t>3.2 Schvaľovací proces</w:t>
        </w:r>
        <w:r w:rsidR="00311C90">
          <w:rPr>
            <w:noProof/>
            <w:webHidden/>
          </w:rPr>
          <w:tab/>
        </w:r>
        <w:r w:rsidR="00311C90">
          <w:rPr>
            <w:noProof/>
            <w:webHidden/>
          </w:rPr>
          <w:fldChar w:fldCharType="begin"/>
        </w:r>
        <w:r w:rsidR="00311C90">
          <w:rPr>
            <w:noProof/>
            <w:webHidden/>
          </w:rPr>
          <w:instrText xml:space="preserve"> PAGEREF _Toc495649352 \h </w:instrText>
        </w:r>
        <w:r w:rsidR="00311C90">
          <w:rPr>
            <w:noProof/>
            <w:webHidden/>
          </w:rPr>
        </w:r>
        <w:r w:rsidR="00311C90">
          <w:rPr>
            <w:noProof/>
            <w:webHidden/>
          </w:rPr>
          <w:fldChar w:fldCharType="separate"/>
        </w:r>
        <w:r w:rsidR="00A7472F">
          <w:rPr>
            <w:noProof/>
            <w:webHidden/>
          </w:rPr>
          <w:t>83</w:t>
        </w:r>
        <w:r w:rsidR="00311C90">
          <w:rPr>
            <w:noProof/>
            <w:webHidden/>
          </w:rPr>
          <w:fldChar w:fldCharType="end"/>
        </w:r>
      </w:hyperlink>
    </w:p>
    <w:p w14:paraId="3A2FE02F" w14:textId="1A87390B" w:rsidR="00311C90" w:rsidRDefault="00D90541">
      <w:pPr>
        <w:pStyle w:val="Obsah3"/>
        <w:rPr>
          <w:rFonts w:asciiTheme="minorHAnsi" w:eastAsiaTheme="minorEastAsia" w:hAnsiTheme="minorHAnsi" w:cstheme="minorBidi"/>
          <w:noProof/>
          <w:sz w:val="22"/>
          <w:szCs w:val="22"/>
        </w:rPr>
      </w:pPr>
      <w:hyperlink w:anchor="_Toc495649353" w:history="1">
        <w:r w:rsidR="00311C90" w:rsidRPr="007077FC">
          <w:rPr>
            <w:rStyle w:val="Hypertextovprepojenie"/>
            <w:noProof/>
          </w:rPr>
          <w:t>3.2.1 Schvaľovací proces žiadostí o poskytnutie nenávratného finančného príspevku</w:t>
        </w:r>
        <w:r w:rsidR="00311C90">
          <w:rPr>
            <w:noProof/>
            <w:webHidden/>
          </w:rPr>
          <w:tab/>
        </w:r>
        <w:r w:rsidR="00311C90">
          <w:rPr>
            <w:noProof/>
            <w:webHidden/>
          </w:rPr>
          <w:fldChar w:fldCharType="begin"/>
        </w:r>
        <w:r w:rsidR="00311C90">
          <w:rPr>
            <w:noProof/>
            <w:webHidden/>
          </w:rPr>
          <w:instrText xml:space="preserve"> PAGEREF _Toc495649353 \h </w:instrText>
        </w:r>
        <w:r w:rsidR="00311C90">
          <w:rPr>
            <w:noProof/>
            <w:webHidden/>
          </w:rPr>
        </w:r>
        <w:r w:rsidR="00311C90">
          <w:rPr>
            <w:noProof/>
            <w:webHidden/>
          </w:rPr>
          <w:fldChar w:fldCharType="separate"/>
        </w:r>
        <w:r w:rsidR="00A7472F">
          <w:rPr>
            <w:noProof/>
            <w:webHidden/>
          </w:rPr>
          <w:t>84</w:t>
        </w:r>
        <w:r w:rsidR="00311C90">
          <w:rPr>
            <w:noProof/>
            <w:webHidden/>
          </w:rPr>
          <w:fldChar w:fldCharType="end"/>
        </w:r>
      </w:hyperlink>
    </w:p>
    <w:p w14:paraId="59B84357" w14:textId="43640BC1" w:rsidR="00311C90" w:rsidRDefault="00D90541">
      <w:pPr>
        <w:pStyle w:val="Obsah4"/>
        <w:rPr>
          <w:rFonts w:asciiTheme="minorHAnsi" w:eastAsiaTheme="minorEastAsia" w:hAnsiTheme="minorHAnsi" w:cstheme="minorBidi"/>
        </w:rPr>
      </w:pPr>
      <w:hyperlink w:anchor="_Toc495649354" w:history="1">
        <w:r w:rsidR="00311C90" w:rsidRPr="007077FC">
          <w:rPr>
            <w:rStyle w:val="Hypertextovprepojenie"/>
          </w:rPr>
          <w:t>3.2.1.1 Administratívne overenie</w:t>
        </w:r>
        <w:r w:rsidR="00311C90">
          <w:rPr>
            <w:webHidden/>
          </w:rPr>
          <w:tab/>
        </w:r>
        <w:r w:rsidR="00311C90">
          <w:rPr>
            <w:webHidden/>
          </w:rPr>
          <w:fldChar w:fldCharType="begin"/>
        </w:r>
        <w:r w:rsidR="00311C90">
          <w:rPr>
            <w:webHidden/>
          </w:rPr>
          <w:instrText xml:space="preserve"> PAGEREF _Toc495649354 \h </w:instrText>
        </w:r>
        <w:r w:rsidR="00311C90">
          <w:rPr>
            <w:webHidden/>
          </w:rPr>
        </w:r>
        <w:r w:rsidR="00311C90">
          <w:rPr>
            <w:webHidden/>
          </w:rPr>
          <w:fldChar w:fldCharType="separate"/>
        </w:r>
        <w:r w:rsidR="00A7472F">
          <w:rPr>
            <w:webHidden/>
          </w:rPr>
          <w:t>85</w:t>
        </w:r>
        <w:r w:rsidR="00311C90">
          <w:rPr>
            <w:webHidden/>
          </w:rPr>
          <w:fldChar w:fldCharType="end"/>
        </w:r>
      </w:hyperlink>
    </w:p>
    <w:p w14:paraId="0CFC3966" w14:textId="28476ACE" w:rsidR="00311C90" w:rsidRDefault="00D90541">
      <w:pPr>
        <w:pStyle w:val="Obsah4"/>
        <w:tabs>
          <w:tab w:val="left" w:pos="1843"/>
        </w:tabs>
        <w:rPr>
          <w:rFonts w:asciiTheme="minorHAnsi" w:eastAsiaTheme="minorEastAsia" w:hAnsiTheme="minorHAnsi" w:cstheme="minorBidi"/>
        </w:rPr>
      </w:pPr>
      <w:hyperlink w:anchor="_Toc495649355" w:history="1">
        <w:r w:rsidR="00311C90" w:rsidRPr="007077FC">
          <w:rPr>
            <w:rStyle w:val="Hypertextovprepojenie"/>
          </w:rPr>
          <w:t>3.2.1.2</w:t>
        </w:r>
        <w:r w:rsidR="00311C90">
          <w:rPr>
            <w:rFonts w:asciiTheme="minorHAnsi" w:eastAsiaTheme="minorEastAsia" w:hAnsiTheme="minorHAnsi" w:cstheme="minorBidi"/>
          </w:rPr>
          <w:tab/>
        </w:r>
        <w:r w:rsidR="00311C90" w:rsidRPr="007077FC">
          <w:rPr>
            <w:rStyle w:val="Hypertextovprepojenie"/>
          </w:rPr>
          <w:t>Odborné hodnotenie a výber žiadostí o poskytnutie nenávratného finančného príspevku</w:t>
        </w:r>
        <w:r w:rsidR="00311C90">
          <w:rPr>
            <w:webHidden/>
          </w:rPr>
          <w:tab/>
        </w:r>
        <w:r w:rsidR="00311C90">
          <w:rPr>
            <w:webHidden/>
          </w:rPr>
          <w:fldChar w:fldCharType="begin"/>
        </w:r>
        <w:r w:rsidR="00311C90">
          <w:rPr>
            <w:webHidden/>
          </w:rPr>
          <w:instrText xml:space="preserve"> PAGEREF _Toc495649355 \h </w:instrText>
        </w:r>
        <w:r w:rsidR="00311C90">
          <w:rPr>
            <w:webHidden/>
          </w:rPr>
        </w:r>
        <w:r w:rsidR="00311C90">
          <w:rPr>
            <w:webHidden/>
          </w:rPr>
          <w:fldChar w:fldCharType="separate"/>
        </w:r>
        <w:r w:rsidR="00A7472F">
          <w:rPr>
            <w:webHidden/>
          </w:rPr>
          <w:t>87</w:t>
        </w:r>
        <w:r w:rsidR="00311C90">
          <w:rPr>
            <w:webHidden/>
          </w:rPr>
          <w:fldChar w:fldCharType="end"/>
        </w:r>
      </w:hyperlink>
    </w:p>
    <w:p w14:paraId="4332BAE6" w14:textId="63657648" w:rsidR="00311C90" w:rsidRDefault="00D90541">
      <w:pPr>
        <w:pStyle w:val="Obsah4"/>
        <w:rPr>
          <w:rFonts w:asciiTheme="minorHAnsi" w:eastAsiaTheme="minorEastAsia" w:hAnsiTheme="minorHAnsi" w:cstheme="minorBidi"/>
        </w:rPr>
      </w:pPr>
      <w:hyperlink w:anchor="_Toc495649356" w:history="1">
        <w:r w:rsidR="00311C90" w:rsidRPr="007077FC">
          <w:rPr>
            <w:rStyle w:val="Hypertextovprepojenie"/>
          </w:rPr>
          <w:t>3.2.1.3 Postup pri vydávaní rozhodnutí a náležitosti rozhodnutia</w:t>
        </w:r>
        <w:r w:rsidR="00311C90">
          <w:rPr>
            <w:webHidden/>
          </w:rPr>
          <w:tab/>
        </w:r>
        <w:r w:rsidR="00311C90">
          <w:rPr>
            <w:webHidden/>
          </w:rPr>
          <w:fldChar w:fldCharType="begin"/>
        </w:r>
        <w:r w:rsidR="00311C90">
          <w:rPr>
            <w:webHidden/>
          </w:rPr>
          <w:instrText xml:space="preserve"> PAGEREF _Toc495649356 \h </w:instrText>
        </w:r>
        <w:r w:rsidR="00311C90">
          <w:rPr>
            <w:webHidden/>
          </w:rPr>
        </w:r>
        <w:r w:rsidR="00311C90">
          <w:rPr>
            <w:webHidden/>
          </w:rPr>
          <w:fldChar w:fldCharType="separate"/>
        </w:r>
        <w:r w:rsidR="00A7472F">
          <w:rPr>
            <w:webHidden/>
          </w:rPr>
          <w:t>92</w:t>
        </w:r>
        <w:r w:rsidR="00311C90">
          <w:rPr>
            <w:webHidden/>
          </w:rPr>
          <w:fldChar w:fldCharType="end"/>
        </w:r>
      </w:hyperlink>
    </w:p>
    <w:p w14:paraId="0C38CFEA" w14:textId="73CE0DC5" w:rsidR="00311C90" w:rsidRDefault="00D90541">
      <w:pPr>
        <w:pStyle w:val="Obsah4"/>
        <w:rPr>
          <w:rFonts w:asciiTheme="minorHAnsi" w:eastAsiaTheme="minorEastAsia" w:hAnsiTheme="minorHAnsi" w:cstheme="minorBidi"/>
        </w:rPr>
      </w:pPr>
      <w:hyperlink w:anchor="_Toc495649357" w:history="1">
        <w:r w:rsidR="00311C90" w:rsidRPr="007077FC">
          <w:rPr>
            <w:rStyle w:val="Hypertextovprepojenie"/>
          </w:rPr>
          <w:t>3.2.1.4 Záverečná správa výzvy</w:t>
        </w:r>
        <w:r w:rsidR="00311C90">
          <w:rPr>
            <w:webHidden/>
          </w:rPr>
          <w:tab/>
        </w:r>
        <w:r w:rsidR="00311C90">
          <w:rPr>
            <w:webHidden/>
          </w:rPr>
          <w:fldChar w:fldCharType="begin"/>
        </w:r>
        <w:r w:rsidR="00311C90">
          <w:rPr>
            <w:webHidden/>
          </w:rPr>
          <w:instrText xml:space="preserve"> PAGEREF _Toc495649357 \h </w:instrText>
        </w:r>
        <w:r w:rsidR="00311C90">
          <w:rPr>
            <w:webHidden/>
          </w:rPr>
        </w:r>
        <w:r w:rsidR="00311C90">
          <w:rPr>
            <w:webHidden/>
          </w:rPr>
          <w:fldChar w:fldCharType="separate"/>
        </w:r>
        <w:r w:rsidR="00A7472F">
          <w:rPr>
            <w:webHidden/>
          </w:rPr>
          <w:t>94</w:t>
        </w:r>
        <w:r w:rsidR="00311C90">
          <w:rPr>
            <w:webHidden/>
          </w:rPr>
          <w:fldChar w:fldCharType="end"/>
        </w:r>
      </w:hyperlink>
    </w:p>
    <w:p w14:paraId="7A8D0CFC" w14:textId="05800290" w:rsidR="00311C90" w:rsidRDefault="00D90541">
      <w:pPr>
        <w:pStyle w:val="Obsah4"/>
        <w:rPr>
          <w:rFonts w:asciiTheme="minorHAnsi" w:eastAsiaTheme="minorEastAsia" w:hAnsiTheme="minorHAnsi" w:cstheme="minorBidi"/>
        </w:rPr>
      </w:pPr>
      <w:hyperlink w:anchor="_Toc495649358" w:history="1">
        <w:r w:rsidR="00311C90" w:rsidRPr="007077FC">
          <w:rPr>
            <w:rStyle w:val="Hypertextovprepojenie"/>
          </w:rPr>
          <w:t>3.2.1.5 Overovanie splnenia podmienok poskytnutia príspevku na mieste</w:t>
        </w:r>
        <w:r w:rsidR="00311C90">
          <w:rPr>
            <w:webHidden/>
          </w:rPr>
          <w:tab/>
        </w:r>
        <w:r w:rsidR="00311C90">
          <w:rPr>
            <w:webHidden/>
          </w:rPr>
          <w:fldChar w:fldCharType="begin"/>
        </w:r>
        <w:r w:rsidR="00311C90">
          <w:rPr>
            <w:webHidden/>
          </w:rPr>
          <w:instrText xml:space="preserve"> PAGEREF _Toc495649358 \h </w:instrText>
        </w:r>
        <w:r w:rsidR="00311C90">
          <w:rPr>
            <w:webHidden/>
          </w:rPr>
        </w:r>
        <w:r w:rsidR="00311C90">
          <w:rPr>
            <w:webHidden/>
          </w:rPr>
          <w:fldChar w:fldCharType="separate"/>
        </w:r>
        <w:r w:rsidR="00A7472F">
          <w:rPr>
            <w:webHidden/>
          </w:rPr>
          <w:t>95</w:t>
        </w:r>
        <w:r w:rsidR="00311C90">
          <w:rPr>
            <w:webHidden/>
          </w:rPr>
          <w:fldChar w:fldCharType="end"/>
        </w:r>
      </w:hyperlink>
    </w:p>
    <w:p w14:paraId="10381C9B" w14:textId="5EC28CF1" w:rsidR="00311C90" w:rsidRDefault="00D90541">
      <w:pPr>
        <w:pStyle w:val="Obsah4"/>
        <w:rPr>
          <w:rFonts w:asciiTheme="minorHAnsi" w:eastAsiaTheme="minorEastAsia" w:hAnsiTheme="minorHAnsi" w:cstheme="minorBidi"/>
        </w:rPr>
      </w:pPr>
      <w:hyperlink w:anchor="_Toc495649359" w:history="1">
        <w:r w:rsidR="00311C90" w:rsidRPr="007077FC">
          <w:rPr>
            <w:rStyle w:val="Hypertextovprepojenie"/>
          </w:rPr>
          <w:t>3.2.1.6 Zverejňovanie</w:t>
        </w:r>
        <w:r w:rsidR="00311C90">
          <w:rPr>
            <w:webHidden/>
          </w:rPr>
          <w:tab/>
        </w:r>
        <w:r w:rsidR="00311C90">
          <w:rPr>
            <w:webHidden/>
          </w:rPr>
          <w:fldChar w:fldCharType="begin"/>
        </w:r>
        <w:r w:rsidR="00311C90">
          <w:rPr>
            <w:webHidden/>
          </w:rPr>
          <w:instrText xml:space="preserve"> PAGEREF _Toc495649359 \h </w:instrText>
        </w:r>
        <w:r w:rsidR="00311C90">
          <w:rPr>
            <w:webHidden/>
          </w:rPr>
        </w:r>
        <w:r w:rsidR="00311C90">
          <w:rPr>
            <w:webHidden/>
          </w:rPr>
          <w:fldChar w:fldCharType="separate"/>
        </w:r>
        <w:r w:rsidR="00A7472F">
          <w:rPr>
            <w:webHidden/>
          </w:rPr>
          <w:t>95</w:t>
        </w:r>
        <w:r w:rsidR="00311C90">
          <w:rPr>
            <w:webHidden/>
          </w:rPr>
          <w:fldChar w:fldCharType="end"/>
        </w:r>
      </w:hyperlink>
    </w:p>
    <w:p w14:paraId="53AE1FED" w14:textId="3D214FB3" w:rsidR="00311C90" w:rsidRDefault="00D90541">
      <w:pPr>
        <w:pStyle w:val="Obsah3"/>
        <w:rPr>
          <w:rFonts w:asciiTheme="minorHAnsi" w:eastAsiaTheme="minorEastAsia" w:hAnsiTheme="minorHAnsi" w:cstheme="minorBidi"/>
          <w:noProof/>
          <w:sz w:val="22"/>
          <w:szCs w:val="22"/>
        </w:rPr>
      </w:pPr>
      <w:hyperlink w:anchor="_Toc495649360" w:history="1">
        <w:r w:rsidR="00311C90" w:rsidRPr="007077FC">
          <w:rPr>
            <w:rStyle w:val="Hypertextovprepojenie"/>
            <w:noProof/>
          </w:rPr>
          <w:t>3.2.2 Schvaľovací proces pri využití dvojkolového procesu výberu</w:t>
        </w:r>
        <w:r w:rsidR="00311C90">
          <w:rPr>
            <w:noProof/>
            <w:webHidden/>
          </w:rPr>
          <w:tab/>
        </w:r>
        <w:r w:rsidR="00311C90">
          <w:rPr>
            <w:noProof/>
            <w:webHidden/>
          </w:rPr>
          <w:fldChar w:fldCharType="begin"/>
        </w:r>
        <w:r w:rsidR="00311C90">
          <w:rPr>
            <w:noProof/>
            <w:webHidden/>
          </w:rPr>
          <w:instrText xml:space="preserve"> PAGEREF _Toc495649360 \h </w:instrText>
        </w:r>
        <w:r w:rsidR="00311C90">
          <w:rPr>
            <w:noProof/>
            <w:webHidden/>
          </w:rPr>
        </w:r>
        <w:r w:rsidR="00311C90">
          <w:rPr>
            <w:noProof/>
            <w:webHidden/>
          </w:rPr>
          <w:fldChar w:fldCharType="separate"/>
        </w:r>
        <w:r w:rsidR="00A7472F">
          <w:rPr>
            <w:noProof/>
            <w:webHidden/>
          </w:rPr>
          <w:t>96</w:t>
        </w:r>
        <w:r w:rsidR="00311C90">
          <w:rPr>
            <w:noProof/>
            <w:webHidden/>
          </w:rPr>
          <w:fldChar w:fldCharType="end"/>
        </w:r>
      </w:hyperlink>
    </w:p>
    <w:p w14:paraId="5A0BBB16" w14:textId="613554DD" w:rsidR="00311C90" w:rsidRDefault="00D90541">
      <w:pPr>
        <w:pStyle w:val="Obsah4"/>
        <w:rPr>
          <w:rFonts w:asciiTheme="minorHAnsi" w:eastAsiaTheme="minorEastAsia" w:hAnsiTheme="minorHAnsi" w:cstheme="minorBidi"/>
        </w:rPr>
      </w:pPr>
      <w:hyperlink w:anchor="_Toc495649361" w:history="1">
        <w:r w:rsidR="00311C90" w:rsidRPr="007077FC">
          <w:rPr>
            <w:rStyle w:val="Hypertextovprepojenie"/>
          </w:rPr>
          <w:t>3.2.2.1 Posudzovanie projektových zámerov</w:t>
        </w:r>
        <w:r w:rsidR="00311C90">
          <w:rPr>
            <w:webHidden/>
          </w:rPr>
          <w:tab/>
        </w:r>
        <w:r w:rsidR="00311C90">
          <w:rPr>
            <w:webHidden/>
          </w:rPr>
          <w:fldChar w:fldCharType="begin"/>
        </w:r>
        <w:r w:rsidR="00311C90">
          <w:rPr>
            <w:webHidden/>
          </w:rPr>
          <w:instrText xml:space="preserve"> PAGEREF _Toc495649361 \h </w:instrText>
        </w:r>
        <w:r w:rsidR="00311C90">
          <w:rPr>
            <w:webHidden/>
          </w:rPr>
        </w:r>
        <w:r w:rsidR="00311C90">
          <w:rPr>
            <w:webHidden/>
          </w:rPr>
          <w:fldChar w:fldCharType="separate"/>
        </w:r>
        <w:r w:rsidR="00A7472F">
          <w:rPr>
            <w:webHidden/>
          </w:rPr>
          <w:t>96</w:t>
        </w:r>
        <w:r w:rsidR="00311C90">
          <w:rPr>
            <w:webHidden/>
          </w:rPr>
          <w:fldChar w:fldCharType="end"/>
        </w:r>
      </w:hyperlink>
    </w:p>
    <w:p w14:paraId="0F151BBA" w14:textId="3076CFC0" w:rsidR="00311C90" w:rsidRDefault="00D90541">
      <w:pPr>
        <w:pStyle w:val="Obsah4"/>
        <w:rPr>
          <w:rFonts w:asciiTheme="minorHAnsi" w:eastAsiaTheme="minorEastAsia" w:hAnsiTheme="minorHAnsi" w:cstheme="minorBidi"/>
        </w:rPr>
      </w:pPr>
      <w:hyperlink w:anchor="_Toc495649362" w:history="1">
        <w:r w:rsidR="00311C90" w:rsidRPr="007077FC">
          <w:rPr>
            <w:rStyle w:val="Hypertextovprepojenie"/>
          </w:rPr>
          <w:t>3.2.2.2 Zohľadnenie výsledkov posúdenia projektových zámerov pri vyhlásení výzvy a konaní o žiadostiach o poskytnutí nenávratného finančného príspevku</w:t>
        </w:r>
        <w:r w:rsidR="00311C90">
          <w:rPr>
            <w:webHidden/>
          </w:rPr>
          <w:tab/>
        </w:r>
        <w:r w:rsidR="00311C90">
          <w:rPr>
            <w:webHidden/>
          </w:rPr>
          <w:fldChar w:fldCharType="begin"/>
        </w:r>
        <w:r w:rsidR="00311C90">
          <w:rPr>
            <w:webHidden/>
          </w:rPr>
          <w:instrText xml:space="preserve"> PAGEREF _Toc495649362 \h </w:instrText>
        </w:r>
        <w:r w:rsidR="00311C90">
          <w:rPr>
            <w:webHidden/>
          </w:rPr>
        </w:r>
        <w:r w:rsidR="00311C90">
          <w:rPr>
            <w:webHidden/>
          </w:rPr>
          <w:fldChar w:fldCharType="separate"/>
        </w:r>
        <w:r w:rsidR="00A7472F">
          <w:rPr>
            <w:webHidden/>
          </w:rPr>
          <w:t>98</w:t>
        </w:r>
        <w:r w:rsidR="00311C90">
          <w:rPr>
            <w:webHidden/>
          </w:rPr>
          <w:fldChar w:fldCharType="end"/>
        </w:r>
      </w:hyperlink>
    </w:p>
    <w:p w14:paraId="37D57527" w14:textId="57491275" w:rsidR="00311C90" w:rsidRDefault="00D90541">
      <w:pPr>
        <w:pStyle w:val="Obsah4"/>
        <w:rPr>
          <w:rFonts w:asciiTheme="minorHAnsi" w:eastAsiaTheme="minorEastAsia" w:hAnsiTheme="minorHAnsi" w:cstheme="minorBidi"/>
        </w:rPr>
      </w:pPr>
      <w:hyperlink w:anchor="_Toc495649363" w:history="1">
        <w:r w:rsidR="00311C90" w:rsidRPr="007077FC">
          <w:rPr>
            <w:rStyle w:val="Hypertextovprepojenie"/>
          </w:rPr>
          <w:t>3.2.2.3 Záverečná správa z výzvy na predkladanie projektových zámerov</w:t>
        </w:r>
        <w:r w:rsidR="00311C90">
          <w:rPr>
            <w:webHidden/>
          </w:rPr>
          <w:tab/>
        </w:r>
        <w:r w:rsidR="00311C90">
          <w:rPr>
            <w:webHidden/>
          </w:rPr>
          <w:fldChar w:fldCharType="begin"/>
        </w:r>
        <w:r w:rsidR="00311C90">
          <w:rPr>
            <w:webHidden/>
          </w:rPr>
          <w:instrText xml:space="preserve"> PAGEREF _Toc495649363 \h </w:instrText>
        </w:r>
        <w:r w:rsidR="00311C90">
          <w:rPr>
            <w:webHidden/>
          </w:rPr>
        </w:r>
        <w:r w:rsidR="00311C90">
          <w:rPr>
            <w:webHidden/>
          </w:rPr>
          <w:fldChar w:fldCharType="separate"/>
        </w:r>
        <w:r w:rsidR="00A7472F">
          <w:rPr>
            <w:webHidden/>
          </w:rPr>
          <w:t>99</w:t>
        </w:r>
        <w:r w:rsidR="00311C90">
          <w:rPr>
            <w:webHidden/>
          </w:rPr>
          <w:fldChar w:fldCharType="end"/>
        </w:r>
      </w:hyperlink>
    </w:p>
    <w:p w14:paraId="12FC370E" w14:textId="5F19ABFF" w:rsidR="00311C90" w:rsidRDefault="00D90541">
      <w:pPr>
        <w:pStyle w:val="Obsah3"/>
        <w:rPr>
          <w:rFonts w:asciiTheme="minorHAnsi" w:eastAsiaTheme="minorEastAsia" w:hAnsiTheme="minorHAnsi" w:cstheme="minorBidi"/>
          <w:noProof/>
          <w:sz w:val="22"/>
          <w:szCs w:val="22"/>
        </w:rPr>
      </w:pPr>
      <w:hyperlink w:anchor="_Toc495649364" w:history="1">
        <w:r w:rsidR="00311C90" w:rsidRPr="007077FC">
          <w:rPr>
            <w:rStyle w:val="Hypertextovprepojenie"/>
            <w:noProof/>
          </w:rPr>
          <w:t>3.2.3 Zásobník projektov</w:t>
        </w:r>
        <w:r w:rsidR="00311C90">
          <w:rPr>
            <w:noProof/>
            <w:webHidden/>
          </w:rPr>
          <w:tab/>
        </w:r>
        <w:r w:rsidR="00311C90">
          <w:rPr>
            <w:noProof/>
            <w:webHidden/>
          </w:rPr>
          <w:fldChar w:fldCharType="begin"/>
        </w:r>
        <w:r w:rsidR="00311C90">
          <w:rPr>
            <w:noProof/>
            <w:webHidden/>
          </w:rPr>
          <w:instrText xml:space="preserve"> PAGEREF _Toc495649364 \h </w:instrText>
        </w:r>
        <w:r w:rsidR="00311C90">
          <w:rPr>
            <w:noProof/>
            <w:webHidden/>
          </w:rPr>
        </w:r>
        <w:r w:rsidR="00311C90">
          <w:rPr>
            <w:noProof/>
            <w:webHidden/>
          </w:rPr>
          <w:fldChar w:fldCharType="separate"/>
        </w:r>
        <w:r w:rsidR="00A7472F">
          <w:rPr>
            <w:noProof/>
            <w:webHidden/>
          </w:rPr>
          <w:t>100</w:t>
        </w:r>
        <w:r w:rsidR="00311C90">
          <w:rPr>
            <w:noProof/>
            <w:webHidden/>
          </w:rPr>
          <w:fldChar w:fldCharType="end"/>
        </w:r>
      </w:hyperlink>
    </w:p>
    <w:p w14:paraId="70D8DE6A" w14:textId="43F0D2D0" w:rsidR="00311C90" w:rsidRDefault="00D90541">
      <w:pPr>
        <w:pStyle w:val="Obsah3"/>
        <w:rPr>
          <w:rFonts w:asciiTheme="minorHAnsi" w:eastAsiaTheme="minorEastAsia" w:hAnsiTheme="minorHAnsi" w:cstheme="minorBidi"/>
          <w:noProof/>
          <w:sz w:val="22"/>
          <w:szCs w:val="22"/>
        </w:rPr>
      </w:pPr>
      <w:hyperlink w:anchor="_Toc495649365" w:history="1">
        <w:r w:rsidR="00311C90" w:rsidRPr="007077FC">
          <w:rPr>
            <w:rStyle w:val="Hypertextovprepojenie"/>
            <w:noProof/>
          </w:rPr>
          <w:t>3.2.4 Opravné prostriedky</w:t>
        </w:r>
        <w:r w:rsidR="00311C90">
          <w:rPr>
            <w:noProof/>
            <w:webHidden/>
          </w:rPr>
          <w:tab/>
        </w:r>
        <w:r w:rsidR="00311C90">
          <w:rPr>
            <w:noProof/>
            <w:webHidden/>
          </w:rPr>
          <w:fldChar w:fldCharType="begin"/>
        </w:r>
        <w:r w:rsidR="00311C90">
          <w:rPr>
            <w:noProof/>
            <w:webHidden/>
          </w:rPr>
          <w:instrText xml:space="preserve"> PAGEREF _Toc495649365 \h </w:instrText>
        </w:r>
        <w:r w:rsidR="00311C90">
          <w:rPr>
            <w:noProof/>
            <w:webHidden/>
          </w:rPr>
        </w:r>
        <w:r w:rsidR="00311C90">
          <w:rPr>
            <w:noProof/>
            <w:webHidden/>
          </w:rPr>
          <w:fldChar w:fldCharType="separate"/>
        </w:r>
        <w:r w:rsidR="00A7472F">
          <w:rPr>
            <w:noProof/>
            <w:webHidden/>
          </w:rPr>
          <w:t>102</w:t>
        </w:r>
        <w:r w:rsidR="00311C90">
          <w:rPr>
            <w:noProof/>
            <w:webHidden/>
          </w:rPr>
          <w:fldChar w:fldCharType="end"/>
        </w:r>
      </w:hyperlink>
    </w:p>
    <w:p w14:paraId="4AD9698A" w14:textId="52F43FBA" w:rsidR="00311C90" w:rsidRDefault="00D90541">
      <w:pPr>
        <w:pStyle w:val="Obsah4"/>
        <w:rPr>
          <w:rFonts w:asciiTheme="minorHAnsi" w:eastAsiaTheme="minorEastAsia" w:hAnsiTheme="minorHAnsi" w:cstheme="minorBidi"/>
        </w:rPr>
      </w:pPr>
      <w:hyperlink w:anchor="_Toc495649366" w:history="1">
        <w:r w:rsidR="00311C90" w:rsidRPr="007077FC">
          <w:rPr>
            <w:rStyle w:val="Hypertextovprepojenie"/>
          </w:rPr>
          <w:t>3.2.4.1 Odvolanie a odvolacie konanie</w:t>
        </w:r>
        <w:r w:rsidR="00311C90">
          <w:rPr>
            <w:webHidden/>
          </w:rPr>
          <w:tab/>
        </w:r>
        <w:r w:rsidR="00311C90">
          <w:rPr>
            <w:webHidden/>
          </w:rPr>
          <w:fldChar w:fldCharType="begin"/>
        </w:r>
        <w:r w:rsidR="00311C90">
          <w:rPr>
            <w:webHidden/>
          </w:rPr>
          <w:instrText xml:space="preserve"> PAGEREF _Toc495649366 \h </w:instrText>
        </w:r>
        <w:r w:rsidR="00311C90">
          <w:rPr>
            <w:webHidden/>
          </w:rPr>
        </w:r>
        <w:r w:rsidR="00311C90">
          <w:rPr>
            <w:webHidden/>
          </w:rPr>
          <w:fldChar w:fldCharType="separate"/>
        </w:r>
        <w:r w:rsidR="00A7472F">
          <w:rPr>
            <w:webHidden/>
          </w:rPr>
          <w:t>103</w:t>
        </w:r>
        <w:r w:rsidR="00311C90">
          <w:rPr>
            <w:webHidden/>
          </w:rPr>
          <w:fldChar w:fldCharType="end"/>
        </w:r>
      </w:hyperlink>
    </w:p>
    <w:p w14:paraId="11B2B5AB" w14:textId="7D6C0E5C" w:rsidR="00311C90" w:rsidRDefault="00D90541">
      <w:pPr>
        <w:pStyle w:val="Obsah4"/>
        <w:rPr>
          <w:rFonts w:asciiTheme="minorHAnsi" w:eastAsiaTheme="minorEastAsia" w:hAnsiTheme="minorHAnsi" w:cstheme="minorBidi"/>
        </w:rPr>
      </w:pPr>
      <w:hyperlink w:anchor="_Toc495649367" w:history="1">
        <w:r w:rsidR="00311C90" w:rsidRPr="007077FC">
          <w:rPr>
            <w:rStyle w:val="Hypertextovprepojenie"/>
          </w:rPr>
          <w:t>3.2.4.2 Preskúmanie rozhodnutia mimo odvolacieho konania</w:t>
        </w:r>
        <w:r w:rsidR="00311C90">
          <w:rPr>
            <w:webHidden/>
          </w:rPr>
          <w:tab/>
        </w:r>
        <w:r w:rsidR="00311C90">
          <w:rPr>
            <w:webHidden/>
          </w:rPr>
          <w:fldChar w:fldCharType="begin"/>
        </w:r>
        <w:r w:rsidR="00311C90">
          <w:rPr>
            <w:webHidden/>
          </w:rPr>
          <w:instrText xml:space="preserve"> PAGEREF _Toc495649367 \h </w:instrText>
        </w:r>
        <w:r w:rsidR="00311C90">
          <w:rPr>
            <w:webHidden/>
          </w:rPr>
        </w:r>
        <w:r w:rsidR="00311C90">
          <w:rPr>
            <w:webHidden/>
          </w:rPr>
          <w:fldChar w:fldCharType="separate"/>
        </w:r>
        <w:r w:rsidR="00A7472F">
          <w:rPr>
            <w:webHidden/>
          </w:rPr>
          <w:t>106</w:t>
        </w:r>
        <w:r w:rsidR="00311C90">
          <w:rPr>
            <w:webHidden/>
          </w:rPr>
          <w:fldChar w:fldCharType="end"/>
        </w:r>
      </w:hyperlink>
    </w:p>
    <w:p w14:paraId="0FF00F21" w14:textId="1F4D5599" w:rsidR="00311C90" w:rsidRDefault="00D90541">
      <w:pPr>
        <w:pStyle w:val="Obsah4"/>
        <w:rPr>
          <w:rFonts w:asciiTheme="minorHAnsi" w:eastAsiaTheme="minorEastAsia" w:hAnsiTheme="minorHAnsi" w:cstheme="minorBidi"/>
        </w:rPr>
      </w:pPr>
      <w:hyperlink w:anchor="_Toc495649368" w:history="1">
        <w:r w:rsidR="00311C90" w:rsidRPr="007077FC">
          <w:rPr>
            <w:rStyle w:val="Hypertextovprepojenie"/>
          </w:rPr>
          <w:t>3.2.4.3 Oprava rozhodnutia</w:t>
        </w:r>
        <w:r w:rsidR="00311C90">
          <w:rPr>
            <w:webHidden/>
          </w:rPr>
          <w:tab/>
        </w:r>
        <w:r w:rsidR="00311C90">
          <w:rPr>
            <w:webHidden/>
          </w:rPr>
          <w:fldChar w:fldCharType="begin"/>
        </w:r>
        <w:r w:rsidR="00311C90">
          <w:rPr>
            <w:webHidden/>
          </w:rPr>
          <w:instrText xml:space="preserve"> PAGEREF _Toc495649368 \h </w:instrText>
        </w:r>
        <w:r w:rsidR="00311C90">
          <w:rPr>
            <w:webHidden/>
          </w:rPr>
        </w:r>
        <w:r w:rsidR="00311C90">
          <w:rPr>
            <w:webHidden/>
          </w:rPr>
          <w:fldChar w:fldCharType="separate"/>
        </w:r>
        <w:r w:rsidR="00A7472F">
          <w:rPr>
            <w:webHidden/>
          </w:rPr>
          <w:t>108</w:t>
        </w:r>
        <w:r w:rsidR="00311C90">
          <w:rPr>
            <w:webHidden/>
          </w:rPr>
          <w:fldChar w:fldCharType="end"/>
        </w:r>
      </w:hyperlink>
    </w:p>
    <w:p w14:paraId="07812CB3" w14:textId="5BB7B912" w:rsidR="00311C90" w:rsidRDefault="00D90541">
      <w:pPr>
        <w:pStyle w:val="Obsah2"/>
        <w:rPr>
          <w:rFonts w:asciiTheme="minorHAnsi" w:eastAsiaTheme="minorEastAsia" w:hAnsiTheme="minorHAnsi" w:cstheme="minorBidi"/>
          <w:noProof/>
          <w:sz w:val="22"/>
          <w:szCs w:val="22"/>
        </w:rPr>
      </w:pPr>
      <w:hyperlink w:anchor="_Toc495649369" w:history="1">
        <w:r w:rsidR="00311C90" w:rsidRPr="007077FC">
          <w:rPr>
            <w:rStyle w:val="Hypertextovprepojenie"/>
            <w:noProof/>
          </w:rPr>
          <w:t>3.3 Implementácia projektov</w:t>
        </w:r>
        <w:r w:rsidR="00311C90">
          <w:rPr>
            <w:noProof/>
            <w:webHidden/>
          </w:rPr>
          <w:tab/>
        </w:r>
        <w:r w:rsidR="00311C90">
          <w:rPr>
            <w:noProof/>
            <w:webHidden/>
          </w:rPr>
          <w:fldChar w:fldCharType="begin"/>
        </w:r>
        <w:r w:rsidR="00311C90">
          <w:rPr>
            <w:noProof/>
            <w:webHidden/>
          </w:rPr>
          <w:instrText xml:space="preserve"> PAGEREF _Toc495649369 \h </w:instrText>
        </w:r>
        <w:r w:rsidR="00311C90">
          <w:rPr>
            <w:noProof/>
            <w:webHidden/>
          </w:rPr>
        </w:r>
        <w:r w:rsidR="00311C90">
          <w:rPr>
            <w:noProof/>
            <w:webHidden/>
          </w:rPr>
          <w:fldChar w:fldCharType="separate"/>
        </w:r>
        <w:r w:rsidR="00A7472F">
          <w:rPr>
            <w:noProof/>
            <w:webHidden/>
          </w:rPr>
          <w:t>108</w:t>
        </w:r>
        <w:r w:rsidR="00311C90">
          <w:rPr>
            <w:noProof/>
            <w:webHidden/>
          </w:rPr>
          <w:fldChar w:fldCharType="end"/>
        </w:r>
      </w:hyperlink>
    </w:p>
    <w:p w14:paraId="019C7BFD" w14:textId="6EC59C3B" w:rsidR="00311C90" w:rsidRDefault="00D90541">
      <w:pPr>
        <w:pStyle w:val="Obsah3"/>
        <w:rPr>
          <w:rFonts w:asciiTheme="minorHAnsi" w:eastAsiaTheme="minorEastAsia" w:hAnsiTheme="minorHAnsi" w:cstheme="minorBidi"/>
          <w:noProof/>
          <w:sz w:val="22"/>
          <w:szCs w:val="22"/>
        </w:rPr>
      </w:pPr>
      <w:hyperlink w:anchor="_Toc495649370" w:history="1">
        <w:r w:rsidR="00311C90" w:rsidRPr="007077FC">
          <w:rPr>
            <w:rStyle w:val="Hypertextovprepojenie"/>
            <w:noProof/>
          </w:rPr>
          <w:t>3.3.1 Príprava zmluvy o NFP</w:t>
        </w:r>
        <w:r w:rsidR="00311C90">
          <w:rPr>
            <w:noProof/>
            <w:webHidden/>
          </w:rPr>
          <w:tab/>
        </w:r>
        <w:r w:rsidR="00311C90">
          <w:rPr>
            <w:noProof/>
            <w:webHidden/>
          </w:rPr>
          <w:fldChar w:fldCharType="begin"/>
        </w:r>
        <w:r w:rsidR="00311C90">
          <w:rPr>
            <w:noProof/>
            <w:webHidden/>
          </w:rPr>
          <w:instrText xml:space="preserve"> PAGEREF _Toc495649370 \h </w:instrText>
        </w:r>
        <w:r w:rsidR="00311C90">
          <w:rPr>
            <w:noProof/>
            <w:webHidden/>
          </w:rPr>
        </w:r>
        <w:r w:rsidR="00311C90">
          <w:rPr>
            <w:noProof/>
            <w:webHidden/>
          </w:rPr>
          <w:fldChar w:fldCharType="separate"/>
        </w:r>
        <w:r w:rsidR="00A7472F">
          <w:rPr>
            <w:noProof/>
            <w:webHidden/>
          </w:rPr>
          <w:t>109</w:t>
        </w:r>
        <w:r w:rsidR="00311C90">
          <w:rPr>
            <w:noProof/>
            <w:webHidden/>
          </w:rPr>
          <w:fldChar w:fldCharType="end"/>
        </w:r>
      </w:hyperlink>
    </w:p>
    <w:p w14:paraId="6B4D4BC9" w14:textId="7151D5F5" w:rsidR="00311C90" w:rsidRDefault="00D90541">
      <w:pPr>
        <w:pStyle w:val="Obsah3"/>
        <w:rPr>
          <w:rFonts w:asciiTheme="minorHAnsi" w:eastAsiaTheme="minorEastAsia" w:hAnsiTheme="minorHAnsi" w:cstheme="minorBidi"/>
          <w:noProof/>
          <w:sz w:val="22"/>
          <w:szCs w:val="22"/>
        </w:rPr>
      </w:pPr>
      <w:hyperlink w:anchor="_Toc495649371" w:history="1">
        <w:r w:rsidR="00311C90" w:rsidRPr="007077FC">
          <w:rPr>
            <w:rStyle w:val="Hypertextovprepojenie"/>
            <w:noProof/>
          </w:rPr>
          <w:t>3.3.2 Uzavretie zmluvy o NFP</w:t>
        </w:r>
        <w:r w:rsidR="00311C90">
          <w:rPr>
            <w:noProof/>
            <w:webHidden/>
          </w:rPr>
          <w:tab/>
        </w:r>
        <w:r w:rsidR="00311C90">
          <w:rPr>
            <w:noProof/>
            <w:webHidden/>
          </w:rPr>
          <w:fldChar w:fldCharType="begin"/>
        </w:r>
        <w:r w:rsidR="00311C90">
          <w:rPr>
            <w:noProof/>
            <w:webHidden/>
          </w:rPr>
          <w:instrText xml:space="preserve"> PAGEREF _Toc495649371 \h </w:instrText>
        </w:r>
        <w:r w:rsidR="00311C90">
          <w:rPr>
            <w:noProof/>
            <w:webHidden/>
          </w:rPr>
        </w:r>
        <w:r w:rsidR="00311C90">
          <w:rPr>
            <w:noProof/>
            <w:webHidden/>
          </w:rPr>
          <w:fldChar w:fldCharType="separate"/>
        </w:r>
        <w:r w:rsidR="00A7472F">
          <w:rPr>
            <w:noProof/>
            <w:webHidden/>
          </w:rPr>
          <w:t>109</w:t>
        </w:r>
        <w:r w:rsidR="00311C90">
          <w:rPr>
            <w:noProof/>
            <w:webHidden/>
          </w:rPr>
          <w:fldChar w:fldCharType="end"/>
        </w:r>
      </w:hyperlink>
    </w:p>
    <w:p w14:paraId="0F6144AD" w14:textId="2CC98FD3" w:rsidR="00311C90" w:rsidRDefault="00D90541">
      <w:pPr>
        <w:pStyle w:val="Obsah3"/>
        <w:rPr>
          <w:rFonts w:asciiTheme="minorHAnsi" w:eastAsiaTheme="minorEastAsia" w:hAnsiTheme="minorHAnsi" w:cstheme="minorBidi"/>
          <w:noProof/>
          <w:sz w:val="22"/>
          <w:szCs w:val="22"/>
        </w:rPr>
      </w:pPr>
      <w:hyperlink w:anchor="_Toc495649372" w:history="1">
        <w:r w:rsidR="00311C90" w:rsidRPr="007077FC">
          <w:rPr>
            <w:rStyle w:val="Hypertextovprepojenie"/>
            <w:noProof/>
          </w:rPr>
          <w:t>3.3.3 Zabezpečenie pohľadávky RO</w:t>
        </w:r>
        <w:r w:rsidR="00311C90">
          <w:rPr>
            <w:noProof/>
            <w:webHidden/>
          </w:rPr>
          <w:tab/>
        </w:r>
        <w:r w:rsidR="00311C90">
          <w:rPr>
            <w:noProof/>
            <w:webHidden/>
          </w:rPr>
          <w:fldChar w:fldCharType="begin"/>
        </w:r>
        <w:r w:rsidR="00311C90">
          <w:rPr>
            <w:noProof/>
            <w:webHidden/>
          </w:rPr>
          <w:instrText xml:space="preserve"> PAGEREF _Toc495649372 \h </w:instrText>
        </w:r>
        <w:r w:rsidR="00311C90">
          <w:rPr>
            <w:noProof/>
            <w:webHidden/>
          </w:rPr>
        </w:r>
        <w:r w:rsidR="00311C90">
          <w:rPr>
            <w:noProof/>
            <w:webHidden/>
          </w:rPr>
          <w:fldChar w:fldCharType="separate"/>
        </w:r>
        <w:r w:rsidR="00A7472F">
          <w:rPr>
            <w:noProof/>
            <w:webHidden/>
          </w:rPr>
          <w:t>110</w:t>
        </w:r>
        <w:r w:rsidR="00311C90">
          <w:rPr>
            <w:noProof/>
            <w:webHidden/>
          </w:rPr>
          <w:fldChar w:fldCharType="end"/>
        </w:r>
      </w:hyperlink>
    </w:p>
    <w:p w14:paraId="21945A05" w14:textId="3DF711EE" w:rsidR="00311C90" w:rsidRDefault="00D90541">
      <w:pPr>
        <w:pStyle w:val="Obsah3"/>
        <w:rPr>
          <w:rFonts w:asciiTheme="minorHAnsi" w:eastAsiaTheme="minorEastAsia" w:hAnsiTheme="minorHAnsi" w:cstheme="minorBidi"/>
          <w:noProof/>
          <w:sz w:val="22"/>
          <w:szCs w:val="22"/>
        </w:rPr>
      </w:pPr>
      <w:hyperlink w:anchor="_Toc495649373" w:history="1">
        <w:r w:rsidR="00311C90" w:rsidRPr="007077FC">
          <w:rPr>
            <w:rStyle w:val="Hypertextovprepojenie"/>
            <w:noProof/>
          </w:rPr>
          <w:t>3.3.4 Základné princípy realizácie projektov</w:t>
        </w:r>
        <w:r w:rsidR="00311C90">
          <w:rPr>
            <w:noProof/>
            <w:webHidden/>
          </w:rPr>
          <w:tab/>
        </w:r>
        <w:r w:rsidR="00311C90">
          <w:rPr>
            <w:noProof/>
            <w:webHidden/>
          </w:rPr>
          <w:fldChar w:fldCharType="begin"/>
        </w:r>
        <w:r w:rsidR="00311C90">
          <w:rPr>
            <w:noProof/>
            <w:webHidden/>
          </w:rPr>
          <w:instrText xml:space="preserve"> PAGEREF _Toc495649373 \h </w:instrText>
        </w:r>
        <w:r w:rsidR="00311C90">
          <w:rPr>
            <w:noProof/>
            <w:webHidden/>
          </w:rPr>
        </w:r>
        <w:r w:rsidR="00311C90">
          <w:rPr>
            <w:noProof/>
            <w:webHidden/>
          </w:rPr>
          <w:fldChar w:fldCharType="separate"/>
        </w:r>
        <w:r w:rsidR="00A7472F">
          <w:rPr>
            <w:noProof/>
            <w:webHidden/>
          </w:rPr>
          <w:t>111</w:t>
        </w:r>
        <w:r w:rsidR="00311C90">
          <w:rPr>
            <w:noProof/>
            <w:webHidden/>
          </w:rPr>
          <w:fldChar w:fldCharType="end"/>
        </w:r>
      </w:hyperlink>
    </w:p>
    <w:p w14:paraId="534E3BFF" w14:textId="6A5005DF" w:rsidR="00311C90" w:rsidRDefault="00D90541">
      <w:pPr>
        <w:pStyle w:val="Obsah4"/>
        <w:rPr>
          <w:rFonts w:asciiTheme="minorHAnsi" w:eastAsiaTheme="minorEastAsia" w:hAnsiTheme="minorHAnsi" w:cstheme="minorBidi"/>
        </w:rPr>
      </w:pPr>
      <w:hyperlink w:anchor="_Toc495649374" w:history="1">
        <w:r w:rsidR="00311C90" w:rsidRPr="007077FC">
          <w:rPr>
            <w:rStyle w:val="Hypertextovprepojenie"/>
          </w:rPr>
          <w:t>3.3.4.1 Monitorovanie projektov</w:t>
        </w:r>
        <w:r w:rsidR="00311C90">
          <w:rPr>
            <w:webHidden/>
          </w:rPr>
          <w:tab/>
        </w:r>
        <w:r w:rsidR="00311C90">
          <w:rPr>
            <w:webHidden/>
          </w:rPr>
          <w:fldChar w:fldCharType="begin"/>
        </w:r>
        <w:r w:rsidR="00311C90">
          <w:rPr>
            <w:webHidden/>
          </w:rPr>
          <w:instrText xml:space="preserve"> PAGEREF _Toc495649374 \h </w:instrText>
        </w:r>
        <w:r w:rsidR="00311C90">
          <w:rPr>
            <w:webHidden/>
          </w:rPr>
        </w:r>
        <w:r w:rsidR="00311C90">
          <w:rPr>
            <w:webHidden/>
          </w:rPr>
          <w:fldChar w:fldCharType="separate"/>
        </w:r>
        <w:r w:rsidR="00A7472F">
          <w:rPr>
            <w:webHidden/>
          </w:rPr>
          <w:t>111</w:t>
        </w:r>
        <w:r w:rsidR="00311C90">
          <w:rPr>
            <w:webHidden/>
          </w:rPr>
          <w:fldChar w:fldCharType="end"/>
        </w:r>
      </w:hyperlink>
    </w:p>
    <w:p w14:paraId="7B6078BB" w14:textId="22200C48" w:rsidR="00311C90" w:rsidRDefault="00D90541">
      <w:pPr>
        <w:pStyle w:val="Obsah4"/>
        <w:rPr>
          <w:rFonts w:asciiTheme="minorHAnsi" w:eastAsiaTheme="minorEastAsia" w:hAnsiTheme="minorHAnsi" w:cstheme="minorBidi"/>
        </w:rPr>
      </w:pPr>
      <w:hyperlink w:anchor="_Toc495649375" w:history="1">
        <w:r w:rsidR="00311C90" w:rsidRPr="007077FC">
          <w:rPr>
            <w:rStyle w:val="Hypertextovprepojenie"/>
          </w:rPr>
          <w:t>3.3.4.2 Udržateľnosť projektov</w:t>
        </w:r>
        <w:r w:rsidR="00311C90">
          <w:rPr>
            <w:webHidden/>
          </w:rPr>
          <w:tab/>
        </w:r>
        <w:r w:rsidR="00311C90">
          <w:rPr>
            <w:webHidden/>
          </w:rPr>
          <w:fldChar w:fldCharType="begin"/>
        </w:r>
        <w:r w:rsidR="00311C90">
          <w:rPr>
            <w:webHidden/>
          </w:rPr>
          <w:instrText xml:space="preserve"> PAGEREF _Toc495649375 \h </w:instrText>
        </w:r>
        <w:r w:rsidR="00311C90">
          <w:rPr>
            <w:webHidden/>
          </w:rPr>
        </w:r>
        <w:r w:rsidR="00311C90">
          <w:rPr>
            <w:webHidden/>
          </w:rPr>
          <w:fldChar w:fldCharType="separate"/>
        </w:r>
        <w:r w:rsidR="00A7472F">
          <w:rPr>
            <w:webHidden/>
          </w:rPr>
          <w:t>112</w:t>
        </w:r>
        <w:r w:rsidR="00311C90">
          <w:rPr>
            <w:webHidden/>
          </w:rPr>
          <w:fldChar w:fldCharType="end"/>
        </w:r>
      </w:hyperlink>
    </w:p>
    <w:p w14:paraId="3F0488A2" w14:textId="596E946F" w:rsidR="00311C90" w:rsidRDefault="00D90541">
      <w:pPr>
        <w:pStyle w:val="Obsah3"/>
        <w:rPr>
          <w:rFonts w:asciiTheme="minorHAnsi" w:eastAsiaTheme="minorEastAsia" w:hAnsiTheme="minorHAnsi" w:cstheme="minorBidi"/>
          <w:noProof/>
          <w:sz w:val="22"/>
          <w:szCs w:val="22"/>
        </w:rPr>
      </w:pPr>
      <w:hyperlink w:anchor="_Toc495649376" w:history="1">
        <w:r w:rsidR="00311C90" w:rsidRPr="007077FC">
          <w:rPr>
            <w:rStyle w:val="Hypertextovprepojenie"/>
            <w:noProof/>
          </w:rPr>
          <w:t>3.3.5 Zmenové konanie</w:t>
        </w:r>
        <w:r w:rsidR="00311C90">
          <w:rPr>
            <w:noProof/>
            <w:webHidden/>
          </w:rPr>
          <w:tab/>
        </w:r>
        <w:r w:rsidR="00311C90">
          <w:rPr>
            <w:noProof/>
            <w:webHidden/>
          </w:rPr>
          <w:fldChar w:fldCharType="begin"/>
        </w:r>
        <w:r w:rsidR="00311C90">
          <w:rPr>
            <w:noProof/>
            <w:webHidden/>
          </w:rPr>
          <w:instrText xml:space="preserve"> PAGEREF _Toc495649376 \h </w:instrText>
        </w:r>
        <w:r w:rsidR="00311C90">
          <w:rPr>
            <w:noProof/>
            <w:webHidden/>
          </w:rPr>
        </w:r>
        <w:r w:rsidR="00311C90">
          <w:rPr>
            <w:noProof/>
            <w:webHidden/>
          </w:rPr>
          <w:fldChar w:fldCharType="separate"/>
        </w:r>
        <w:r w:rsidR="00A7472F">
          <w:rPr>
            <w:noProof/>
            <w:webHidden/>
          </w:rPr>
          <w:t>112</w:t>
        </w:r>
        <w:r w:rsidR="00311C90">
          <w:rPr>
            <w:noProof/>
            <w:webHidden/>
          </w:rPr>
          <w:fldChar w:fldCharType="end"/>
        </w:r>
      </w:hyperlink>
    </w:p>
    <w:p w14:paraId="2BFA7B81" w14:textId="1D21D31A" w:rsidR="00311C90" w:rsidRDefault="00D90541">
      <w:pPr>
        <w:pStyle w:val="Obsah3"/>
        <w:rPr>
          <w:rFonts w:asciiTheme="minorHAnsi" w:eastAsiaTheme="minorEastAsia" w:hAnsiTheme="minorHAnsi" w:cstheme="minorBidi"/>
          <w:noProof/>
          <w:sz w:val="22"/>
          <w:szCs w:val="22"/>
        </w:rPr>
      </w:pPr>
      <w:hyperlink w:anchor="_Toc495649377" w:history="1">
        <w:r w:rsidR="00311C90" w:rsidRPr="007077FC">
          <w:rPr>
            <w:rStyle w:val="Hypertextovprepojenie"/>
            <w:noProof/>
          </w:rPr>
          <w:t>3.3.6 Kontrola projektu</w:t>
        </w:r>
        <w:r w:rsidR="00311C90">
          <w:rPr>
            <w:noProof/>
            <w:webHidden/>
          </w:rPr>
          <w:tab/>
        </w:r>
        <w:r w:rsidR="00311C90">
          <w:rPr>
            <w:noProof/>
            <w:webHidden/>
          </w:rPr>
          <w:fldChar w:fldCharType="begin"/>
        </w:r>
        <w:r w:rsidR="00311C90">
          <w:rPr>
            <w:noProof/>
            <w:webHidden/>
          </w:rPr>
          <w:instrText xml:space="preserve"> PAGEREF _Toc495649377 \h </w:instrText>
        </w:r>
        <w:r w:rsidR="00311C90">
          <w:rPr>
            <w:noProof/>
            <w:webHidden/>
          </w:rPr>
        </w:r>
        <w:r w:rsidR="00311C90">
          <w:rPr>
            <w:noProof/>
            <w:webHidden/>
          </w:rPr>
          <w:fldChar w:fldCharType="separate"/>
        </w:r>
        <w:r w:rsidR="00A7472F">
          <w:rPr>
            <w:noProof/>
            <w:webHidden/>
          </w:rPr>
          <w:t>113</w:t>
        </w:r>
        <w:r w:rsidR="00311C90">
          <w:rPr>
            <w:noProof/>
            <w:webHidden/>
          </w:rPr>
          <w:fldChar w:fldCharType="end"/>
        </w:r>
      </w:hyperlink>
    </w:p>
    <w:p w14:paraId="4360D6BC" w14:textId="30DA32D6" w:rsidR="00311C90" w:rsidRDefault="00D90541">
      <w:pPr>
        <w:pStyle w:val="Obsah4"/>
        <w:rPr>
          <w:rFonts w:asciiTheme="minorHAnsi" w:eastAsiaTheme="minorEastAsia" w:hAnsiTheme="minorHAnsi" w:cstheme="minorBidi"/>
        </w:rPr>
      </w:pPr>
      <w:hyperlink w:anchor="_Toc495649378" w:history="1">
        <w:r w:rsidR="00311C90" w:rsidRPr="007077FC">
          <w:rPr>
            <w:rStyle w:val="Hypertextovprepojenie"/>
          </w:rPr>
          <w:t>3.3.6.1 Všeobecné ustanovenia o kontrole projektu</w:t>
        </w:r>
        <w:r w:rsidR="00311C90">
          <w:rPr>
            <w:webHidden/>
          </w:rPr>
          <w:tab/>
        </w:r>
        <w:r w:rsidR="00311C90">
          <w:rPr>
            <w:webHidden/>
          </w:rPr>
          <w:fldChar w:fldCharType="begin"/>
        </w:r>
        <w:r w:rsidR="00311C90">
          <w:rPr>
            <w:webHidden/>
          </w:rPr>
          <w:instrText xml:space="preserve"> PAGEREF _Toc495649378 \h </w:instrText>
        </w:r>
        <w:r w:rsidR="00311C90">
          <w:rPr>
            <w:webHidden/>
          </w:rPr>
        </w:r>
        <w:r w:rsidR="00311C90">
          <w:rPr>
            <w:webHidden/>
          </w:rPr>
          <w:fldChar w:fldCharType="separate"/>
        </w:r>
        <w:r w:rsidR="00A7472F">
          <w:rPr>
            <w:webHidden/>
          </w:rPr>
          <w:t>113</w:t>
        </w:r>
        <w:r w:rsidR="00311C90">
          <w:rPr>
            <w:webHidden/>
          </w:rPr>
          <w:fldChar w:fldCharType="end"/>
        </w:r>
      </w:hyperlink>
    </w:p>
    <w:p w14:paraId="751AC016" w14:textId="623C0D35" w:rsidR="00311C90" w:rsidRDefault="00D90541">
      <w:pPr>
        <w:pStyle w:val="Obsah5"/>
        <w:rPr>
          <w:rFonts w:asciiTheme="minorHAnsi" w:eastAsiaTheme="minorEastAsia" w:hAnsiTheme="minorHAnsi" w:cstheme="minorBidi"/>
          <w:sz w:val="22"/>
        </w:rPr>
      </w:pPr>
      <w:hyperlink w:anchor="_Toc495649379" w:history="1">
        <w:r w:rsidR="00311C90" w:rsidRPr="007077FC">
          <w:rPr>
            <w:rStyle w:val="Hypertextovprepojenie"/>
          </w:rPr>
          <w:t>3.3.6.1.1 Základné povinnosti a oprávnenia riadiaceho orgánu pri výkone kontroly projektu</w:t>
        </w:r>
        <w:r w:rsidR="00311C90">
          <w:rPr>
            <w:webHidden/>
          </w:rPr>
          <w:tab/>
        </w:r>
        <w:r w:rsidR="00311C90">
          <w:rPr>
            <w:webHidden/>
          </w:rPr>
          <w:fldChar w:fldCharType="begin"/>
        </w:r>
        <w:r w:rsidR="00311C90">
          <w:rPr>
            <w:webHidden/>
          </w:rPr>
          <w:instrText xml:space="preserve"> PAGEREF _Toc495649379 \h </w:instrText>
        </w:r>
        <w:r w:rsidR="00311C90">
          <w:rPr>
            <w:webHidden/>
          </w:rPr>
        </w:r>
        <w:r w:rsidR="00311C90">
          <w:rPr>
            <w:webHidden/>
          </w:rPr>
          <w:fldChar w:fldCharType="separate"/>
        </w:r>
        <w:r w:rsidR="00A7472F">
          <w:rPr>
            <w:webHidden/>
          </w:rPr>
          <w:t>119</w:t>
        </w:r>
        <w:r w:rsidR="00311C90">
          <w:rPr>
            <w:webHidden/>
          </w:rPr>
          <w:fldChar w:fldCharType="end"/>
        </w:r>
      </w:hyperlink>
    </w:p>
    <w:p w14:paraId="1E480B5F" w14:textId="36A1034A" w:rsidR="00311C90" w:rsidRDefault="00D90541">
      <w:pPr>
        <w:pStyle w:val="Obsah5"/>
        <w:rPr>
          <w:rFonts w:asciiTheme="minorHAnsi" w:eastAsiaTheme="minorEastAsia" w:hAnsiTheme="minorHAnsi" w:cstheme="minorBidi"/>
          <w:sz w:val="22"/>
        </w:rPr>
      </w:pPr>
      <w:hyperlink w:anchor="_Toc495649380" w:history="1">
        <w:r w:rsidR="00311C90" w:rsidRPr="007077FC">
          <w:rPr>
            <w:rStyle w:val="Hypertextovprepojenie"/>
          </w:rPr>
          <w:t>3.3.6.1.2 Predmet a cieľ kontroly projektu</w:t>
        </w:r>
        <w:r w:rsidR="00311C90">
          <w:rPr>
            <w:webHidden/>
          </w:rPr>
          <w:tab/>
        </w:r>
        <w:r w:rsidR="00311C90">
          <w:rPr>
            <w:webHidden/>
          </w:rPr>
          <w:fldChar w:fldCharType="begin"/>
        </w:r>
        <w:r w:rsidR="00311C90">
          <w:rPr>
            <w:webHidden/>
          </w:rPr>
          <w:instrText xml:space="preserve"> PAGEREF _Toc495649380 \h </w:instrText>
        </w:r>
        <w:r w:rsidR="00311C90">
          <w:rPr>
            <w:webHidden/>
          </w:rPr>
        </w:r>
        <w:r w:rsidR="00311C90">
          <w:rPr>
            <w:webHidden/>
          </w:rPr>
          <w:fldChar w:fldCharType="separate"/>
        </w:r>
        <w:r w:rsidR="00A7472F">
          <w:rPr>
            <w:webHidden/>
          </w:rPr>
          <w:t>124</w:t>
        </w:r>
        <w:r w:rsidR="00311C90">
          <w:rPr>
            <w:webHidden/>
          </w:rPr>
          <w:fldChar w:fldCharType="end"/>
        </w:r>
      </w:hyperlink>
    </w:p>
    <w:p w14:paraId="4CE90D42" w14:textId="0084BCBD" w:rsidR="00311C90" w:rsidRDefault="00D90541">
      <w:pPr>
        <w:pStyle w:val="Obsah5"/>
        <w:tabs>
          <w:tab w:val="left" w:pos="2456"/>
        </w:tabs>
        <w:rPr>
          <w:rFonts w:asciiTheme="minorHAnsi" w:eastAsiaTheme="minorEastAsia" w:hAnsiTheme="minorHAnsi" w:cstheme="minorBidi"/>
          <w:sz w:val="22"/>
        </w:rPr>
      </w:pPr>
      <w:hyperlink w:anchor="_Toc495649381" w:history="1">
        <w:r w:rsidR="00311C90" w:rsidRPr="007077FC">
          <w:rPr>
            <w:rStyle w:val="Hypertextovprepojenie"/>
          </w:rPr>
          <w:t>3.3.6.1.3</w:t>
        </w:r>
        <w:r w:rsidR="00311C90">
          <w:rPr>
            <w:rFonts w:asciiTheme="minorHAnsi" w:eastAsiaTheme="minorEastAsia" w:hAnsiTheme="minorHAnsi" w:cstheme="minorBidi"/>
            <w:sz w:val="22"/>
          </w:rPr>
          <w:tab/>
        </w:r>
        <w:r w:rsidR="00311C90" w:rsidRPr="007077FC">
          <w:rPr>
            <w:rStyle w:val="Hypertextovprepojenie"/>
          </w:rPr>
          <w:t>Výstup z finančnej kontroly projektu a ukončenie kontroly projektu</w:t>
        </w:r>
        <w:r w:rsidR="00311C90">
          <w:rPr>
            <w:webHidden/>
          </w:rPr>
          <w:tab/>
        </w:r>
        <w:r w:rsidR="00311C90">
          <w:rPr>
            <w:webHidden/>
          </w:rPr>
          <w:fldChar w:fldCharType="begin"/>
        </w:r>
        <w:r w:rsidR="00311C90">
          <w:rPr>
            <w:webHidden/>
          </w:rPr>
          <w:instrText xml:space="preserve"> PAGEREF _Toc495649381 \h </w:instrText>
        </w:r>
        <w:r w:rsidR="00311C90">
          <w:rPr>
            <w:webHidden/>
          </w:rPr>
        </w:r>
        <w:r w:rsidR="00311C90">
          <w:rPr>
            <w:webHidden/>
          </w:rPr>
          <w:fldChar w:fldCharType="separate"/>
        </w:r>
        <w:r w:rsidR="00A7472F">
          <w:rPr>
            <w:webHidden/>
          </w:rPr>
          <w:t>127</w:t>
        </w:r>
        <w:r w:rsidR="00311C90">
          <w:rPr>
            <w:webHidden/>
          </w:rPr>
          <w:fldChar w:fldCharType="end"/>
        </w:r>
      </w:hyperlink>
    </w:p>
    <w:p w14:paraId="23AE7D56" w14:textId="390C4F78" w:rsidR="00311C90" w:rsidRDefault="00D90541">
      <w:pPr>
        <w:pStyle w:val="Obsah5"/>
        <w:rPr>
          <w:rFonts w:asciiTheme="minorHAnsi" w:eastAsiaTheme="minorEastAsia" w:hAnsiTheme="minorHAnsi" w:cstheme="minorBidi"/>
          <w:sz w:val="22"/>
        </w:rPr>
      </w:pPr>
      <w:hyperlink w:anchor="_Toc495649382" w:history="1">
        <w:r w:rsidR="00311C90" w:rsidRPr="007077FC">
          <w:rPr>
            <w:rStyle w:val="Hypertextovprepojenie"/>
          </w:rPr>
          <w:t>3.3.6.1.4 Osobitné ustanovenia pre výkon finančnej kontroly na mieste</w:t>
        </w:r>
        <w:r w:rsidR="00311C90">
          <w:rPr>
            <w:webHidden/>
          </w:rPr>
          <w:tab/>
        </w:r>
        <w:r w:rsidR="00311C90">
          <w:rPr>
            <w:webHidden/>
          </w:rPr>
          <w:fldChar w:fldCharType="begin"/>
        </w:r>
        <w:r w:rsidR="00311C90">
          <w:rPr>
            <w:webHidden/>
          </w:rPr>
          <w:instrText xml:space="preserve"> PAGEREF _Toc495649382 \h </w:instrText>
        </w:r>
        <w:r w:rsidR="00311C90">
          <w:rPr>
            <w:webHidden/>
          </w:rPr>
        </w:r>
        <w:r w:rsidR="00311C90">
          <w:rPr>
            <w:webHidden/>
          </w:rPr>
          <w:fldChar w:fldCharType="separate"/>
        </w:r>
        <w:r w:rsidR="00A7472F">
          <w:rPr>
            <w:webHidden/>
          </w:rPr>
          <w:t>131</w:t>
        </w:r>
        <w:r w:rsidR="00311C90">
          <w:rPr>
            <w:webHidden/>
          </w:rPr>
          <w:fldChar w:fldCharType="end"/>
        </w:r>
      </w:hyperlink>
    </w:p>
    <w:p w14:paraId="780B1658" w14:textId="59C6A930" w:rsidR="00311C90" w:rsidRDefault="00D90541">
      <w:pPr>
        <w:pStyle w:val="Obsah4"/>
        <w:rPr>
          <w:rFonts w:asciiTheme="minorHAnsi" w:eastAsiaTheme="minorEastAsia" w:hAnsiTheme="minorHAnsi" w:cstheme="minorBidi"/>
        </w:rPr>
      </w:pPr>
      <w:hyperlink w:anchor="_Toc495649383" w:history="1">
        <w:r w:rsidR="00311C90" w:rsidRPr="007077FC">
          <w:rPr>
            <w:rStyle w:val="Hypertextovprepojenie"/>
          </w:rPr>
          <w:t>3.3.6.2 Osobitné ustanovenia k predmetu kontroly</w:t>
        </w:r>
        <w:r w:rsidR="00311C90">
          <w:rPr>
            <w:webHidden/>
          </w:rPr>
          <w:tab/>
        </w:r>
        <w:r w:rsidR="00311C90">
          <w:rPr>
            <w:webHidden/>
          </w:rPr>
          <w:fldChar w:fldCharType="begin"/>
        </w:r>
        <w:r w:rsidR="00311C90">
          <w:rPr>
            <w:webHidden/>
          </w:rPr>
          <w:instrText xml:space="preserve"> PAGEREF _Toc495649383 \h </w:instrText>
        </w:r>
        <w:r w:rsidR="00311C90">
          <w:rPr>
            <w:webHidden/>
          </w:rPr>
        </w:r>
        <w:r w:rsidR="00311C90">
          <w:rPr>
            <w:webHidden/>
          </w:rPr>
          <w:fldChar w:fldCharType="separate"/>
        </w:r>
        <w:r w:rsidR="00A7472F">
          <w:rPr>
            <w:webHidden/>
          </w:rPr>
          <w:t>136</w:t>
        </w:r>
        <w:r w:rsidR="00311C90">
          <w:rPr>
            <w:webHidden/>
          </w:rPr>
          <w:fldChar w:fldCharType="end"/>
        </w:r>
      </w:hyperlink>
    </w:p>
    <w:p w14:paraId="5C652075" w14:textId="2970A916" w:rsidR="00311C90" w:rsidRDefault="00D90541">
      <w:pPr>
        <w:pStyle w:val="Obsah5"/>
        <w:rPr>
          <w:rFonts w:asciiTheme="minorHAnsi" w:eastAsiaTheme="minorEastAsia" w:hAnsiTheme="minorHAnsi" w:cstheme="minorBidi"/>
          <w:sz w:val="22"/>
        </w:rPr>
      </w:pPr>
      <w:hyperlink w:anchor="_Toc495649384" w:history="1">
        <w:r w:rsidR="00311C90" w:rsidRPr="007077FC">
          <w:rPr>
            <w:rStyle w:val="Hypertextovprepojenie"/>
          </w:rPr>
          <w:t>3.3.6.2.1 Osobitné predmety kontroly</w:t>
        </w:r>
        <w:r w:rsidR="00311C90">
          <w:rPr>
            <w:webHidden/>
          </w:rPr>
          <w:tab/>
        </w:r>
        <w:r w:rsidR="00311C90">
          <w:rPr>
            <w:webHidden/>
          </w:rPr>
          <w:fldChar w:fldCharType="begin"/>
        </w:r>
        <w:r w:rsidR="00311C90">
          <w:rPr>
            <w:webHidden/>
          </w:rPr>
          <w:instrText xml:space="preserve"> PAGEREF _Toc495649384 \h </w:instrText>
        </w:r>
        <w:r w:rsidR="00311C90">
          <w:rPr>
            <w:webHidden/>
          </w:rPr>
        </w:r>
        <w:r w:rsidR="00311C90">
          <w:rPr>
            <w:webHidden/>
          </w:rPr>
          <w:fldChar w:fldCharType="separate"/>
        </w:r>
        <w:r w:rsidR="00A7472F">
          <w:rPr>
            <w:webHidden/>
          </w:rPr>
          <w:t>136</w:t>
        </w:r>
        <w:r w:rsidR="00311C90">
          <w:rPr>
            <w:webHidden/>
          </w:rPr>
          <w:fldChar w:fldCharType="end"/>
        </w:r>
      </w:hyperlink>
    </w:p>
    <w:p w14:paraId="2E9B1753" w14:textId="22BC1F50" w:rsidR="00311C90" w:rsidRDefault="00D90541">
      <w:pPr>
        <w:pStyle w:val="Obsah5"/>
        <w:rPr>
          <w:rFonts w:asciiTheme="minorHAnsi" w:eastAsiaTheme="minorEastAsia" w:hAnsiTheme="minorHAnsi" w:cstheme="minorBidi"/>
          <w:sz w:val="22"/>
        </w:rPr>
      </w:pPr>
      <w:hyperlink w:anchor="_Toc495649385" w:history="1">
        <w:r w:rsidR="00311C90" w:rsidRPr="007077FC">
          <w:rPr>
            <w:rStyle w:val="Hypertextovprepojenie"/>
          </w:rPr>
          <w:t>3.3.6.2.2 Kontrola žiadosti o platbu</w:t>
        </w:r>
        <w:r w:rsidR="00311C90">
          <w:rPr>
            <w:webHidden/>
          </w:rPr>
          <w:tab/>
        </w:r>
        <w:r w:rsidR="00311C90">
          <w:rPr>
            <w:webHidden/>
          </w:rPr>
          <w:fldChar w:fldCharType="begin"/>
        </w:r>
        <w:r w:rsidR="00311C90">
          <w:rPr>
            <w:webHidden/>
          </w:rPr>
          <w:instrText xml:space="preserve"> PAGEREF _Toc495649385 \h </w:instrText>
        </w:r>
        <w:r w:rsidR="00311C90">
          <w:rPr>
            <w:webHidden/>
          </w:rPr>
        </w:r>
        <w:r w:rsidR="00311C90">
          <w:rPr>
            <w:webHidden/>
          </w:rPr>
          <w:fldChar w:fldCharType="separate"/>
        </w:r>
        <w:r w:rsidR="00A7472F">
          <w:rPr>
            <w:webHidden/>
          </w:rPr>
          <w:t>138</w:t>
        </w:r>
        <w:r w:rsidR="00311C90">
          <w:rPr>
            <w:webHidden/>
          </w:rPr>
          <w:fldChar w:fldCharType="end"/>
        </w:r>
      </w:hyperlink>
    </w:p>
    <w:p w14:paraId="0EDA976F" w14:textId="67FBB95A" w:rsidR="00311C90" w:rsidRDefault="00D90541">
      <w:pPr>
        <w:pStyle w:val="Obsah3"/>
        <w:rPr>
          <w:rFonts w:asciiTheme="minorHAnsi" w:eastAsiaTheme="minorEastAsia" w:hAnsiTheme="minorHAnsi" w:cstheme="minorBidi"/>
          <w:noProof/>
          <w:sz w:val="22"/>
          <w:szCs w:val="22"/>
        </w:rPr>
      </w:pPr>
      <w:hyperlink w:anchor="_Toc495649386" w:history="1">
        <w:r w:rsidR="00311C90" w:rsidRPr="007077FC">
          <w:rPr>
            <w:rStyle w:val="Hypertextovprepojenie"/>
            <w:noProof/>
          </w:rPr>
          <w:t>3.3.7 Kontrola verejného obstarávania</w:t>
        </w:r>
        <w:r w:rsidR="00311C90">
          <w:rPr>
            <w:noProof/>
            <w:webHidden/>
          </w:rPr>
          <w:tab/>
        </w:r>
        <w:r w:rsidR="00311C90">
          <w:rPr>
            <w:noProof/>
            <w:webHidden/>
          </w:rPr>
          <w:fldChar w:fldCharType="begin"/>
        </w:r>
        <w:r w:rsidR="00311C90">
          <w:rPr>
            <w:noProof/>
            <w:webHidden/>
          </w:rPr>
          <w:instrText xml:space="preserve"> PAGEREF _Toc495649386 \h </w:instrText>
        </w:r>
        <w:r w:rsidR="00311C90">
          <w:rPr>
            <w:noProof/>
            <w:webHidden/>
          </w:rPr>
        </w:r>
        <w:r w:rsidR="00311C90">
          <w:rPr>
            <w:noProof/>
            <w:webHidden/>
          </w:rPr>
          <w:fldChar w:fldCharType="separate"/>
        </w:r>
        <w:r w:rsidR="00A7472F">
          <w:rPr>
            <w:noProof/>
            <w:webHidden/>
          </w:rPr>
          <w:t>144</w:t>
        </w:r>
        <w:r w:rsidR="00311C90">
          <w:rPr>
            <w:noProof/>
            <w:webHidden/>
          </w:rPr>
          <w:fldChar w:fldCharType="end"/>
        </w:r>
      </w:hyperlink>
    </w:p>
    <w:p w14:paraId="72F02D5A" w14:textId="64616262" w:rsidR="00311C90" w:rsidRDefault="00D90541">
      <w:pPr>
        <w:pStyle w:val="Obsah4"/>
        <w:rPr>
          <w:rFonts w:asciiTheme="minorHAnsi" w:eastAsiaTheme="minorEastAsia" w:hAnsiTheme="minorHAnsi" w:cstheme="minorBidi"/>
        </w:rPr>
      </w:pPr>
      <w:hyperlink w:anchor="_Toc495649387" w:history="1">
        <w:r w:rsidR="00311C90" w:rsidRPr="007077FC">
          <w:rPr>
            <w:rStyle w:val="Hypertextovprepojenie"/>
          </w:rPr>
          <w:t>3.3.7.1. Všeobecné ustanovenia k výkonu finančnej  kontroly verejného obstarávania</w:t>
        </w:r>
        <w:r w:rsidR="00311C90">
          <w:rPr>
            <w:webHidden/>
          </w:rPr>
          <w:tab/>
        </w:r>
        <w:r w:rsidR="00311C90">
          <w:rPr>
            <w:webHidden/>
          </w:rPr>
          <w:fldChar w:fldCharType="begin"/>
        </w:r>
        <w:r w:rsidR="00311C90">
          <w:rPr>
            <w:webHidden/>
          </w:rPr>
          <w:instrText xml:space="preserve"> PAGEREF _Toc495649387 \h </w:instrText>
        </w:r>
        <w:r w:rsidR="00311C90">
          <w:rPr>
            <w:webHidden/>
          </w:rPr>
        </w:r>
        <w:r w:rsidR="00311C90">
          <w:rPr>
            <w:webHidden/>
          </w:rPr>
          <w:fldChar w:fldCharType="separate"/>
        </w:r>
        <w:r w:rsidR="00A7472F">
          <w:rPr>
            <w:webHidden/>
          </w:rPr>
          <w:t>144</w:t>
        </w:r>
        <w:r w:rsidR="00311C90">
          <w:rPr>
            <w:webHidden/>
          </w:rPr>
          <w:fldChar w:fldCharType="end"/>
        </w:r>
      </w:hyperlink>
    </w:p>
    <w:p w14:paraId="0308C019" w14:textId="5EC2F208" w:rsidR="00311C90" w:rsidRDefault="00D90541">
      <w:pPr>
        <w:pStyle w:val="Obsah4"/>
        <w:rPr>
          <w:rFonts w:asciiTheme="minorHAnsi" w:eastAsiaTheme="minorEastAsia" w:hAnsiTheme="minorHAnsi" w:cstheme="minorBidi"/>
        </w:rPr>
      </w:pPr>
      <w:hyperlink w:anchor="_Toc495649388" w:history="1">
        <w:r w:rsidR="00311C90" w:rsidRPr="007077FC">
          <w:rPr>
            <w:rStyle w:val="Hypertextovprepojenie"/>
          </w:rPr>
          <w:t>3.3.7.2.  Finančná kontrola pravidiel a postupov stanovených ZVO – všeobecné pravidlá</w:t>
        </w:r>
        <w:r w:rsidR="00311C90">
          <w:rPr>
            <w:webHidden/>
          </w:rPr>
          <w:tab/>
        </w:r>
        <w:r w:rsidR="00311C90">
          <w:rPr>
            <w:webHidden/>
          </w:rPr>
          <w:fldChar w:fldCharType="begin"/>
        </w:r>
        <w:r w:rsidR="00311C90">
          <w:rPr>
            <w:webHidden/>
          </w:rPr>
          <w:instrText xml:space="preserve"> PAGEREF _Toc495649388 \h </w:instrText>
        </w:r>
        <w:r w:rsidR="00311C90">
          <w:rPr>
            <w:webHidden/>
          </w:rPr>
        </w:r>
        <w:r w:rsidR="00311C90">
          <w:rPr>
            <w:webHidden/>
          </w:rPr>
          <w:fldChar w:fldCharType="separate"/>
        </w:r>
        <w:r w:rsidR="00A7472F">
          <w:rPr>
            <w:webHidden/>
          </w:rPr>
          <w:t>147</w:t>
        </w:r>
        <w:r w:rsidR="00311C90">
          <w:rPr>
            <w:webHidden/>
          </w:rPr>
          <w:fldChar w:fldCharType="end"/>
        </w:r>
      </w:hyperlink>
    </w:p>
    <w:p w14:paraId="01BE2FDD" w14:textId="6846FDBA" w:rsidR="00311C90" w:rsidRDefault="00D90541">
      <w:pPr>
        <w:pStyle w:val="Obsah5"/>
        <w:rPr>
          <w:rFonts w:asciiTheme="minorHAnsi" w:eastAsiaTheme="minorEastAsia" w:hAnsiTheme="minorHAnsi" w:cstheme="minorBidi"/>
          <w:sz w:val="22"/>
        </w:rPr>
      </w:pPr>
      <w:hyperlink w:anchor="_Toc495649389" w:history="1">
        <w:r w:rsidR="00311C90" w:rsidRPr="007077FC">
          <w:rPr>
            <w:rStyle w:val="Hypertextovprepojenie"/>
          </w:rPr>
          <w:t>3.3.7.2.1.  Prvá ex ante kontrola po podpise zmluvy o NFP</w:t>
        </w:r>
        <w:r w:rsidR="00311C90">
          <w:rPr>
            <w:webHidden/>
          </w:rPr>
          <w:tab/>
        </w:r>
        <w:r w:rsidR="00311C90">
          <w:rPr>
            <w:webHidden/>
          </w:rPr>
          <w:fldChar w:fldCharType="begin"/>
        </w:r>
        <w:r w:rsidR="00311C90">
          <w:rPr>
            <w:webHidden/>
          </w:rPr>
          <w:instrText xml:space="preserve"> PAGEREF _Toc495649389 \h </w:instrText>
        </w:r>
        <w:r w:rsidR="00311C90">
          <w:rPr>
            <w:webHidden/>
          </w:rPr>
        </w:r>
        <w:r w:rsidR="00311C90">
          <w:rPr>
            <w:webHidden/>
          </w:rPr>
          <w:fldChar w:fldCharType="separate"/>
        </w:r>
        <w:r w:rsidR="00A7472F">
          <w:rPr>
            <w:webHidden/>
          </w:rPr>
          <w:t>151</w:t>
        </w:r>
        <w:r w:rsidR="00311C90">
          <w:rPr>
            <w:webHidden/>
          </w:rPr>
          <w:fldChar w:fldCharType="end"/>
        </w:r>
      </w:hyperlink>
    </w:p>
    <w:p w14:paraId="783EEE47" w14:textId="134D4081" w:rsidR="00311C90" w:rsidRDefault="00D90541">
      <w:pPr>
        <w:pStyle w:val="Obsah5"/>
        <w:rPr>
          <w:rFonts w:asciiTheme="minorHAnsi" w:eastAsiaTheme="minorEastAsia" w:hAnsiTheme="minorHAnsi" w:cstheme="minorBidi"/>
          <w:sz w:val="22"/>
        </w:rPr>
      </w:pPr>
      <w:hyperlink w:anchor="_Toc495649390" w:history="1">
        <w:r w:rsidR="00311C90" w:rsidRPr="007077FC">
          <w:rPr>
            <w:rStyle w:val="Hypertextovprepojenie"/>
          </w:rPr>
          <w:t>3.3.7.2.2.  Druhá ex ante kontrola</w:t>
        </w:r>
        <w:r w:rsidR="00311C90">
          <w:rPr>
            <w:webHidden/>
          </w:rPr>
          <w:tab/>
        </w:r>
        <w:r w:rsidR="00311C90">
          <w:rPr>
            <w:webHidden/>
          </w:rPr>
          <w:fldChar w:fldCharType="begin"/>
        </w:r>
        <w:r w:rsidR="00311C90">
          <w:rPr>
            <w:webHidden/>
          </w:rPr>
          <w:instrText xml:space="preserve"> PAGEREF _Toc495649390 \h </w:instrText>
        </w:r>
        <w:r w:rsidR="00311C90">
          <w:rPr>
            <w:webHidden/>
          </w:rPr>
        </w:r>
        <w:r w:rsidR="00311C90">
          <w:rPr>
            <w:webHidden/>
          </w:rPr>
          <w:fldChar w:fldCharType="separate"/>
        </w:r>
        <w:r w:rsidR="00A7472F">
          <w:rPr>
            <w:webHidden/>
          </w:rPr>
          <w:t>153</w:t>
        </w:r>
        <w:r w:rsidR="00311C90">
          <w:rPr>
            <w:webHidden/>
          </w:rPr>
          <w:fldChar w:fldCharType="end"/>
        </w:r>
      </w:hyperlink>
    </w:p>
    <w:p w14:paraId="21480516" w14:textId="28BCAD4B" w:rsidR="00311C90" w:rsidRDefault="00D90541">
      <w:pPr>
        <w:pStyle w:val="Obsah5"/>
        <w:rPr>
          <w:rFonts w:asciiTheme="minorHAnsi" w:eastAsiaTheme="minorEastAsia" w:hAnsiTheme="minorHAnsi" w:cstheme="minorBidi"/>
          <w:sz w:val="22"/>
        </w:rPr>
      </w:pPr>
      <w:hyperlink w:anchor="_Toc495649391" w:history="1">
        <w:r w:rsidR="00311C90" w:rsidRPr="007077FC">
          <w:rPr>
            <w:rStyle w:val="Hypertextovprepojenie"/>
          </w:rPr>
          <w:t>3.3.7.2.3.  Štandardná ex post kontrola</w:t>
        </w:r>
        <w:r w:rsidR="00311C90">
          <w:rPr>
            <w:webHidden/>
          </w:rPr>
          <w:tab/>
        </w:r>
        <w:r w:rsidR="00311C90">
          <w:rPr>
            <w:webHidden/>
          </w:rPr>
          <w:fldChar w:fldCharType="begin"/>
        </w:r>
        <w:r w:rsidR="00311C90">
          <w:rPr>
            <w:webHidden/>
          </w:rPr>
          <w:instrText xml:space="preserve"> PAGEREF _Toc495649391 \h </w:instrText>
        </w:r>
        <w:r w:rsidR="00311C90">
          <w:rPr>
            <w:webHidden/>
          </w:rPr>
        </w:r>
        <w:r w:rsidR="00311C90">
          <w:rPr>
            <w:webHidden/>
          </w:rPr>
          <w:fldChar w:fldCharType="separate"/>
        </w:r>
        <w:r w:rsidR="00A7472F">
          <w:rPr>
            <w:webHidden/>
          </w:rPr>
          <w:t>158</w:t>
        </w:r>
        <w:r w:rsidR="00311C90">
          <w:rPr>
            <w:webHidden/>
          </w:rPr>
          <w:fldChar w:fldCharType="end"/>
        </w:r>
      </w:hyperlink>
    </w:p>
    <w:p w14:paraId="62F7F388" w14:textId="5F84DFC5" w:rsidR="00311C90" w:rsidRDefault="00D90541">
      <w:pPr>
        <w:pStyle w:val="Obsah5"/>
        <w:rPr>
          <w:rFonts w:asciiTheme="minorHAnsi" w:eastAsiaTheme="minorEastAsia" w:hAnsiTheme="minorHAnsi" w:cstheme="minorBidi"/>
          <w:sz w:val="22"/>
        </w:rPr>
      </w:pPr>
      <w:hyperlink w:anchor="_Toc495649392" w:history="1">
        <w:r w:rsidR="00311C90" w:rsidRPr="007077FC">
          <w:rPr>
            <w:rStyle w:val="Hypertextovprepojenie"/>
          </w:rPr>
          <w:t>3.3.7.2.4.   Následná ex post kontrola</w:t>
        </w:r>
        <w:r w:rsidR="00311C90">
          <w:rPr>
            <w:webHidden/>
          </w:rPr>
          <w:tab/>
        </w:r>
        <w:r w:rsidR="00311C90">
          <w:rPr>
            <w:webHidden/>
          </w:rPr>
          <w:fldChar w:fldCharType="begin"/>
        </w:r>
        <w:r w:rsidR="00311C90">
          <w:rPr>
            <w:webHidden/>
          </w:rPr>
          <w:instrText xml:space="preserve"> PAGEREF _Toc495649392 \h </w:instrText>
        </w:r>
        <w:r w:rsidR="00311C90">
          <w:rPr>
            <w:webHidden/>
          </w:rPr>
        </w:r>
        <w:r w:rsidR="00311C90">
          <w:rPr>
            <w:webHidden/>
          </w:rPr>
          <w:fldChar w:fldCharType="separate"/>
        </w:r>
        <w:r w:rsidR="00A7472F">
          <w:rPr>
            <w:webHidden/>
          </w:rPr>
          <w:t>160</w:t>
        </w:r>
        <w:r w:rsidR="00311C90">
          <w:rPr>
            <w:webHidden/>
          </w:rPr>
          <w:fldChar w:fldCharType="end"/>
        </w:r>
      </w:hyperlink>
    </w:p>
    <w:p w14:paraId="5D46A0BD" w14:textId="3CB93FA5" w:rsidR="00311C90" w:rsidRDefault="00D90541">
      <w:pPr>
        <w:pStyle w:val="Obsah5"/>
        <w:rPr>
          <w:rFonts w:asciiTheme="minorHAnsi" w:eastAsiaTheme="minorEastAsia" w:hAnsiTheme="minorHAnsi" w:cstheme="minorBidi"/>
          <w:sz w:val="22"/>
        </w:rPr>
      </w:pPr>
      <w:hyperlink w:anchor="_Toc495649393" w:history="1">
        <w:r w:rsidR="00311C90" w:rsidRPr="007077FC">
          <w:rPr>
            <w:rStyle w:val="Hypertextovprepojenie"/>
          </w:rPr>
          <w:t>3.3.7.2.5. Kontrola zákaziek s nízkymi hodnotami podľa § 117 ZVO – všeobecné ustanovenia</w:t>
        </w:r>
        <w:r w:rsidR="00311C90">
          <w:rPr>
            <w:webHidden/>
          </w:rPr>
          <w:tab/>
        </w:r>
        <w:r w:rsidR="00311C90">
          <w:rPr>
            <w:webHidden/>
          </w:rPr>
          <w:fldChar w:fldCharType="begin"/>
        </w:r>
        <w:r w:rsidR="00311C90">
          <w:rPr>
            <w:webHidden/>
          </w:rPr>
          <w:instrText xml:space="preserve"> PAGEREF _Toc495649393 \h </w:instrText>
        </w:r>
        <w:r w:rsidR="00311C90">
          <w:rPr>
            <w:webHidden/>
          </w:rPr>
        </w:r>
        <w:r w:rsidR="00311C90">
          <w:rPr>
            <w:webHidden/>
          </w:rPr>
          <w:fldChar w:fldCharType="separate"/>
        </w:r>
        <w:r w:rsidR="00A7472F">
          <w:rPr>
            <w:webHidden/>
          </w:rPr>
          <w:t>161</w:t>
        </w:r>
        <w:r w:rsidR="00311C90">
          <w:rPr>
            <w:webHidden/>
          </w:rPr>
          <w:fldChar w:fldCharType="end"/>
        </w:r>
      </w:hyperlink>
    </w:p>
    <w:p w14:paraId="799167EB" w14:textId="7AA1CA78" w:rsidR="00311C90" w:rsidRDefault="00D90541">
      <w:pPr>
        <w:pStyle w:val="Obsah5"/>
        <w:rPr>
          <w:rFonts w:asciiTheme="minorHAnsi" w:eastAsiaTheme="minorEastAsia" w:hAnsiTheme="minorHAnsi" w:cstheme="minorBidi"/>
          <w:sz w:val="22"/>
        </w:rPr>
      </w:pPr>
      <w:hyperlink w:anchor="_Toc495649394" w:history="1">
        <w:r w:rsidR="00311C90" w:rsidRPr="007077FC">
          <w:rPr>
            <w:rStyle w:val="Hypertextovprepojenie"/>
          </w:rPr>
          <w:t>3.3.7.2.5.1 Zákazky nad 15 000 EUR</w:t>
        </w:r>
        <w:r w:rsidR="00311C90">
          <w:rPr>
            <w:webHidden/>
          </w:rPr>
          <w:tab/>
        </w:r>
        <w:r w:rsidR="00311C90">
          <w:rPr>
            <w:webHidden/>
          </w:rPr>
          <w:fldChar w:fldCharType="begin"/>
        </w:r>
        <w:r w:rsidR="00311C90">
          <w:rPr>
            <w:webHidden/>
          </w:rPr>
          <w:instrText xml:space="preserve"> PAGEREF _Toc495649394 \h </w:instrText>
        </w:r>
        <w:r w:rsidR="00311C90">
          <w:rPr>
            <w:webHidden/>
          </w:rPr>
        </w:r>
        <w:r w:rsidR="00311C90">
          <w:rPr>
            <w:webHidden/>
          </w:rPr>
          <w:fldChar w:fldCharType="separate"/>
        </w:r>
        <w:r w:rsidR="00A7472F">
          <w:rPr>
            <w:webHidden/>
          </w:rPr>
          <w:t>162</w:t>
        </w:r>
        <w:r w:rsidR="00311C90">
          <w:rPr>
            <w:webHidden/>
          </w:rPr>
          <w:fldChar w:fldCharType="end"/>
        </w:r>
      </w:hyperlink>
    </w:p>
    <w:p w14:paraId="5A4CACD6" w14:textId="7C18180C" w:rsidR="00311C90" w:rsidRDefault="00D90541">
      <w:pPr>
        <w:pStyle w:val="Obsah5"/>
        <w:rPr>
          <w:rFonts w:asciiTheme="minorHAnsi" w:eastAsiaTheme="minorEastAsia" w:hAnsiTheme="minorHAnsi" w:cstheme="minorBidi"/>
          <w:sz w:val="22"/>
        </w:rPr>
      </w:pPr>
      <w:hyperlink w:anchor="_Toc495649395" w:history="1">
        <w:r w:rsidR="00311C90" w:rsidRPr="007077FC">
          <w:rPr>
            <w:rStyle w:val="Hypertextovprepojenie"/>
          </w:rPr>
          <w:t>3.3.7.2.5.2 Zákazky do 15 000 EUR</w:t>
        </w:r>
        <w:r w:rsidR="00311C90">
          <w:rPr>
            <w:webHidden/>
          </w:rPr>
          <w:tab/>
        </w:r>
        <w:r w:rsidR="00311C90">
          <w:rPr>
            <w:webHidden/>
          </w:rPr>
          <w:fldChar w:fldCharType="begin"/>
        </w:r>
        <w:r w:rsidR="00311C90">
          <w:rPr>
            <w:webHidden/>
          </w:rPr>
          <w:instrText xml:space="preserve"> PAGEREF _Toc495649395 \h </w:instrText>
        </w:r>
        <w:r w:rsidR="00311C90">
          <w:rPr>
            <w:webHidden/>
          </w:rPr>
        </w:r>
        <w:r w:rsidR="00311C90">
          <w:rPr>
            <w:webHidden/>
          </w:rPr>
          <w:fldChar w:fldCharType="separate"/>
        </w:r>
        <w:r w:rsidR="00A7472F">
          <w:rPr>
            <w:webHidden/>
          </w:rPr>
          <w:t>163</w:t>
        </w:r>
        <w:r w:rsidR="00311C90">
          <w:rPr>
            <w:webHidden/>
          </w:rPr>
          <w:fldChar w:fldCharType="end"/>
        </w:r>
      </w:hyperlink>
    </w:p>
    <w:p w14:paraId="4A8F815B" w14:textId="42B536C0" w:rsidR="00311C90" w:rsidRDefault="00D90541">
      <w:pPr>
        <w:pStyle w:val="Obsah5"/>
        <w:rPr>
          <w:rFonts w:asciiTheme="minorHAnsi" w:eastAsiaTheme="minorEastAsia" w:hAnsiTheme="minorHAnsi" w:cstheme="minorBidi"/>
          <w:sz w:val="22"/>
        </w:rPr>
      </w:pPr>
      <w:hyperlink w:anchor="_Toc495649396" w:history="1">
        <w:r w:rsidR="00311C90" w:rsidRPr="007077FC">
          <w:rPr>
            <w:rStyle w:val="Hypertextovprepojenie"/>
          </w:rPr>
          <w:t>3.3.7.2.6. Kontrola verejného obstarávania, v rámci ktorého viacerí prijímatelia nadobúdajú tovary, práce alebo služby prostredníctvom centrálnej obstarávacej organizácie podľa § 15 ods. 2 a ods. 4 ZVO.</w:t>
        </w:r>
        <w:r w:rsidR="00311C90">
          <w:rPr>
            <w:webHidden/>
          </w:rPr>
          <w:tab/>
        </w:r>
        <w:r w:rsidR="00311C90">
          <w:rPr>
            <w:webHidden/>
          </w:rPr>
          <w:fldChar w:fldCharType="begin"/>
        </w:r>
        <w:r w:rsidR="00311C90">
          <w:rPr>
            <w:webHidden/>
          </w:rPr>
          <w:instrText xml:space="preserve"> PAGEREF _Toc495649396 \h </w:instrText>
        </w:r>
        <w:r w:rsidR="00311C90">
          <w:rPr>
            <w:webHidden/>
          </w:rPr>
        </w:r>
        <w:r w:rsidR="00311C90">
          <w:rPr>
            <w:webHidden/>
          </w:rPr>
          <w:fldChar w:fldCharType="separate"/>
        </w:r>
        <w:r w:rsidR="00A7472F">
          <w:rPr>
            <w:webHidden/>
          </w:rPr>
          <w:t>164</w:t>
        </w:r>
        <w:r w:rsidR="00311C90">
          <w:rPr>
            <w:webHidden/>
          </w:rPr>
          <w:fldChar w:fldCharType="end"/>
        </w:r>
      </w:hyperlink>
    </w:p>
    <w:p w14:paraId="7E62644F" w14:textId="1BBF277C" w:rsidR="00311C90" w:rsidRDefault="00D90541">
      <w:pPr>
        <w:pStyle w:val="Obsah5"/>
        <w:rPr>
          <w:rFonts w:asciiTheme="minorHAnsi" w:eastAsiaTheme="minorEastAsia" w:hAnsiTheme="minorHAnsi" w:cstheme="minorBidi"/>
          <w:sz w:val="22"/>
        </w:rPr>
      </w:pPr>
      <w:hyperlink w:anchor="_Toc495649397" w:history="1">
        <w:r w:rsidR="00311C90" w:rsidRPr="007077FC">
          <w:rPr>
            <w:rStyle w:val="Hypertextovprepojenie"/>
          </w:rPr>
          <w:t>3.3.7.2.7. Kontrola verejného obstarávania v rámci schvaľovacieho procesu ŽoNFP alebo hodnotenia národného projektu</w:t>
        </w:r>
        <w:r w:rsidR="00311C90">
          <w:rPr>
            <w:webHidden/>
          </w:rPr>
          <w:tab/>
        </w:r>
        <w:r w:rsidR="00311C90">
          <w:rPr>
            <w:webHidden/>
          </w:rPr>
          <w:fldChar w:fldCharType="begin"/>
        </w:r>
        <w:r w:rsidR="00311C90">
          <w:rPr>
            <w:webHidden/>
          </w:rPr>
          <w:instrText xml:space="preserve"> PAGEREF _Toc495649397 \h </w:instrText>
        </w:r>
        <w:r w:rsidR="00311C90">
          <w:rPr>
            <w:webHidden/>
          </w:rPr>
        </w:r>
        <w:r w:rsidR="00311C90">
          <w:rPr>
            <w:webHidden/>
          </w:rPr>
          <w:fldChar w:fldCharType="separate"/>
        </w:r>
        <w:r w:rsidR="00A7472F">
          <w:rPr>
            <w:webHidden/>
          </w:rPr>
          <w:t>165</w:t>
        </w:r>
        <w:r w:rsidR="00311C90">
          <w:rPr>
            <w:webHidden/>
          </w:rPr>
          <w:fldChar w:fldCharType="end"/>
        </w:r>
      </w:hyperlink>
    </w:p>
    <w:p w14:paraId="1FAF2C41" w14:textId="1DFFF6FB" w:rsidR="00311C90" w:rsidRDefault="00D90541">
      <w:pPr>
        <w:pStyle w:val="Obsah5"/>
        <w:rPr>
          <w:rFonts w:asciiTheme="minorHAnsi" w:eastAsiaTheme="minorEastAsia" w:hAnsiTheme="minorHAnsi" w:cstheme="minorBidi"/>
          <w:sz w:val="22"/>
        </w:rPr>
      </w:pPr>
      <w:hyperlink w:anchor="_Toc495649398" w:history="1">
        <w:r w:rsidR="00311C90" w:rsidRPr="007077FC">
          <w:rPr>
            <w:rStyle w:val="Hypertextovprepojenie"/>
          </w:rPr>
          <w:t>3.3.7.2.8. Kontrola verejného obstarávania národných projektov, veľkých projektov, ktoré sú súčasťou zoznamu projektov a kontrola projektov technickej pomoci, pred podpisom zmluvy o NFP</w:t>
        </w:r>
        <w:r w:rsidR="00311C90">
          <w:rPr>
            <w:webHidden/>
          </w:rPr>
          <w:tab/>
        </w:r>
        <w:r w:rsidR="00311C90">
          <w:rPr>
            <w:webHidden/>
          </w:rPr>
          <w:fldChar w:fldCharType="begin"/>
        </w:r>
        <w:r w:rsidR="00311C90">
          <w:rPr>
            <w:webHidden/>
          </w:rPr>
          <w:instrText xml:space="preserve"> PAGEREF _Toc495649398 \h </w:instrText>
        </w:r>
        <w:r w:rsidR="00311C90">
          <w:rPr>
            <w:webHidden/>
          </w:rPr>
        </w:r>
        <w:r w:rsidR="00311C90">
          <w:rPr>
            <w:webHidden/>
          </w:rPr>
          <w:fldChar w:fldCharType="separate"/>
        </w:r>
        <w:r w:rsidR="00A7472F">
          <w:rPr>
            <w:webHidden/>
          </w:rPr>
          <w:t>167</w:t>
        </w:r>
        <w:r w:rsidR="00311C90">
          <w:rPr>
            <w:webHidden/>
          </w:rPr>
          <w:fldChar w:fldCharType="end"/>
        </w:r>
      </w:hyperlink>
    </w:p>
    <w:p w14:paraId="1E416F57" w14:textId="0736604D" w:rsidR="00311C90" w:rsidRDefault="00D90541">
      <w:pPr>
        <w:pStyle w:val="Obsah5"/>
        <w:rPr>
          <w:rFonts w:asciiTheme="minorHAnsi" w:eastAsiaTheme="minorEastAsia" w:hAnsiTheme="minorHAnsi" w:cstheme="minorBidi"/>
          <w:sz w:val="22"/>
        </w:rPr>
      </w:pPr>
      <w:hyperlink w:anchor="_Toc495649399" w:history="1">
        <w:r w:rsidR="00311C90" w:rsidRPr="007077FC">
          <w:rPr>
            <w:rStyle w:val="Hypertextovprepojenie"/>
          </w:rPr>
          <w:t>3.3.7.2.9. Kontrola verejného obstarávania realizovaného cez elektronické trhovisko</w:t>
        </w:r>
        <w:r w:rsidR="00311C90">
          <w:rPr>
            <w:webHidden/>
          </w:rPr>
          <w:tab/>
        </w:r>
        <w:r w:rsidR="00311C90">
          <w:rPr>
            <w:webHidden/>
          </w:rPr>
          <w:fldChar w:fldCharType="begin"/>
        </w:r>
        <w:r w:rsidR="00311C90">
          <w:rPr>
            <w:webHidden/>
          </w:rPr>
          <w:instrText xml:space="preserve"> PAGEREF _Toc495649399 \h </w:instrText>
        </w:r>
        <w:r w:rsidR="00311C90">
          <w:rPr>
            <w:webHidden/>
          </w:rPr>
        </w:r>
        <w:r w:rsidR="00311C90">
          <w:rPr>
            <w:webHidden/>
          </w:rPr>
          <w:fldChar w:fldCharType="separate"/>
        </w:r>
        <w:r w:rsidR="00A7472F">
          <w:rPr>
            <w:webHidden/>
          </w:rPr>
          <w:t>168</w:t>
        </w:r>
        <w:r w:rsidR="00311C90">
          <w:rPr>
            <w:webHidden/>
          </w:rPr>
          <w:fldChar w:fldCharType="end"/>
        </w:r>
      </w:hyperlink>
    </w:p>
    <w:p w14:paraId="4F591926" w14:textId="792166BE" w:rsidR="00311C90" w:rsidRDefault="00D90541">
      <w:pPr>
        <w:pStyle w:val="Obsah5"/>
        <w:rPr>
          <w:rFonts w:asciiTheme="minorHAnsi" w:eastAsiaTheme="minorEastAsia" w:hAnsiTheme="minorHAnsi" w:cstheme="minorBidi"/>
          <w:sz w:val="22"/>
        </w:rPr>
      </w:pPr>
      <w:hyperlink w:anchor="_Toc495649400" w:history="1">
        <w:r w:rsidR="00311C90" w:rsidRPr="007077FC">
          <w:rPr>
            <w:rStyle w:val="Hypertextovprepojenie"/>
          </w:rPr>
          <w:t>3.3.7.2.10. Kontrola dodatkov (zmena zmluvy, rámcovej dohody a koncesnej zmluvy počas ich trvania)</w:t>
        </w:r>
        <w:r w:rsidR="00311C90">
          <w:rPr>
            <w:webHidden/>
          </w:rPr>
          <w:tab/>
        </w:r>
        <w:r w:rsidR="00311C90">
          <w:rPr>
            <w:webHidden/>
          </w:rPr>
          <w:fldChar w:fldCharType="begin"/>
        </w:r>
        <w:r w:rsidR="00311C90">
          <w:rPr>
            <w:webHidden/>
          </w:rPr>
          <w:instrText xml:space="preserve"> PAGEREF _Toc495649400 \h </w:instrText>
        </w:r>
        <w:r w:rsidR="00311C90">
          <w:rPr>
            <w:webHidden/>
          </w:rPr>
        </w:r>
        <w:r w:rsidR="00311C90">
          <w:rPr>
            <w:webHidden/>
          </w:rPr>
          <w:fldChar w:fldCharType="separate"/>
        </w:r>
        <w:r w:rsidR="00A7472F">
          <w:rPr>
            <w:webHidden/>
          </w:rPr>
          <w:t>169</w:t>
        </w:r>
        <w:r w:rsidR="00311C90">
          <w:rPr>
            <w:webHidden/>
          </w:rPr>
          <w:fldChar w:fldCharType="end"/>
        </w:r>
      </w:hyperlink>
    </w:p>
    <w:p w14:paraId="282697A7" w14:textId="7BE62D5F" w:rsidR="00311C90" w:rsidRDefault="00D90541">
      <w:pPr>
        <w:pStyle w:val="Obsah4"/>
        <w:rPr>
          <w:rFonts w:asciiTheme="minorHAnsi" w:eastAsiaTheme="minorEastAsia" w:hAnsiTheme="minorHAnsi" w:cstheme="minorBidi"/>
        </w:rPr>
      </w:pPr>
      <w:hyperlink w:anchor="_Toc495649401" w:history="1">
        <w:r w:rsidR="00311C90" w:rsidRPr="007077FC">
          <w:rPr>
            <w:rStyle w:val="Hypertextovprepojenie"/>
          </w:rPr>
          <w:t>3.3.7.3. Kontrola postupov pri obstarávaní zákazky, na ktorú sa ZVO nevzťahuje</w:t>
        </w:r>
        <w:r w:rsidR="00311C90">
          <w:rPr>
            <w:webHidden/>
          </w:rPr>
          <w:tab/>
        </w:r>
        <w:r w:rsidR="00311C90">
          <w:rPr>
            <w:webHidden/>
          </w:rPr>
          <w:fldChar w:fldCharType="begin"/>
        </w:r>
        <w:r w:rsidR="00311C90">
          <w:rPr>
            <w:webHidden/>
          </w:rPr>
          <w:instrText xml:space="preserve"> PAGEREF _Toc495649401 \h </w:instrText>
        </w:r>
        <w:r w:rsidR="00311C90">
          <w:rPr>
            <w:webHidden/>
          </w:rPr>
        </w:r>
        <w:r w:rsidR="00311C90">
          <w:rPr>
            <w:webHidden/>
          </w:rPr>
          <w:fldChar w:fldCharType="separate"/>
        </w:r>
        <w:r w:rsidR="00A7472F">
          <w:rPr>
            <w:webHidden/>
          </w:rPr>
          <w:t>171</w:t>
        </w:r>
        <w:r w:rsidR="00311C90">
          <w:rPr>
            <w:webHidden/>
          </w:rPr>
          <w:fldChar w:fldCharType="end"/>
        </w:r>
      </w:hyperlink>
    </w:p>
    <w:p w14:paraId="6B94BB21" w14:textId="4558284C" w:rsidR="00311C90" w:rsidRDefault="00D90541">
      <w:pPr>
        <w:pStyle w:val="Obsah4"/>
        <w:rPr>
          <w:rFonts w:asciiTheme="minorHAnsi" w:eastAsiaTheme="minorEastAsia" w:hAnsiTheme="minorHAnsi" w:cstheme="minorBidi"/>
        </w:rPr>
      </w:pPr>
      <w:hyperlink w:anchor="_Toc495649402" w:history="1">
        <w:r w:rsidR="00311C90" w:rsidRPr="007077FC">
          <w:rPr>
            <w:rStyle w:val="Hypertextovprepojenie"/>
          </w:rPr>
          <w:t>3.3.7.4. Uplatňovanie spolupráce riadiacich orgánov s inými subjektmi v oblasti kontroly verejného obstarávania</w:t>
        </w:r>
        <w:r w:rsidR="00311C90">
          <w:rPr>
            <w:webHidden/>
          </w:rPr>
          <w:tab/>
        </w:r>
        <w:r w:rsidR="00311C90">
          <w:rPr>
            <w:webHidden/>
          </w:rPr>
          <w:fldChar w:fldCharType="begin"/>
        </w:r>
        <w:r w:rsidR="00311C90">
          <w:rPr>
            <w:webHidden/>
          </w:rPr>
          <w:instrText xml:space="preserve"> PAGEREF _Toc495649402 \h </w:instrText>
        </w:r>
        <w:r w:rsidR="00311C90">
          <w:rPr>
            <w:webHidden/>
          </w:rPr>
        </w:r>
        <w:r w:rsidR="00311C90">
          <w:rPr>
            <w:webHidden/>
          </w:rPr>
          <w:fldChar w:fldCharType="separate"/>
        </w:r>
        <w:r w:rsidR="00A7472F">
          <w:rPr>
            <w:webHidden/>
          </w:rPr>
          <w:t>171</w:t>
        </w:r>
        <w:r w:rsidR="00311C90">
          <w:rPr>
            <w:webHidden/>
          </w:rPr>
          <w:fldChar w:fldCharType="end"/>
        </w:r>
      </w:hyperlink>
    </w:p>
    <w:p w14:paraId="43DBDC8C" w14:textId="6E0CA3AD" w:rsidR="00311C90" w:rsidRDefault="00D90541">
      <w:pPr>
        <w:pStyle w:val="Obsah5"/>
        <w:rPr>
          <w:rFonts w:asciiTheme="minorHAnsi" w:eastAsiaTheme="minorEastAsia" w:hAnsiTheme="minorHAnsi" w:cstheme="minorBidi"/>
          <w:sz w:val="22"/>
        </w:rPr>
      </w:pPr>
      <w:hyperlink w:anchor="_Toc495649403" w:history="1">
        <w:r w:rsidR="00311C90" w:rsidRPr="007077FC">
          <w:rPr>
            <w:rStyle w:val="Hypertextovprepojenie"/>
          </w:rPr>
          <w:t>3.3.7.4.1 Spolupráca s ÚVO</w:t>
        </w:r>
        <w:r w:rsidR="00311C90">
          <w:rPr>
            <w:webHidden/>
          </w:rPr>
          <w:tab/>
        </w:r>
        <w:r w:rsidR="00311C90">
          <w:rPr>
            <w:webHidden/>
          </w:rPr>
          <w:fldChar w:fldCharType="begin"/>
        </w:r>
        <w:r w:rsidR="00311C90">
          <w:rPr>
            <w:webHidden/>
          </w:rPr>
          <w:instrText xml:space="preserve"> PAGEREF _Toc495649403 \h </w:instrText>
        </w:r>
        <w:r w:rsidR="00311C90">
          <w:rPr>
            <w:webHidden/>
          </w:rPr>
        </w:r>
        <w:r w:rsidR="00311C90">
          <w:rPr>
            <w:webHidden/>
          </w:rPr>
          <w:fldChar w:fldCharType="separate"/>
        </w:r>
        <w:r w:rsidR="00A7472F">
          <w:rPr>
            <w:webHidden/>
          </w:rPr>
          <w:t>172</w:t>
        </w:r>
        <w:r w:rsidR="00311C90">
          <w:rPr>
            <w:webHidden/>
          </w:rPr>
          <w:fldChar w:fldCharType="end"/>
        </w:r>
      </w:hyperlink>
    </w:p>
    <w:p w14:paraId="64A8AE90" w14:textId="1736C8D2" w:rsidR="00311C90" w:rsidRDefault="00D90541">
      <w:pPr>
        <w:pStyle w:val="Obsah5"/>
        <w:rPr>
          <w:rFonts w:asciiTheme="minorHAnsi" w:eastAsiaTheme="minorEastAsia" w:hAnsiTheme="minorHAnsi" w:cstheme="minorBidi"/>
          <w:sz w:val="22"/>
        </w:rPr>
      </w:pPr>
      <w:hyperlink w:anchor="_Toc495649404" w:history="1">
        <w:r w:rsidR="00311C90" w:rsidRPr="007077FC">
          <w:rPr>
            <w:rStyle w:val="Hypertextovprepojenie"/>
          </w:rPr>
          <w:t>3.3.7.4.1.1 Analýza rizík kontrolovaného verejného obstarávania a následný postup</w:t>
        </w:r>
        <w:r w:rsidR="00311C90">
          <w:rPr>
            <w:webHidden/>
          </w:rPr>
          <w:tab/>
        </w:r>
        <w:r w:rsidR="00311C90">
          <w:rPr>
            <w:webHidden/>
          </w:rPr>
          <w:fldChar w:fldCharType="begin"/>
        </w:r>
        <w:r w:rsidR="00311C90">
          <w:rPr>
            <w:webHidden/>
          </w:rPr>
          <w:instrText xml:space="preserve"> PAGEREF _Toc495649404 \h </w:instrText>
        </w:r>
        <w:r w:rsidR="00311C90">
          <w:rPr>
            <w:webHidden/>
          </w:rPr>
        </w:r>
        <w:r w:rsidR="00311C90">
          <w:rPr>
            <w:webHidden/>
          </w:rPr>
          <w:fldChar w:fldCharType="separate"/>
        </w:r>
        <w:r w:rsidR="00A7472F">
          <w:rPr>
            <w:webHidden/>
          </w:rPr>
          <w:t>172</w:t>
        </w:r>
        <w:r w:rsidR="00311C90">
          <w:rPr>
            <w:webHidden/>
          </w:rPr>
          <w:fldChar w:fldCharType="end"/>
        </w:r>
      </w:hyperlink>
    </w:p>
    <w:p w14:paraId="363DC3FF" w14:textId="6FE62DF9" w:rsidR="00311C90" w:rsidRDefault="00D90541">
      <w:pPr>
        <w:pStyle w:val="Obsah5"/>
        <w:rPr>
          <w:rFonts w:asciiTheme="minorHAnsi" w:eastAsiaTheme="minorEastAsia" w:hAnsiTheme="minorHAnsi" w:cstheme="minorBidi"/>
          <w:sz w:val="22"/>
        </w:rPr>
      </w:pPr>
      <w:hyperlink w:anchor="_Toc495649405" w:history="1">
        <w:r w:rsidR="00311C90" w:rsidRPr="007077FC">
          <w:rPr>
            <w:rStyle w:val="Hypertextovprepojenie"/>
          </w:rPr>
          <w:t>3.3.7.4.1.2 Rozsah spolupráce s ÚVO</w:t>
        </w:r>
        <w:r w:rsidR="00311C90">
          <w:rPr>
            <w:webHidden/>
          </w:rPr>
          <w:tab/>
        </w:r>
        <w:r w:rsidR="00311C90">
          <w:rPr>
            <w:webHidden/>
          </w:rPr>
          <w:fldChar w:fldCharType="begin"/>
        </w:r>
        <w:r w:rsidR="00311C90">
          <w:rPr>
            <w:webHidden/>
          </w:rPr>
          <w:instrText xml:space="preserve"> PAGEREF _Toc495649405 \h </w:instrText>
        </w:r>
        <w:r w:rsidR="00311C90">
          <w:rPr>
            <w:webHidden/>
          </w:rPr>
        </w:r>
        <w:r w:rsidR="00311C90">
          <w:rPr>
            <w:webHidden/>
          </w:rPr>
          <w:fldChar w:fldCharType="separate"/>
        </w:r>
        <w:r w:rsidR="00A7472F">
          <w:rPr>
            <w:webHidden/>
          </w:rPr>
          <w:t>175</w:t>
        </w:r>
        <w:r w:rsidR="00311C90">
          <w:rPr>
            <w:webHidden/>
          </w:rPr>
          <w:fldChar w:fldCharType="end"/>
        </w:r>
      </w:hyperlink>
    </w:p>
    <w:p w14:paraId="7A94E6E0" w14:textId="4D8E0033" w:rsidR="00311C90" w:rsidRDefault="00D90541">
      <w:pPr>
        <w:pStyle w:val="Obsah5"/>
        <w:rPr>
          <w:rFonts w:asciiTheme="minorHAnsi" w:eastAsiaTheme="minorEastAsia" w:hAnsiTheme="minorHAnsi" w:cstheme="minorBidi"/>
          <w:sz w:val="22"/>
        </w:rPr>
      </w:pPr>
      <w:hyperlink w:anchor="_Toc495649406" w:history="1">
        <w:r w:rsidR="00311C90" w:rsidRPr="007077FC">
          <w:rPr>
            <w:rStyle w:val="Hypertextovprepojenie"/>
          </w:rPr>
          <w:t>3.3.7.4.2. Spolupráca s PMÚ</w:t>
        </w:r>
        <w:r w:rsidR="00311C90">
          <w:rPr>
            <w:webHidden/>
          </w:rPr>
          <w:tab/>
        </w:r>
        <w:r w:rsidR="00311C90">
          <w:rPr>
            <w:webHidden/>
          </w:rPr>
          <w:fldChar w:fldCharType="begin"/>
        </w:r>
        <w:r w:rsidR="00311C90">
          <w:rPr>
            <w:webHidden/>
          </w:rPr>
          <w:instrText xml:space="preserve"> PAGEREF _Toc495649406 \h </w:instrText>
        </w:r>
        <w:r w:rsidR="00311C90">
          <w:rPr>
            <w:webHidden/>
          </w:rPr>
        </w:r>
        <w:r w:rsidR="00311C90">
          <w:rPr>
            <w:webHidden/>
          </w:rPr>
          <w:fldChar w:fldCharType="separate"/>
        </w:r>
        <w:r w:rsidR="00A7472F">
          <w:rPr>
            <w:webHidden/>
          </w:rPr>
          <w:t>176</w:t>
        </w:r>
        <w:r w:rsidR="00311C90">
          <w:rPr>
            <w:webHidden/>
          </w:rPr>
          <w:fldChar w:fldCharType="end"/>
        </w:r>
      </w:hyperlink>
    </w:p>
    <w:p w14:paraId="3D6A0607" w14:textId="372BE8E8" w:rsidR="00311C90" w:rsidRDefault="00D90541">
      <w:pPr>
        <w:pStyle w:val="Obsah5"/>
        <w:rPr>
          <w:rFonts w:asciiTheme="minorHAnsi" w:eastAsiaTheme="minorEastAsia" w:hAnsiTheme="minorHAnsi" w:cstheme="minorBidi"/>
          <w:sz w:val="22"/>
        </w:rPr>
      </w:pPr>
      <w:hyperlink w:anchor="_Toc495649407" w:history="1">
        <w:r w:rsidR="00311C90" w:rsidRPr="007077FC">
          <w:rPr>
            <w:rStyle w:val="Hypertextovprepojenie"/>
          </w:rPr>
          <w:t>3.3.7.4.2.1 Podmienky spolupráce</w:t>
        </w:r>
        <w:r w:rsidR="00311C90">
          <w:rPr>
            <w:webHidden/>
          </w:rPr>
          <w:tab/>
        </w:r>
        <w:r w:rsidR="00311C90">
          <w:rPr>
            <w:webHidden/>
          </w:rPr>
          <w:fldChar w:fldCharType="begin"/>
        </w:r>
        <w:r w:rsidR="00311C90">
          <w:rPr>
            <w:webHidden/>
          </w:rPr>
          <w:instrText xml:space="preserve"> PAGEREF _Toc495649407 \h </w:instrText>
        </w:r>
        <w:r w:rsidR="00311C90">
          <w:rPr>
            <w:webHidden/>
          </w:rPr>
        </w:r>
        <w:r w:rsidR="00311C90">
          <w:rPr>
            <w:webHidden/>
          </w:rPr>
          <w:fldChar w:fldCharType="separate"/>
        </w:r>
        <w:r w:rsidR="00A7472F">
          <w:rPr>
            <w:webHidden/>
          </w:rPr>
          <w:t>176</w:t>
        </w:r>
        <w:r w:rsidR="00311C90">
          <w:rPr>
            <w:webHidden/>
          </w:rPr>
          <w:fldChar w:fldCharType="end"/>
        </w:r>
      </w:hyperlink>
    </w:p>
    <w:p w14:paraId="27760EB0" w14:textId="60090B24" w:rsidR="00311C90" w:rsidRDefault="00D90541">
      <w:pPr>
        <w:pStyle w:val="Obsah5"/>
        <w:rPr>
          <w:rFonts w:asciiTheme="minorHAnsi" w:eastAsiaTheme="minorEastAsia" w:hAnsiTheme="minorHAnsi" w:cstheme="minorBidi"/>
          <w:sz w:val="22"/>
        </w:rPr>
      </w:pPr>
      <w:hyperlink w:anchor="_Toc495649408" w:history="1">
        <w:r w:rsidR="00311C90" w:rsidRPr="007077FC">
          <w:rPr>
            <w:rStyle w:val="Hypertextovprepojenie"/>
          </w:rPr>
          <w:t>3.3.7.4.2.2 Rozsah spolupráce</w:t>
        </w:r>
        <w:r w:rsidR="00311C90">
          <w:rPr>
            <w:webHidden/>
          </w:rPr>
          <w:tab/>
        </w:r>
        <w:r w:rsidR="00311C90">
          <w:rPr>
            <w:webHidden/>
          </w:rPr>
          <w:fldChar w:fldCharType="begin"/>
        </w:r>
        <w:r w:rsidR="00311C90">
          <w:rPr>
            <w:webHidden/>
          </w:rPr>
          <w:instrText xml:space="preserve"> PAGEREF _Toc495649408 \h </w:instrText>
        </w:r>
        <w:r w:rsidR="00311C90">
          <w:rPr>
            <w:webHidden/>
          </w:rPr>
        </w:r>
        <w:r w:rsidR="00311C90">
          <w:rPr>
            <w:webHidden/>
          </w:rPr>
          <w:fldChar w:fldCharType="separate"/>
        </w:r>
        <w:r w:rsidR="00A7472F">
          <w:rPr>
            <w:webHidden/>
          </w:rPr>
          <w:t>177</w:t>
        </w:r>
        <w:r w:rsidR="00311C90">
          <w:rPr>
            <w:webHidden/>
          </w:rPr>
          <w:fldChar w:fldCharType="end"/>
        </w:r>
      </w:hyperlink>
    </w:p>
    <w:p w14:paraId="771E4F19" w14:textId="7011E878" w:rsidR="00311C90" w:rsidRDefault="00D90541">
      <w:pPr>
        <w:pStyle w:val="Obsah5"/>
        <w:rPr>
          <w:rFonts w:asciiTheme="minorHAnsi" w:eastAsiaTheme="minorEastAsia" w:hAnsiTheme="minorHAnsi" w:cstheme="minorBidi"/>
          <w:sz w:val="22"/>
        </w:rPr>
      </w:pPr>
      <w:hyperlink w:anchor="_Toc495649409" w:history="1">
        <w:r w:rsidR="00311C90" w:rsidRPr="007077FC">
          <w:rPr>
            <w:rStyle w:val="Hypertextovprepojenie"/>
          </w:rPr>
          <w:t>3.3.7.4.2.3 Rizikové indikátory</w:t>
        </w:r>
        <w:r w:rsidR="00311C90">
          <w:rPr>
            <w:webHidden/>
          </w:rPr>
          <w:tab/>
        </w:r>
        <w:r w:rsidR="00311C90">
          <w:rPr>
            <w:webHidden/>
          </w:rPr>
          <w:fldChar w:fldCharType="begin"/>
        </w:r>
        <w:r w:rsidR="00311C90">
          <w:rPr>
            <w:webHidden/>
          </w:rPr>
          <w:instrText xml:space="preserve"> PAGEREF _Toc495649409 \h </w:instrText>
        </w:r>
        <w:r w:rsidR="00311C90">
          <w:rPr>
            <w:webHidden/>
          </w:rPr>
        </w:r>
        <w:r w:rsidR="00311C90">
          <w:rPr>
            <w:webHidden/>
          </w:rPr>
          <w:fldChar w:fldCharType="separate"/>
        </w:r>
        <w:r w:rsidR="00A7472F">
          <w:rPr>
            <w:webHidden/>
          </w:rPr>
          <w:t>177</w:t>
        </w:r>
        <w:r w:rsidR="00311C90">
          <w:rPr>
            <w:webHidden/>
          </w:rPr>
          <w:fldChar w:fldCharType="end"/>
        </w:r>
      </w:hyperlink>
    </w:p>
    <w:p w14:paraId="60CD7821" w14:textId="5D3F3845" w:rsidR="00311C90" w:rsidRDefault="00D90541">
      <w:pPr>
        <w:pStyle w:val="Obsah5"/>
        <w:rPr>
          <w:rFonts w:asciiTheme="minorHAnsi" w:eastAsiaTheme="minorEastAsia" w:hAnsiTheme="minorHAnsi" w:cstheme="minorBidi"/>
          <w:sz w:val="22"/>
        </w:rPr>
      </w:pPr>
      <w:hyperlink w:anchor="_Toc495649410" w:history="1">
        <w:r w:rsidR="00311C90" w:rsidRPr="007077FC">
          <w:rPr>
            <w:rStyle w:val="Hypertextovprepojenie"/>
          </w:rPr>
          <w:t>3.3.7.4.3 Spolupráca s orgánmi činnými v trestom konaní pri podozrení z protiprávneho konania</w:t>
        </w:r>
        <w:r w:rsidR="00311C90">
          <w:rPr>
            <w:webHidden/>
          </w:rPr>
          <w:tab/>
        </w:r>
        <w:r w:rsidR="00311C90">
          <w:rPr>
            <w:webHidden/>
          </w:rPr>
          <w:fldChar w:fldCharType="begin"/>
        </w:r>
        <w:r w:rsidR="00311C90">
          <w:rPr>
            <w:webHidden/>
          </w:rPr>
          <w:instrText xml:space="preserve"> PAGEREF _Toc495649410 \h </w:instrText>
        </w:r>
        <w:r w:rsidR="00311C90">
          <w:rPr>
            <w:webHidden/>
          </w:rPr>
        </w:r>
        <w:r w:rsidR="00311C90">
          <w:rPr>
            <w:webHidden/>
          </w:rPr>
          <w:fldChar w:fldCharType="separate"/>
        </w:r>
        <w:r w:rsidR="00A7472F">
          <w:rPr>
            <w:webHidden/>
          </w:rPr>
          <w:t>178</w:t>
        </w:r>
        <w:r w:rsidR="00311C90">
          <w:rPr>
            <w:webHidden/>
          </w:rPr>
          <w:fldChar w:fldCharType="end"/>
        </w:r>
      </w:hyperlink>
    </w:p>
    <w:p w14:paraId="4586622E" w14:textId="0ED97C68" w:rsidR="00311C90" w:rsidRDefault="00D90541">
      <w:pPr>
        <w:pStyle w:val="Obsah5"/>
        <w:rPr>
          <w:rFonts w:asciiTheme="minorHAnsi" w:eastAsiaTheme="minorEastAsia" w:hAnsiTheme="minorHAnsi" w:cstheme="minorBidi"/>
          <w:sz w:val="22"/>
        </w:rPr>
      </w:pPr>
      <w:hyperlink w:anchor="_Toc495649411" w:history="1">
        <w:r w:rsidR="00311C90" w:rsidRPr="007077FC">
          <w:rPr>
            <w:rStyle w:val="Hypertextovprepojenie"/>
          </w:rPr>
          <w:t>3.3.7.4.3.1 Rizikové indikátory</w:t>
        </w:r>
        <w:r w:rsidR="00311C90">
          <w:rPr>
            <w:webHidden/>
          </w:rPr>
          <w:tab/>
        </w:r>
        <w:r w:rsidR="00311C90">
          <w:rPr>
            <w:webHidden/>
          </w:rPr>
          <w:fldChar w:fldCharType="begin"/>
        </w:r>
        <w:r w:rsidR="00311C90">
          <w:rPr>
            <w:webHidden/>
          </w:rPr>
          <w:instrText xml:space="preserve"> PAGEREF _Toc495649411 \h </w:instrText>
        </w:r>
        <w:r w:rsidR="00311C90">
          <w:rPr>
            <w:webHidden/>
          </w:rPr>
        </w:r>
        <w:r w:rsidR="00311C90">
          <w:rPr>
            <w:webHidden/>
          </w:rPr>
          <w:fldChar w:fldCharType="separate"/>
        </w:r>
        <w:r w:rsidR="00A7472F">
          <w:rPr>
            <w:webHidden/>
          </w:rPr>
          <w:t>178</w:t>
        </w:r>
        <w:r w:rsidR="00311C90">
          <w:rPr>
            <w:webHidden/>
          </w:rPr>
          <w:fldChar w:fldCharType="end"/>
        </w:r>
      </w:hyperlink>
    </w:p>
    <w:p w14:paraId="4F715088" w14:textId="62C6EA90" w:rsidR="00311C90" w:rsidRDefault="00D90541">
      <w:pPr>
        <w:pStyle w:val="Obsah2"/>
        <w:rPr>
          <w:rFonts w:asciiTheme="minorHAnsi" w:eastAsiaTheme="minorEastAsia" w:hAnsiTheme="minorHAnsi" w:cstheme="minorBidi"/>
          <w:noProof/>
          <w:sz w:val="22"/>
          <w:szCs w:val="22"/>
        </w:rPr>
      </w:pPr>
      <w:hyperlink w:anchor="_Toc495649412" w:history="1">
        <w:r w:rsidR="00311C90" w:rsidRPr="007077FC">
          <w:rPr>
            <w:rStyle w:val="Hypertextovprepojenie"/>
            <w:noProof/>
          </w:rPr>
          <w:t>3.4 Osobitné spôsoby implementácie operačných programov</w:t>
        </w:r>
        <w:r w:rsidR="00311C90">
          <w:rPr>
            <w:noProof/>
            <w:webHidden/>
          </w:rPr>
          <w:tab/>
        </w:r>
        <w:r w:rsidR="00311C90">
          <w:rPr>
            <w:noProof/>
            <w:webHidden/>
          </w:rPr>
          <w:fldChar w:fldCharType="begin"/>
        </w:r>
        <w:r w:rsidR="00311C90">
          <w:rPr>
            <w:noProof/>
            <w:webHidden/>
          </w:rPr>
          <w:instrText xml:space="preserve"> PAGEREF _Toc495649412 \h </w:instrText>
        </w:r>
        <w:r w:rsidR="00311C90">
          <w:rPr>
            <w:noProof/>
            <w:webHidden/>
          </w:rPr>
        </w:r>
        <w:r w:rsidR="00311C90">
          <w:rPr>
            <w:noProof/>
            <w:webHidden/>
          </w:rPr>
          <w:fldChar w:fldCharType="separate"/>
        </w:r>
        <w:r w:rsidR="00A7472F">
          <w:rPr>
            <w:noProof/>
            <w:webHidden/>
          </w:rPr>
          <w:t>183</w:t>
        </w:r>
        <w:r w:rsidR="00311C90">
          <w:rPr>
            <w:noProof/>
            <w:webHidden/>
          </w:rPr>
          <w:fldChar w:fldCharType="end"/>
        </w:r>
      </w:hyperlink>
    </w:p>
    <w:p w14:paraId="492B58BB" w14:textId="14E636AB" w:rsidR="00311C90" w:rsidRDefault="00D90541">
      <w:pPr>
        <w:pStyle w:val="Obsah3"/>
        <w:rPr>
          <w:rFonts w:asciiTheme="minorHAnsi" w:eastAsiaTheme="minorEastAsia" w:hAnsiTheme="minorHAnsi" w:cstheme="minorBidi"/>
          <w:noProof/>
          <w:sz w:val="22"/>
          <w:szCs w:val="22"/>
        </w:rPr>
      </w:pPr>
      <w:hyperlink w:anchor="_Toc495649413" w:history="1">
        <w:r w:rsidR="00311C90" w:rsidRPr="007077FC">
          <w:rPr>
            <w:rStyle w:val="Hypertextovprepojenie"/>
            <w:noProof/>
          </w:rPr>
          <w:t>3.4.1 Národné projekty</w:t>
        </w:r>
        <w:r w:rsidR="00311C90">
          <w:rPr>
            <w:noProof/>
            <w:webHidden/>
          </w:rPr>
          <w:tab/>
        </w:r>
        <w:r w:rsidR="00311C90">
          <w:rPr>
            <w:noProof/>
            <w:webHidden/>
          </w:rPr>
          <w:fldChar w:fldCharType="begin"/>
        </w:r>
        <w:r w:rsidR="00311C90">
          <w:rPr>
            <w:noProof/>
            <w:webHidden/>
          </w:rPr>
          <w:instrText xml:space="preserve"> PAGEREF _Toc495649413 \h </w:instrText>
        </w:r>
        <w:r w:rsidR="00311C90">
          <w:rPr>
            <w:noProof/>
            <w:webHidden/>
          </w:rPr>
        </w:r>
        <w:r w:rsidR="00311C90">
          <w:rPr>
            <w:noProof/>
            <w:webHidden/>
          </w:rPr>
          <w:fldChar w:fldCharType="separate"/>
        </w:r>
        <w:r w:rsidR="00A7472F">
          <w:rPr>
            <w:noProof/>
            <w:webHidden/>
          </w:rPr>
          <w:t>183</w:t>
        </w:r>
        <w:r w:rsidR="00311C90">
          <w:rPr>
            <w:noProof/>
            <w:webHidden/>
          </w:rPr>
          <w:fldChar w:fldCharType="end"/>
        </w:r>
      </w:hyperlink>
    </w:p>
    <w:p w14:paraId="1EF7EA48" w14:textId="4FAD1B84" w:rsidR="00311C90" w:rsidRDefault="00D90541">
      <w:pPr>
        <w:pStyle w:val="Obsah4"/>
        <w:rPr>
          <w:rFonts w:asciiTheme="minorHAnsi" w:eastAsiaTheme="minorEastAsia" w:hAnsiTheme="minorHAnsi" w:cstheme="minorBidi"/>
        </w:rPr>
      </w:pPr>
      <w:hyperlink w:anchor="_Toc495649414" w:history="1">
        <w:r w:rsidR="00311C90" w:rsidRPr="007077FC">
          <w:rPr>
            <w:rStyle w:val="Hypertextovprepojenie"/>
          </w:rPr>
          <w:t>3.4.1.1 Príprava, schvaľovanie a implementácia národných projektov</w:t>
        </w:r>
        <w:r w:rsidR="00311C90">
          <w:rPr>
            <w:webHidden/>
          </w:rPr>
          <w:tab/>
        </w:r>
        <w:r w:rsidR="00311C90">
          <w:rPr>
            <w:webHidden/>
          </w:rPr>
          <w:fldChar w:fldCharType="begin"/>
        </w:r>
        <w:r w:rsidR="00311C90">
          <w:rPr>
            <w:webHidden/>
          </w:rPr>
          <w:instrText xml:space="preserve"> PAGEREF _Toc495649414 \h </w:instrText>
        </w:r>
        <w:r w:rsidR="00311C90">
          <w:rPr>
            <w:webHidden/>
          </w:rPr>
        </w:r>
        <w:r w:rsidR="00311C90">
          <w:rPr>
            <w:webHidden/>
          </w:rPr>
          <w:fldChar w:fldCharType="separate"/>
        </w:r>
        <w:r w:rsidR="00A7472F">
          <w:rPr>
            <w:webHidden/>
          </w:rPr>
          <w:t>184</w:t>
        </w:r>
        <w:r w:rsidR="00311C90">
          <w:rPr>
            <w:webHidden/>
          </w:rPr>
          <w:fldChar w:fldCharType="end"/>
        </w:r>
      </w:hyperlink>
    </w:p>
    <w:p w14:paraId="27E398A9" w14:textId="4CD683A9" w:rsidR="00311C90" w:rsidRDefault="00D90541">
      <w:pPr>
        <w:pStyle w:val="Obsah3"/>
        <w:rPr>
          <w:rFonts w:asciiTheme="minorHAnsi" w:eastAsiaTheme="minorEastAsia" w:hAnsiTheme="minorHAnsi" w:cstheme="minorBidi"/>
          <w:noProof/>
          <w:sz w:val="22"/>
          <w:szCs w:val="22"/>
        </w:rPr>
      </w:pPr>
      <w:hyperlink w:anchor="_Toc495649415" w:history="1">
        <w:r w:rsidR="00311C90" w:rsidRPr="007077FC">
          <w:rPr>
            <w:rStyle w:val="Hypertextovprepojenie"/>
            <w:noProof/>
          </w:rPr>
          <w:t>3.4.2 Veľké projekty</w:t>
        </w:r>
        <w:r w:rsidR="00311C90">
          <w:rPr>
            <w:noProof/>
            <w:webHidden/>
          </w:rPr>
          <w:tab/>
        </w:r>
        <w:r w:rsidR="00311C90">
          <w:rPr>
            <w:noProof/>
            <w:webHidden/>
          </w:rPr>
          <w:fldChar w:fldCharType="begin"/>
        </w:r>
        <w:r w:rsidR="00311C90">
          <w:rPr>
            <w:noProof/>
            <w:webHidden/>
          </w:rPr>
          <w:instrText xml:space="preserve"> PAGEREF _Toc495649415 \h </w:instrText>
        </w:r>
        <w:r w:rsidR="00311C90">
          <w:rPr>
            <w:noProof/>
            <w:webHidden/>
          </w:rPr>
        </w:r>
        <w:r w:rsidR="00311C90">
          <w:rPr>
            <w:noProof/>
            <w:webHidden/>
          </w:rPr>
          <w:fldChar w:fldCharType="separate"/>
        </w:r>
        <w:r w:rsidR="00A7472F">
          <w:rPr>
            <w:noProof/>
            <w:webHidden/>
          </w:rPr>
          <w:t>185</w:t>
        </w:r>
        <w:r w:rsidR="00311C90">
          <w:rPr>
            <w:noProof/>
            <w:webHidden/>
          </w:rPr>
          <w:fldChar w:fldCharType="end"/>
        </w:r>
      </w:hyperlink>
    </w:p>
    <w:p w14:paraId="61645054" w14:textId="157224B1" w:rsidR="00311C90" w:rsidRDefault="00D90541">
      <w:pPr>
        <w:pStyle w:val="Obsah3"/>
        <w:rPr>
          <w:rFonts w:asciiTheme="minorHAnsi" w:eastAsiaTheme="minorEastAsia" w:hAnsiTheme="minorHAnsi" w:cstheme="minorBidi"/>
          <w:noProof/>
          <w:sz w:val="22"/>
          <w:szCs w:val="22"/>
        </w:rPr>
      </w:pPr>
      <w:hyperlink w:anchor="_Toc495649416" w:history="1">
        <w:r w:rsidR="00311C90" w:rsidRPr="007077FC">
          <w:rPr>
            <w:rStyle w:val="Hypertextovprepojenie"/>
            <w:noProof/>
          </w:rPr>
          <w:t>3.4.3 Projekty technickej pomoci</w:t>
        </w:r>
        <w:r w:rsidR="00311C90">
          <w:rPr>
            <w:noProof/>
            <w:webHidden/>
          </w:rPr>
          <w:tab/>
        </w:r>
        <w:r w:rsidR="00311C90">
          <w:rPr>
            <w:noProof/>
            <w:webHidden/>
          </w:rPr>
          <w:fldChar w:fldCharType="begin"/>
        </w:r>
        <w:r w:rsidR="00311C90">
          <w:rPr>
            <w:noProof/>
            <w:webHidden/>
          </w:rPr>
          <w:instrText xml:space="preserve"> PAGEREF _Toc495649416 \h </w:instrText>
        </w:r>
        <w:r w:rsidR="00311C90">
          <w:rPr>
            <w:noProof/>
            <w:webHidden/>
          </w:rPr>
        </w:r>
        <w:r w:rsidR="00311C90">
          <w:rPr>
            <w:noProof/>
            <w:webHidden/>
          </w:rPr>
          <w:fldChar w:fldCharType="separate"/>
        </w:r>
        <w:r w:rsidR="00A7472F">
          <w:rPr>
            <w:noProof/>
            <w:webHidden/>
          </w:rPr>
          <w:t>189</w:t>
        </w:r>
        <w:r w:rsidR="00311C90">
          <w:rPr>
            <w:noProof/>
            <w:webHidden/>
          </w:rPr>
          <w:fldChar w:fldCharType="end"/>
        </w:r>
      </w:hyperlink>
    </w:p>
    <w:p w14:paraId="606A848D" w14:textId="447F8108" w:rsidR="00311C90" w:rsidRDefault="00D90541">
      <w:pPr>
        <w:pStyle w:val="Obsah3"/>
        <w:rPr>
          <w:rFonts w:asciiTheme="minorHAnsi" w:eastAsiaTheme="minorEastAsia" w:hAnsiTheme="minorHAnsi" w:cstheme="minorBidi"/>
          <w:noProof/>
          <w:sz w:val="22"/>
          <w:szCs w:val="22"/>
        </w:rPr>
      </w:pPr>
      <w:hyperlink w:anchor="_Toc495649417" w:history="1">
        <w:r w:rsidR="00311C90" w:rsidRPr="007077FC">
          <w:rPr>
            <w:rStyle w:val="Hypertextovprepojenie"/>
            <w:noProof/>
          </w:rPr>
          <w:t>3.4.4 Miestny rozvoj vedený komunitou</w:t>
        </w:r>
        <w:r w:rsidR="00311C90">
          <w:rPr>
            <w:noProof/>
            <w:webHidden/>
          </w:rPr>
          <w:tab/>
        </w:r>
        <w:r w:rsidR="00311C90">
          <w:rPr>
            <w:noProof/>
            <w:webHidden/>
          </w:rPr>
          <w:fldChar w:fldCharType="begin"/>
        </w:r>
        <w:r w:rsidR="00311C90">
          <w:rPr>
            <w:noProof/>
            <w:webHidden/>
          </w:rPr>
          <w:instrText xml:space="preserve"> PAGEREF _Toc495649417 \h </w:instrText>
        </w:r>
        <w:r w:rsidR="00311C90">
          <w:rPr>
            <w:noProof/>
            <w:webHidden/>
          </w:rPr>
        </w:r>
        <w:r w:rsidR="00311C90">
          <w:rPr>
            <w:noProof/>
            <w:webHidden/>
          </w:rPr>
          <w:fldChar w:fldCharType="separate"/>
        </w:r>
        <w:r w:rsidR="00A7472F">
          <w:rPr>
            <w:noProof/>
            <w:webHidden/>
          </w:rPr>
          <w:t>190</w:t>
        </w:r>
        <w:r w:rsidR="00311C90">
          <w:rPr>
            <w:noProof/>
            <w:webHidden/>
          </w:rPr>
          <w:fldChar w:fldCharType="end"/>
        </w:r>
      </w:hyperlink>
    </w:p>
    <w:p w14:paraId="716BED7C" w14:textId="2D28E449" w:rsidR="00311C90" w:rsidRDefault="00D90541">
      <w:pPr>
        <w:pStyle w:val="Obsah4"/>
        <w:rPr>
          <w:rFonts w:asciiTheme="minorHAnsi" w:eastAsiaTheme="minorEastAsia" w:hAnsiTheme="minorHAnsi" w:cstheme="minorBidi"/>
        </w:rPr>
      </w:pPr>
      <w:hyperlink w:anchor="_Toc495649418" w:history="1">
        <w:r w:rsidR="00311C90" w:rsidRPr="007077FC">
          <w:rPr>
            <w:rStyle w:val="Hypertextovprepojenie"/>
          </w:rPr>
          <w:t>3.4.4.1 Výber a realizácia projektov v rámci CLLD</w:t>
        </w:r>
        <w:r w:rsidR="00311C90">
          <w:rPr>
            <w:webHidden/>
          </w:rPr>
          <w:tab/>
        </w:r>
        <w:r w:rsidR="00311C90">
          <w:rPr>
            <w:webHidden/>
          </w:rPr>
          <w:fldChar w:fldCharType="begin"/>
        </w:r>
        <w:r w:rsidR="00311C90">
          <w:rPr>
            <w:webHidden/>
          </w:rPr>
          <w:instrText xml:space="preserve"> PAGEREF _Toc495649418 \h </w:instrText>
        </w:r>
        <w:r w:rsidR="00311C90">
          <w:rPr>
            <w:webHidden/>
          </w:rPr>
        </w:r>
        <w:r w:rsidR="00311C90">
          <w:rPr>
            <w:webHidden/>
          </w:rPr>
          <w:fldChar w:fldCharType="separate"/>
        </w:r>
        <w:r w:rsidR="00A7472F">
          <w:rPr>
            <w:webHidden/>
          </w:rPr>
          <w:t>191</w:t>
        </w:r>
        <w:r w:rsidR="00311C90">
          <w:rPr>
            <w:webHidden/>
          </w:rPr>
          <w:fldChar w:fldCharType="end"/>
        </w:r>
      </w:hyperlink>
    </w:p>
    <w:p w14:paraId="5482AD33" w14:textId="3B0A8E07" w:rsidR="00311C90" w:rsidRDefault="00D90541">
      <w:pPr>
        <w:pStyle w:val="Obsah3"/>
        <w:rPr>
          <w:rFonts w:asciiTheme="minorHAnsi" w:eastAsiaTheme="minorEastAsia" w:hAnsiTheme="minorHAnsi" w:cstheme="minorBidi"/>
          <w:noProof/>
          <w:sz w:val="22"/>
          <w:szCs w:val="22"/>
        </w:rPr>
      </w:pPr>
      <w:hyperlink w:anchor="_Toc495649419" w:history="1">
        <w:r w:rsidR="00311C90" w:rsidRPr="007077FC">
          <w:rPr>
            <w:rStyle w:val="Hypertextovprepojenie"/>
            <w:noProof/>
          </w:rPr>
          <w:t>3.4.5 Globálny grant</w:t>
        </w:r>
        <w:r w:rsidR="00311C90">
          <w:rPr>
            <w:noProof/>
            <w:webHidden/>
          </w:rPr>
          <w:tab/>
        </w:r>
        <w:r w:rsidR="00311C90">
          <w:rPr>
            <w:noProof/>
            <w:webHidden/>
          </w:rPr>
          <w:fldChar w:fldCharType="begin"/>
        </w:r>
        <w:r w:rsidR="00311C90">
          <w:rPr>
            <w:noProof/>
            <w:webHidden/>
          </w:rPr>
          <w:instrText xml:space="preserve"> PAGEREF _Toc495649419 \h </w:instrText>
        </w:r>
        <w:r w:rsidR="00311C90">
          <w:rPr>
            <w:noProof/>
            <w:webHidden/>
          </w:rPr>
        </w:r>
        <w:r w:rsidR="00311C90">
          <w:rPr>
            <w:noProof/>
            <w:webHidden/>
          </w:rPr>
          <w:fldChar w:fldCharType="separate"/>
        </w:r>
        <w:r w:rsidR="00A7472F">
          <w:rPr>
            <w:noProof/>
            <w:webHidden/>
          </w:rPr>
          <w:t>191</w:t>
        </w:r>
        <w:r w:rsidR="00311C90">
          <w:rPr>
            <w:noProof/>
            <w:webHidden/>
          </w:rPr>
          <w:fldChar w:fldCharType="end"/>
        </w:r>
      </w:hyperlink>
    </w:p>
    <w:p w14:paraId="343B60CF" w14:textId="15DEDF20" w:rsidR="00311C90" w:rsidRDefault="00D90541">
      <w:pPr>
        <w:pStyle w:val="Obsah4"/>
        <w:rPr>
          <w:rFonts w:asciiTheme="minorHAnsi" w:eastAsiaTheme="minorEastAsia" w:hAnsiTheme="minorHAnsi" w:cstheme="minorBidi"/>
        </w:rPr>
      </w:pPr>
      <w:hyperlink w:anchor="_Toc495649420" w:history="1">
        <w:r w:rsidR="00311C90" w:rsidRPr="007077FC">
          <w:rPr>
            <w:rStyle w:val="Hypertextovprepojenie"/>
          </w:rPr>
          <w:t>3.4.5.1 Výber sprostredkovateľského orgánu pre globálny grant</w:t>
        </w:r>
        <w:r w:rsidR="00311C90">
          <w:rPr>
            <w:webHidden/>
          </w:rPr>
          <w:tab/>
        </w:r>
        <w:r w:rsidR="00311C90">
          <w:rPr>
            <w:webHidden/>
          </w:rPr>
          <w:fldChar w:fldCharType="begin"/>
        </w:r>
        <w:r w:rsidR="00311C90">
          <w:rPr>
            <w:webHidden/>
          </w:rPr>
          <w:instrText xml:space="preserve"> PAGEREF _Toc495649420 \h </w:instrText>
        </w:r>
        <w:r w:rsidR="00311C90">
          <w:rPr>
            <w:webHidden/>
          </w:rPr>
        </w:r>
        <w:r w:rsidR="00311C90">
          <w:rPr>
            <w:webHidden/>
          </w:rPr>
          <w:fldChar w:fldCharType="separate"/>
        </w:r>
        <w:r w:rsidR="00A7472F">
          <w:rPr>
            <w:webHidden/>
          </w:rPr>
          <w:t>191</w:t>
        </w:r>
        <w:r w:rsidR="00311C90">
          <w:rPr>
            <w:webHidden/>
          </w:rPr>
          <w:fldChar w:fldCharType="end"/>
        </w:r>
      </w:hyperlink>
    </w:p>
    <w:p w14:paraId="64FDB286" w14:textId="1FD1FD89" w:rsidR="00311C90" w:rsidRDefault="00D90541">
      <w:pPr>
        <w:pStyle w:val="Obsah4"/>
        <w:rPr>
          <w:rFonts w:asciiTheme="minorHAnsi" w:eastAsiaTheme="minorEastAsia" w:hAnsiTheme="minorHAnsi" w:cstheme="minorBidi"/>
        </w:rPr>
      </w:pPr>
      <w:hyperlink w:anchor="_Toc495649421" w:history="1">
        <w:r w:rsidR="00311C90" w:rsidRPr="00A7472F">
          <w:rPr>
            <w:rStyle w:val="Hypertextovprepojenie"/>
          </w:rPr>
          <w:t>3.4.5.2 Zverejnenie výzvy a schvaľovací proces</w:t>
        </w:r>
        <w:r w:rsidR="00311C90" w:rsidRPr="00A7472F">
          <w:rPr>
            <w:webHidden/>
          </w:rPr>
          <w:tab/>
        </w:r>
        <w:r w:rsidR="00311C90" w:rsidRPr="00A7472F">
          <w:rPr>
            <w:webHidden/>
          </w:rPr>
          <w:fldChar w:fldCharType="begin"/>
        </w:r>
        <w:r w:rsidR="00311C90" w:rsidRPr="00A7472F">
          <w:rPr>
            <w:webHidden/>
          </w:rPr>
          <w:instrText xml:space="preserve"> PAGEREF _Toc495649421 \h </w:instrText>
        </w:r>
        <w:r w:rsidR="00311C90" w:rsidRPr="00A7472F">
          <w:rPr>
            <w:webHidden/>
          </w:rPr>
        </w:r>
        <w:r w:rsidR="00311C90" w:rsidRPr="00A7472F">
          <w:rPr>
            <w:webHidden/>
          </w:rPr>
          <w:fldChar w:fldCharType="separate"/>
        </w:r>
        <w:r w:rsidR="00A7472F">
          <w:rPr>
            <w:webHidden/>
          </w:rPr>
          <w:t>192</w:t>
        </w:r>
        <w:r w:rsidR="00311C90" w:rsidRPr="00A7472F">
          <w:rPr>
            <w:webHidden/>
          </w:rPr>
          <w:fldChar w:fldCharType="end"/>
        </w:r>
      </w:hyperlink>
    </w:p>
    <w:p w14:paraId="73B6A9E6" w14:textId="2D4E02A5" w:rsidR="00311C90" w:rsidRDefault="00D90541">
      <w:pPr>
        <w:pStyle w:val="Obsah4"/>
        <w:rPr>
          <w:rFonts w:asciiTheme="minorHAnsi" w:eastAsiaTheme="minorEastAsia" w:hAnsiTheme="minorHAnsi" w:cstheme="minorBidi"/>
        </w:rPr>
      </w:pPr>
      <w:hyperlink w:anchor="_Toc495649422" w:history="1">
        <w:r w:rsidR="00311C90" w:rsidRPr="007077FC">
          <w:rPr>
            <w:rStyle w:val="Hypertextovprepojenie"/>
          </w:rPr>
          <w:t>3.4.5.3 Monitorovanie a hodnotenie globálneho grantu</w:t>
        </w:r>
        <w:r w:rsidR="00311C90">
          <w:rPr>
            <w:webHidden/>
          </w:rPr>
          <w:tab/>
        </w:r>
        <w:r w:rsidR="00311C90">
          <w:rPr>
            <w:webHidden/>
          </w:rPr>
          <w:fldChar w:fldCharType="begin"/>
        </w:r>
        <w:r w:rsidR="00311C90">
          <w:rPr>
            <w:webHidden/>
          </w:rPr>
          <w:instrText xml:space="preserve"> PAGEREF _Toc495649422 \h </w:instrText>
        </w:r>
        <w:r w:rsidR="00311C90">
          <w:rPr>
            <w:webHidden/>
          </w:rPr>
        </w:r>
        <w:r w:rsidR="00311C90">
          <w:rPr>
            <w:webHidden/>
          </w:rPr>
          <w:fldChar w:fldCharType="separate"/>
        </w:r>
        <w:r w:rsidR="00A7472F">
          <w:rPr>
            <w:webHidden/>
          </w:rPr>
          <w:t>193</w:t>
        </w:r>
        <w:r w:rsidR="00311C90">
          <w:rPr>
            <w:webHidden/>
          </w:rPr>
          <w:fldChar w:fldCharType="end"/>
        </w:r>
      </w:hyperlink>
    </w:p>
    <w:p w14:paraId="41A0D9FC" w14:textId="302C680F" w:rsidR="00311C90" w:rsidRDefault="00D90541">
      <w:pPr>
        <w:pStyle w:val="Obsah4"/>
        <w:rPr>
          <w:rFonts w:asciiTheme="minorHAnsi" w:eastAsiaTheme="minorEastAsia" w:hAnsiTheme="minorHAnsi" w:cstheme="minorBidi"/>
        </w:rPr>
      </w:pPr>
      <w:hyperlink w:anchor="_Toc495649423" w:history="1">
        <w:r w:rsidR="00311C90" w:rsidRPr="007077FC">
          <w:rPr>
            <w:rStyle w:val="Hypertextovprepojenie"/>
          </w:rPr>
          <w:t>3.4.5.4 Kontrola projektov</w:t>
        </w:r>
        <w:r w:rsidR="00311C90">
          <w:rPr>
            <w:webHidden/>
          </w:rPr>
          <w:tab/>
        </w:r>
        <w:r w:rsidR="00311C90">
          <w:rPr>
            <w:webHidden/>
          </w:rPr>
          <w:fldChar w:fldCharType="begin"/>
        </w:r>
        <w:r w:rsidR="00311C90">
          <w:rPr>
            <w:webHidden/>
          </w:rPr>
          <w:instrText xml:space="preserve"> PAGEREF _Toc495649423 \h </w:instrText>
        </w:r>
        <w:r w:rsidR="00311C90">
          <w:rPr>
            <w:webHidden/>
          </w:rPr>
        </w:r>
        <w:r w:rsidR="00311C90">
          <w:rPr>
            <w:webHidden/>
          </w:rPr>
          <w:fldChar w:fldCharType="separate"/>
        </w:r>
        <w:r w:rsidR="00A7472F">
          <w:rPr>
            <w:webHidden/>
          </w:rPr>
          <w:t>193</w:t>
        </w:r>
        <w:r w:rsidR="00311C90">
          <w:rPr>
            <w:webHidden/>
          </w:rPr>
          <w:fldChar w:fldCharType="end"/>
        </w:r>
      </w:hyperlink>
    </w:p>
    <w:p w14:paraId="52D77515" w14:textId="5E0A06EB" w:rsidR="00311C90" w:rsidRDefault="00D90541">
      <w:pPr>
        <w:pStyle w:val="Obsah3"/>
        <w:rPr>
          <w:rFonts w:asciiTheme="minorHAnsi" w:eastAsiaTheme="minorEastAsia" w:hAnsiTheme="minorHAnsi" w:cstheme="minorBidi"/>
          <w:noProof/>
          <w:sz w:val="22"/>
          <w:szCs w:val="22"/>
        </w:rPr>
      </w:pPr>
      <w:hyperlink w:anchor="_Toc495649424" w:history="1">
        <w:r w:rsidR="00311C90" w:rsidRPr="007077FC">
          <w:rPr>
            <w:rStyle w:val="Hypertextovprepojenie"/>
            <w:noProof/>
          </w:rPr>
          <w:t>3.4.6 Spoločný akčný plán</w:t>
        </w:r>
        <w:r w:rsidR="00311C90">
          <w:rPr>
            <w:noProof/>
            <w:webHidden/>
          </w:rPr>
          <w:tab/>
        </w:r>
        <w:r w:rsidR="00311C90">
          <w:rPr>
            <w:noProof/>
            <w:webHidden/>
          </w:rPr>
          <w:fldChar w:fldCharType="begin"/>
        </w:r>
        <w:r w:rsidR="00311C90">
          <w:rPr>
            <w:noProof/>
            <w:webHidden/>
          </w:rPr>
          <w:instrText xml:space="preserve"> PAGEREF _Toc495649424 \h </w:instrText>
        </w:r>
        <w:r w:rsidR="00311C90">
          <w:rPr>
            <w:noProof/>
            <w:webHidden/>
          </w:rPr>
        </w:r>
        <w:r w:rsidR="00311C90">
          <w:rPr>
            <w:noProof/>
            <w:webHidden/>
          </w:rPr>
          <w:fldChar w:fldCharType="separate"/>
        </w:r>
        <w:r w:rsidR="00A7472F">
          <w:rPr>
            <w:noProof/>
            <w:webHidden/>
          </w:rPr>
          <w:t>193</w:t>
        </w:r>
        <w:r w:rsidR="00311C90">
          <w:rPr>
            <w:noProof/>
            <w:webHidden/>
          </w:rPr>
          <w:fldChar w:fldCharType="end"/>
        </w:r>
      </w:hyperlink>
    </w:p>
    <w:p w14:paraId="2EB38CFB" w14:textId="58689DBB" w:rsidR="00311C90" w:rsidRDefault="00D90541">
      <w:pPr>
        <w:pStyle w:val="Obsah4"/>
        <w:rPr>
          <w:rFonts w:asciiTheme="minorHAnsi" w:eastAsiaTheme="minorEastAsia" w:hAnsiTheme="minorHAnsi" w:cstheme="minorBidi"/>
        </w:rPr>
      </w:pPr>
      <w:hyperlink w:anchor="_Toc495649425" w:history="1">
        <w:r w:rsidR="00311C90" w:rsidRPr="007077FC">
          <w:rPr>
            <w:rStyle w:val="Hypertextovprepojenie"/>
          </w:rPr>
          <w:t>3.4.6.1 Predkladanie návrhu SAP</w:t>
        </w:r>
        <w:r w:rsidR="00311C90">
          <w:rPr>
            <w:webHidden/>
          </w:rPr>
          <w:tab/>
        </w:r>
        <w:r w:rsidR="00311C90">
          <w:rPr>
            <w:webHidden/>
          </w:rPr>
          <w:fldChar w:fldCharType="begin"/>
        </w:r>
        <w:r w:rsidR="00311C90">
          <w:rPr>
            <w:webHidden/>
          </w:rPr>
          <w:instrText xml:space="preserve"> PAGEREF _Toc495649425 \h </w:instrText>
        </w:r>
        <w:r w:rsidR="00311C90">
          <w:rPr>
            <w:webHidden/>
          </w:rPr>
        </w:r>
        <w:r w:rsidR="00311C90">
          <w:rPr>
            <w:webHidden/>
          </w:rPr>
          <w:fldChar w:fldCharType="separate"/>
        </w:r>
        <w:r w:rsidR="00A7472F">
          <w:rPr>
            <w:webHidden/>
          </w:rPr>
          <w:t>194</w:t>
        </w:r>
        <w:r w:rsidR="00311C90">
          <w:rPr>
            <w:webHidden/>
          </w:rPr>
          <w:fldChar w:fldCharType="end"/>
        </w:r>
      </w:hyperlink>
    </w:p>
    <w:p w14:paraId="393457AB" w14:textId="54FB70A6" w:rsidR="00311C90" w:rsidRDefault="00D90541">
      <w:pPr>
        <w:pStyle w:val="Obsah4"/>
        <w:rPr>
          <w:rFonts w:asciiTheme="minorHAnsi" w:eastAsiaTheme="minorEastAsia" w:hAnsiTheme="minorHAnsi" w:cstheme="minorBidi"/>
        </w:rPr>
      </w:pPr>
      <w:hyperlink w:anchor="_Toc495649426" w:history="1">
        <w:r w:rsidR="00311C90" w:rsidRPr="007077FC">
          <w:rPr>
            <w:rStyle w:val="Hypertextovprepojenie"/>
          </w:rPr>
          <w:t>3.4.6.2 Finančné riadenie</w:t>
        </w:r>
        <w:r w:rsidR="00311C90">
          <w:rPr>
            <w:webHidden/>
          </w:rPr>
          <w:tab/>
        </w:r>
        <w:r w:rsidR="00311C90">
          <w:rPr>
            <w:webHidden/>
          </w:rPr>
          <w:fldChar w:fldCharType="begin"/>
        </w:r>
        <w:r w:rsidR="00311C90">
          <w:rPr>
            <w:webHidden/>
          </w:rPr>
          <w:instrText xml:space="preserve"> PAGEREF _Toc495649426 \h </w:instrText>
        </w:r>
        <w:r w:rsidR="00311C90">
          <w:rPr>
            <w:webHidden/>
          </w:rPr>
        </w:r>
        <w:r w:rsidR="00311C90">
          <w:rPr>
            <w:webHidden/>
          </w:rPr>
          <w:fldChar w:fldCharType="separate"/>
        </w:r>
        <w:r w:rsidR="00A7472F">
          <w:rPr>
            <w:webHidden/>
          </w:rPr>
          <w:t>195</w:t>
        </w:r>
        <w:r w:rsidR="00311C90">
          <w:rPr>
            <w:webHidden/>
          </w:rPr>
          <w:fldChar w:fldCharType="end"/>
        </w:r>
      </w:hyperlink>
    </w:p>
    <w:p w14:paraId="281416D6" w14:textId="7FDC3850" w:rsidR="00311C90" w:rsidRDefault="00D90541">
      <w:pPr>
        <w:pStyle w:val="Obsah4"/>
        <w:rPr>
          <w:rFonts w:asciiTheme="minorHAnsi" w:eastAsiaTheme="minorEastAsia" w:hAnsiTheme="minorHAnsi" w:cstheme="minorBidi"/>
        </w:rPr>
      </w:pPr>
      <w:hyperlink w:anchor="_Toc495649427" w:history="1">
        <w:r w:rsidR="00311C90" w:rsidRPr="007077FC">
          <w:rPr>
            <w:rStyle w:val="Hypertextovprepojenie"/>
          </w:rPr>
          <w:t>3.4.6.3 Monitorovanie SAP</w:t>
        </w:r>
        <w:r w:rsidR="00311C90">
          <w:rPr>
            <w:webHidden/>
          </w:rPr>
          <w:tab/>
        </w:r>
        <w:r w:rsidR="00311C90">
          <w:rPr>
            <w:webHidden/>
          </w:rPr>
          <w:fldChar w:fldCharType="begin"/>
        </w:r>
        <w:r w:rsidR="00311C90">
          <w:rPr>
            <w:webHidden/>
          </w:rPr>
          <w:instrText xml:space="preserve"> PAGEREF _Toc495649427 \h </w:instrText>
        </w:r>
        <w:r w:rsidR="00311C90">
          <w:rPr>
            <w:webHidden/>
          </w:rPr>
        </w:r>
        <w:r w:rsidR="00311C90">
          <w:rPr>
            <w:webHidden/>
          </w:rPr>
          <w:fldChar w:fldCharType="separate"/>
        </w:r>
        <w:r w:rsidR="00A7472F">
          <w:rPr>
            <w:webHidden/>
          </w:rPr>
          <w:t>196</w:t>
        </w:r>
        <w:r w:rsidR="00311C90">
          <w:rPr>
            <w:webHidden/>
          </w:rPr>
          <w:fldChar w:fldCharType="end"/>
        </w:r>
      </w:hyperlink>
    </w:p>
    <w:p w14:paraId="25BCCFCF" w14:textId="689A333A" w:rsidR="00311C90" w:rsidRDefault="00D90541">
      <w:pPr>
        <w:pStyle w:val="Obsah4"/>
        <w:rPr>
          <w:rFonts w:asciiTheme="minorHAnsi" w:eastAsiaTheme="minorEastAsia" w:hAnsiTheme="minorHAnsi" w:cstheme="minorBidi"/>
        </w:rPr>
      </w:pPr>
      <w:hyperlink w:anchor="_Toc495649428" w:history="1">
        <w:r w:rsidR="00311C90" w:rsidRPr="007077FC">
          <w:rPr>
            <w:rStyle w:val="Hypertextovprepojenie"/>
          </w:rPr>
          <w:t>3.4.6.4 Rozhodovacie a zmenové procedúry</w:t>
        </w:r>
        <w:r w:rsidR="00311C90">
          <w:rPr>
            <w:webHidden/>
          </w:rPr>
          <w:tab/>
        </w:r>
        <w:r w:rsidR="00311C90">
          <w:rPr>
            <w:webHidden/>
          </w:rPr>
          <w:fldChar w:fldCharType="begin"/>
        </w:r>
        <w:r w:rsidR="00311C90">
          <w:rPr>
            <w:webHidden/>
          </w:rPr>
          <w:instrText xml:space="preserve"> PAGEREF _Toc495649428 \h </w:instrText>
        </w:r>
        <w:r w:rsidR="00311C90">
          <w:rPr>
            <w:webHidden/>
          </w:rPr>
        </w:r>
        <w:r w:rsidR="00311C90">
          <w:rPr>
            <w:webHidden/>
          </w:rPr>
          <w:fldChar w:fldCharType="separate"/>
        </w:r>
        <w:r w:rsidR="00A7472F">
          <w:rPr>
            <w:webHidden/>
          </w:rPr>
          <w:t>196</w:t>
        </w:r>
        <w:r w:rsidR="00311C90">
          <w:rPr>
            <w:webHidden/>
          </w:rPr>
          <w:fldChar w:fldCharType="end"/>
        </w:r>
      </w:hyperlink>
    </w:p>
    <w:p w14:paraId="577CF74A" w14:textId="2BCD3715" w:rsidR="00311C90" w:rsidRDefault="00D90541">
      <w:pPr>
        <w:pStyle w:val="Obsah3"/>
        <w:rPr>
          <w:rFonts w:asciiTheme="minorHAnsi" w:eastAsiaTheme="minorEastAsia" w:hAnsiTheme="minorHAnsi" w:cstheme="minorBidi"/>
          <w:noProof/>
          <w:sz w:val="22"/>
          <w:szCs w:val="22"/>
        </w:rPr>
      </w:pPr>
      <w:hyperlink w:anchor="_Toc495649429" w:history="1">
        <w:r w:rsidR="00311C90" w:rsidRPr="007077FC">
          <w:rPr>
            <w:rStyle w:val="Hypertextovprepojenie"/>
            <w:noProof/>
          </w:rPr>
          <w:t>3.4.7 Integrovaný prístup k územnému rozvoju - regionálne integrované územné stratégie a integrované územné stratégie mestskej oblasti</w:t>
        </w:r>
        <w:r w:rsidR="00311C90">
          <w:rPr>
            <w:noProof/>
            <w:webHidden/>
          </w:rPr>
          <w:tab/>
        </w:r>
        <w:r w:rsidR="00311C90">
          <w:rPr>
            <w:noProof/>
            <w:webHidden/>
          </w:rPr>
          <w:fldChar w:fldCharType="begin"/>
        </w:r>
        <w:r w:rsidR="00311C90">
          <w:rPr>
            <w:noProof/>
            <w:webHidden/>
          </w:rPr>
          <w:instrText xml:space="preserve"> PAGEREF _Toc495649429 \h </w:instrText>
        </w:r>
        <w:r w:rsidR="00311C90">
          <w:rPr>
            <w:noProof/>
            <w:webHidden/>
          </w:rPr>
        </w:r>
        <w:r w:rsidR="00311C90">
          <w:rPr>
            <w:noProof/>
            <w:webHidden/>
          </w:rPr>
          <w:fldChar w:fldCharType="separate"/>
        </w:r>
        <w:r w:rsidR="00A7472F">
          <w:rPr>
            <w:noProof/>
            <w:webHidden/>
          </w:rPr>
          <w:t>197</w:t>
        </w:r>
        <w:r w:rsidR="00311C90">
          <w:rPr>
            <w:noProof/>
            <w:webHidden/>
          </w:rPr>
          <w:fldChar w:fldCharType="end"/>
        </w:r>
      </w:hyperlink>
    </w:p>
    <w:p w14:paraId="7027A979" w14:textId="3D9DA99D" w:rsidR="00311C90" w:rsidRDefault="00D90541">
      <w:pPr>
        <w:pStyle w:val="Obsah3"/>
        <w:rPr>
          <w:rFonts w:asciiTheme="minorHAnsi" w:eastAsiaTheme="minorEastAsia" w:hAnsiTheme="minorHAnsi" w:cstheme="minorBidi"/>
          <w:noProof/>
          <w:sz w:val="22"/>
          <w:szCs w:val="22"/>
        </w:rPr>
      </w:pPr>
      <w:hyperlink w:anchor="_Toc495649430" w:history="1">
        <w:r w:rsidR="00311C90" w:rsidRPr="007077FC">
          <w:rPr>
            <w:rStyle w:val="Hypertextovprepojenie"/>
            <w:noProof/>
          </w:rPr>
          <w:t>3.4.8 Finančné nástroje</w:t>
        </w:r>
        <w:r w:rsidR="00311C90">
          <w:rPr>
            <w:noProof/>
            <w:webHidden/>
          </w:rPr>
          <w:tab/>
        </w:r>
        <w:r w:rsidR="00311C90">
          <w:rPr>
            <w:noProof/>
            <w:webHidden/>
          </w:rPr>
          <w:fldChar w:fldCharType="begin"/>
        </w:r>
        <w:r w:rsidR="00311C90">
          <w:rPr>
            <w:noProof/>
            <w:webHidden/>
          </w:rPr>
          <w:instrText xml:space="preserve"> PAGEREF _Toc495649430 \h </w:instrText>
        </w:r>
        <w:r w:rsidR="00311C90">
          <w:rPr>
            <w:noProof/>
            <w:webHidden/>
          </w:rPr>
        </w:r>
        <w:r w:rsidR="00311C90">
          <w:rPr>
            <w:noProof/>
            <w:webHidden/>
          </w:rPr>
          <w:fldChar w:fldCharType="separate"/>
        </w:r>
        <w:r w:rsidR="00A7472F">
          <w:rPr>
            <w:noProof/>
            <w:webHidden/>
          </w:rPr>
          <w:t>198</w:t>
        </w:r>
        <w:r w:rsidR="00311C90">
          <w:rPr>
            <w:noProof/>
            <w:webHidden/>
          </w:rPr>
          <w:fldChar w:fldCharType="end"/>
        </w:r>
      </w:hyperlink>
    </w:p>
    <w:p w14:paraId="3C9D6DC2" w14:textId="38D28F77" w:rsidR="00311C90" w:rsidRDefault="00D90541">
      <w:pPr>
        <w:pStyle w:val="Obsah2"/>
        <w:rPr>
          <w:rFonts w:asciiTheme="minorHAnsi" w:eastAsiaTheme="minorEastAsia" w:hAnsiTheme="minorHAnsi" w:cstheme="minorBidi"/>
          <w:noProof/>
          <w:sz w:val="22"/>
          <w:szCs w:val="22"/>
        </w:rPr>
      </w:pPr>
      <w:hyperlink w:anchor="_Toc495649431" w:history="1">
        <w:r w:rsidR="00311C90" w:rsidRPr="007077FC">
          <w:rPr>
            <w:rStyle w:val="Hypertextovprepojenie"/>
            <w:noProof/>
          </w:rPr>
          <w:t>3.5 Oprávnenosť výdavkov</w:t>
        </w:r>
        <w:r w:rsidR="00311C90">
          <w:rPr>
            <w:noProof/>
            <w:webHidden/>
          </w:rPr>
          <w:tab/>
        </w:r>
        <w:r w:rsidR="00311C90">
          <w:rPr>
            <w:noProof/>
            <w:webHidden/>
          </w:rPr>
          <w:fldChar w:fldCharType="begin"/>
        </w:r>
        <w:r w:rsidR="00311C90">
          <w:rPr>
            <w:noProof/>
            <w:webHidden/>
          </w:rPr>
          <w:instrText xml:space="preserve"> PAGEREF _Toc495649431 \h </w:instrText>
        </w:r>
        <w:r w:rsidR="00311C90">
          <w:rPr>
            <w:noProof/>
            <w:webHidden/>
          </w:rPr>
        </w:r>
        <w:r w:rsidR="00311C90">
          <w:rPr>
            <w:noProof/>
            <w:webHidden/>
          </w:rPr>
          <w:fldChar w:fldCharType="separate"/>
        </w:r>
        <w:r w:rsidR="00A7472F">
          <w:rPr>
            <w:noProof/>
            <w:webHidden/>
          </w:rPr>
          <w:t>198</w:t>
        </w:r>
        <w:r w:rsidR="00311C90">
          <w:rPr>
            <w:noProof/>
            <w:webHidden/>
          </w:rPr>
          <w:fldChar w:fldCharType="end"/>
        </w:r>
      </w:hyperlink>
    </w:p>
    <w:p w14:paraId="7E888D68" w14:textId="43B5ADFD" w:rsidR="00311C90" w:rsidRDefault="00D90541">
      <w:pPr>
        <w:pStyle w:val="Obsah3"/>
        <w:rPr>
          <w:rFonts w:asciiTheme="minorHAnsi" w:eastAsiaTheme="minorEastAsia" w:hAnsiTheme="minorHAnsi" w:cstheme="minorBidi"/>
          <w:noProof/>
          <w:sz w:val="22"/>
          <w:szCs w:val="22"/>
        </w:rPr>
      </w:pPr>
      <w:hyperlink w:anchor="_Toc495649432" w:history="1">
        <w:r w:rsidR="00311C90" w:rsidRPr="007077FC">
          <w:rPr>
            <w:rStyle w:val="Hypertextovprepojenie"/>
            <w:noProof/>
          </w:rPr>
          <w:t>3.5.1 Všeobecné podmienky oprávnenosti</w:t>
        </w:r>
        <w:r w:rsidR="00311C90">
          <w:rPr>
            <w:noProof/>
            <w:webHidden/>
          </w:rPr>
          <w:tab/>
        </w:r>
        <w:r w:rsidR="00311C90">
          <w:rPr>
            <w:noProof/>
            <w:webHidden/>
          </w:rPr>
          <w:fldChar w:fldCharType="begin"/>
        </w:r>
        <w:r w:rsidR="00311C90">
          <w:rPr>
            <w:noProof/>
            <w:webHidden/>
          </w:rPr>
          <w:instrText xml:space="preserve"> PAGEREF _Toc495649432 \h </w:instrText>
        </w:r>
        <w:r w:rsidR="00311C90">
          <w:rPr>
            <w:noProof/>
            <w:webHidden/>
          </w:rPr>
        </w:r>
        <w:r w:rsidR="00311C90">
          <w:rPr>
            <w:noProof/>
            <w:webHidden/>
          </w:rPr>
          <w:fldChar w:fldCharType="separate"/>
        </w:r>
        <w:r w:rsidR="00A7472F">
          <w:rPr>
            <w:noProof/>
            <w:webHidden/>
          </w:rPr>
          <w:t>198</w:t>
        </w:r>
        <w:r w:rsidR="00311C90">
          <w:rPr>
            <w:noProof/>
            <w:webHidden/>
          </w:rPr>
          <w:fldChar w:fldCharType="end"/>
        </w:r>
      </w:hyperlink>
    </w:p>
    <w:p w14:paraId="57A5B821" w14:textId="637448AD" w:rsidR="00311C90" w:rsidRDefault="00D90541">
      <w:pPr>
        <w:pStyle w:val="Obsah4"/>
        <w:rPr>
          <w:rFonts w:asciiTheme="minorHAnsi" w:eastAsiaTheme="minorEastAsia" w:hAnsiTheme="minorHAnsi" w:cstheme="minorBidi"/>
        </w:rPr>
      </w:pPr>
      <w:hyperlink w:anchor="_Toc495649433" w:history="1">
        <w:r w:rsidR="00311C90" w:rsidRPr="007077FC">
          <w:rPr>
            <w:rStyle w:val="Hypertextovprepojenie"/>
          </w:rPr>
          <w:t>3.5.1.1 Vecná oprávnenosť výdavku</w:t>
        </w:r>
        <w:r w:rsidR="00311C90">
          <w:rPr>
            <w:webHidden/>
          </w:rPr>
          <w:tab/>
        </w:r>
        <w:r w:rsidR="00311C90">
          <w:rPr>
            <w:webHidden/>
          </w:rPr>
          <w:fldChar w:fldCharType="begin"/>
        </w:r>
        <w:r w:rsidR="00311C90">
          <w:rPr>
            <w:webHidden/>
          </w:rPr>
          <w:instrText xml:space="preserve"> PAGEREF _Toc495649433 \h </w:instrText>
        </w:r>
        <w:r w:rsidR="00311C90">
          <w:rPr>
            <w:webHidden/>
          </w:rPr>
        </w:r>
        <w:r w:rsidR="00311C90">
          <w:rPr>
            <w:webHidden/>
          </w:rPr>
          <w:fldChar w:fldCharType="separate"/>
        </w:r>
        <w:r w:rsidR="00A7472F">
          <w:rPr>
            <w:webHidden/>
          </w:rPr>
          <w:t>199</w:t>
        </w:r>
        <w:r w:rsidR="00311C90">
          <w:rPr>
            <w:webHidden/>
          </w:rPr>
          <w:fldChar w:fldCharType="end"/>
        </w:r>
      </w:hyperlink>
    </w:p>
    <w:p w14:paraId="0B95B2D1" w14:textId="64AA9E5A" w:rsidR="00311C90" w:rsidRDefault="00D90541">
      <w:pPr>
        <w:pStyle w:val="Obsah4"/>
        <w:rPr>
          <w:rFonts w:asciiTheme="minorHAnsi" w:eastAsiaTheme="minorEastAsia" w:hAnsiTheme="minorHAnsi" w:cstheme="minorBidi"/>
        </w:rPr>
      </w:pPr>
      <w:hyperlink w:anchor="_Toc495649434" w:history="1">
        <w:r w:rsidR="00311C90" w:rsidRPr="007077FC">
          <w:rPr>
            <w:rStyle w:val="Hypertextovprepojenie"/>
          </w:rPr>
          <w:t>3.5.1.2 Časová oprávnenosť výdavku</w:t>
        </w:r>
        <w:r w:rsidR="00311C90">
          <w:rPr>
            <w:webHidden/>
          </w:rPr>
          <w:tab/>
        </w:r>
        <w:r w:rsidR="00311C90">
          <w:rPr>
            <w:webHidden/>
          </w:rPr>
          <w:fldChar w:fldCharType="begin"/>
        </w:r>
        <w:r w:rsidR="00311C90">
          <w:rPr>
            <w:webHidden/>
          </w:rPr>
          <w:instrText xml:space="preserve"> PAGEREF _Toc495649434 \h </w:instrText>
        </w:r>
        <w:r w:rsidR="00311C90">
          <w:rPr>
            <w:webHidden/>
          </w:rPr>
        </w:r>
        <w:r w:rsidR="00311C90">
          <w:rPr>
            <w:webHidden/>
          </w:rPr>
          <w:fldChar w:fldCharType="separate"/>
        </w:r>
        <w:r w:rsidR="00A7472F">
          <w:rPr>
            <w:webHidden/>
          </w:rPr>
          <w:t>200</w:t>
        </w:r>
        <w:r w:rsidR="00311C90">
          <w:rPr>
            <w:webHidden/>
          </w:rPr>
          <w:fldChar w:fldCharType="end"/>
        </w:r>
      </w:hyperlink>
    </w:p>
    <w:p w14:paraId="08F9B3D3" w14:textId="433A3597" w:rsidR="00311C90" w:rsidRDefault="00D90541">
      <w:pPr>
        <w:pStyle w:val="Obsah4"/>
        <w:rPr>
          <w:rFonts w:asciiTheme="minorHAnsi" w:eastAsiaTheme="minorEastAsia" w:hAnsiTheme="minorHAnsi" w:cstheme="minorBidi"/>
        </w:rPr>
      </w:pPr>
      <w:hyperlink w:anchor="_Toc495649435" w:history="1">
        <w:r w:rsidR="00311C90" w:rsidRPr="007077FC">
          <w:rPr>
            <w:rStyle w:val="Hypertextovprepojenie"/>
          </w:rPr>
          <w:t>3.5.1.3 Územná oprávnenosť výdavku</w:t>
        </w:r>
        <w:r w:rsidR="00311C90">
          <w:rPr>
            <w:webHidden/>
          </w:rPr>
          <w:tab/>
        </w:r>
        <w:r w:rsidR="00311C90">
          <w:rPr>
            <w:webHidden/>
          </w:rPr>
          <w:fldChar w:fldCharType="begin"/>
        </w:r>
        <w:r w:rsidR="00311C90">
          <w:rPr>
            <w:webHidden/>
          </w:rPr>
          <w:instrText xml:space="preserve"> PAGEREF _Toc495649435 \h </w:instrText>
        </w:r>
        <w:r w:rsidR="00311C90">
          <w:rPr>
            <w:webHidden/>
          </w:rPr>
        </w:r>
        <w:r w:rsidR="00311C90">
          <w:rPr>
            <w:webHidden/>
          </w:rPr>
          <w:fldChar w:fldCharType="separate"/>
        </w:r>
        <w:r w:rsidR="00A7472F">
          <w:rPr>
            <w:webHidden/>
          </w:rPr>
          <w:t>201</w:t>
        </w:r>
        <w:r w:rsidR="00311C90">
          <w:rPr>
            <w:webHidden/>
          </w:rPr>
          <w:fldChar w:fldCharType="end"/>
        </w:r>
      </w:hyperlink>
    </w:p>
    <w:p w14:paraId="6E746C75" w14:textId="095FE8C4" w:rsidR="00311C90" w:rsidRDefault="00D90541">
      <w:pPr>
        <w:pStyle w:val="Obsah3"/>
        <w:rPr>
          <w:rFonts w:asciiTheme="minorHAnsi" w:eastAsiaTheme="minorEastAsia" w:hAnsiTheme="minorHAnsi" w:cstheme="minorBidi"/>
          <w:noProof/>
          <w:sz w:val="22"/>
          <w:szCs w:val="22"/>
        </w:rPr>
      </w:pPr>
      <w:hyperlink w:anchor="_Toc495649436" w:history="1">
        <w:r w:rsidR="00311C90" w:rsidRPr="007077FC">
          <w:rPr>
            <w:rStyle w:val="Hypertextovprepojenie"/>
            <w:noProof/>
          </w:rPr>
          <w:t>3.5.2 Neoprávnené výdavky</w:t>
        </w:r>
        <w:r w:rsidR="00311C90">
          <w:rPr>
            <w:noProof/>
            <w:webHidden/>
          </w:rPr>
          <w:tab/>
        </w:r>
        <w:r w:rsidR="00311C90">
          <w:rPr>
            <w:noProof/>
            <w:webHidden/>
          </w:rPr>
          <w:fldChar w:fldCharType="begin"/>
        </w:r>
        <w:r w:rsidR="00311C90">
          <w:rPr>
            <w:noProof/>
            <w:webHidden/>
          </w:rPr>
          <w:instrText xml:space="preserve"> PAGEREF _Toc495649436 \h </w:instrText>
        </w:r>
        <w:r w:rsidR="00311C90">
          <w:rPr>
            <w:noProof/>
            <w:webHidden/>
          </w:rPr>
        </w:r>
        <w:r w:rsidR="00311C90">
          <w:rPr>
            <w:noProof/>
            <w:webHidden/>
          </w:rPr>
          <w:fldChar w:fldCharType="separate"/>
        </w:r>
        <w:r w:rsidR="00A7472F">
          <w:rPr>
            <w:noProof/>
            <w:webHidden/>
          </w:rPr>
          <w:t>202</w:t>
        </w:r>
        <w:r w:rsidR="00311C90">
          <w:rPr>
            <w:noProof/>
            <w:webHidden/>
          </w:rPr>
          <w:fldChar w:fldCharType="end"/>
        </w:r>
      </w:hyperlink>
    </w:p>
    <w:p w14:paraId="0371B74C" w14:textId="7D54187D" w:rsidR="00311C90" w:rsidRDefault="00D90541">
      <w:pPr>
        <w:pStyle w:val="Obsah3"/>
        <w:rPr>
          <w:rFonts w:asciiTheme="minorHAnsi" w:eastAsiaTheme="minorEastAsia" w:hAnsiTheme="minorHAnsi" w:cstheme="minorBidi"/>
          <w:noProof/>
          <w:sz w:val="22"/>
          <w:szCs w:val="22"/>
        </w:rPr>
      </w:pPr>
      <w:hyperlink w:anchor="_Toc495649437" w:history="1">
        <w:r w:rsidR="00311C90" w:rsidRPr="007077FC">
          <w:rPr>
            <w:rStyle w:val="Hypertextovprepojenie"/>
            <w:noProof/>
          </w:rPr>
          <w:t>3.5.3 Krížové financovanie</w:t>
        </w:r>
        <w:r w:rsidR="00311C90">
          <w:rPr>
            <w:noProof/>
            <w:webHidden/>
          </w:rPr>
          <w:tab/>
        </w:r>
        <w:r w:rsidR="00311C90">
          <w:rPr>
            <w:noProof/>
            <w:webHidden/>
          </w:rPr>
          <w:fldChar w:fldCharType="begin"/>
        </w:r>
        <w:r w:rsidR="00311C90">
          <w:rPr>
            <w:noProof/>
            <w:webHidden/>
          </w:rPr>
          <w:instrText xml:space="preserve"> PAGEREF _Toc495649437 \h </w:instrText>
        </w:r>
        <w:r w:rsidR="00311C90">
          <w:rPr>
            <w:noProof/>
            <w:webHidden/>
          </w:rPr>
        </w:r>
        <w:r w:rsidR="00311C90">
          <w:rPr>
            <w:noProof/>
            <w:webHidden/>
          </w:rPr>
          <w:fldChar w:fldCharType="separate"/>
        </w:r>
        <w:r w:rsidR="00A7472F">
          <w:rPr>
            <w:noProof/>
            <w:webHidden/>
          </w:rPr>
          <w:t>203</w:t>
        </w:r>
        <w:r w:rsidR="00311C90">
          <w:rPr>
            <w:noProof/>
            <w:webHidden/>
          </w:rPr>
          <w:fldChar w:fldCharType="end"/>
        </w:r>
      </w:hyperlink>
    </w:p>
    <w:p w14:paraId="3C919C93" w14:textId="0EB390A7" w:rsidR="00311C90" w:rsidRDefault="00D90541">
      <w:pPr>
        <w:pStyle w:val="Obsah3"/>
        <w:rPr>
          <w:rFonts w:asciiTheme="minorHAnsi" w:eastAsiaTheme="minorEastAsia" w:hAnsiTheme="minorHAnsi" w:cstheme="minorBidi"/>
          <w:noProof/>
          <w:sz w:val="22"/>
          <w:szCs w:val="22"/>
        </w:rPr>
      </w:pPr>
      <w:hyperlink w:anchor="_Toc495649438" w:history="1">
        <w:r w:rsidR="00311C90" w:rsidRPr="007077FC">
          <w:rPr>
            <w:rStyle w:val="Hypertextovprepojenie"/>
            <w:noProof/>
          </w:rPr>
          <w:t>3.5.4 Projekty generujúce čisté príjmy</w:t>
        </w:r>
        <w:r w:rsidR="00311C90">
          <w:rPr>
            <w:noProof/>
            <w:webHidden/>
          </w:rPr>
          <w:tab/>
        </w:r>
        <w:r w:rsidR="00311C90">
          <w:rPr>
            <w:noProof/>
            <w:webHidden/>
          </w:rPr>
          <w:fldChar w:fldCharType="begin"/>
        </w:r>
        <w:r w:rsidR="00311C90">
          <w:rPr>
            <w:noProof/>
            <w:webHidden/>
          </w:rPr>
          <w:instrText xml:space="preserve"> PAGEREF _Toc495649438 \h </w:instrText>
        </w:r>
        <w:r w:rsidR="00311C90">
          <w:rPr>
            <w:noProof/>
            <w:webHidden/>
          </w:rPr>
        </w:r>
        <w:r w:rsidR="00311C90">
          <w:rPr>
            <w:noProof/>
            <w:webHidden/>
          </w:rPr>
          <w:fldChar w:fldCharType="separate"/>
        </w:r>
        <w:r w:rsidR="00A7472F">
          <w:rPr>
            <w:noProof/>
            <w:webHidden/>
          </w:rPr>
          <w:t>204</w:t>
        </w:r>
        <w:r w:rsidR="00311C90">
          <w:rPr>
            <w:noProof/>
            <w:webHidden/>
          </w:rPr>
          <w:fldChar w:fldCharType="end"/>
        </w:r>
      </w:hyperlink>
    </w:p>
    <w:p w14:paraId="3930958F" w14:textId="1E081B1B" w:rsidR="00311C90" w:rsidRDefault="00D90541">
      <w:pPr>
        <w:pStyle w:val="Obsah3"/>
        <w:rPr>
          <w:rFonts w:asciiTheme="minorHAnsi" w:eastAsiaTheme="minorEastAsia" w:hAnsiTheme="minorHAnsi" w:cstheme="minorBidi"/>
          <w:noProof/>
          <w:sz w:val="22"/>
          <w:szCs w:val="22"/>
        </w:rPr>
      </w:pPr>
      <w:hyperlink w:anchor="_Toc495649439" w:history="1">
        <w:r w:rsidR="00311C90" w:rsidRPr="007077FC">
          <w:rPr>
            <w:rStyle w:val="Hypertextovprepojenie"/>
            <w:noProof/>
          </w:rPr>
          <w:t>3.5.5 Projekty, ktoré vytvárajú čisté príjmy v priebehu ich implementácie a na ktoré sa ustanovenia čl. 61 ods. 1 až 6  všeobecného nariadenia nevzťahujú</w:t>
        </w:r>
        <w:r w:rsidR="00311C90">
          <w:rPr>
            <w:noProof/>
            <w:webHidden/>
          </w:rPr>
          <w:tab/>
        </w:r>
        <w:r w:rsidR="00311C90">
          <w:rPr>
            <w:noProof/>
            <w:webHidden/>
          </w:rPr>
          <w:fldChar w:fldCharType="begin"/>
        </w:r>
        <w:r w:rsidR="00311C90">
          <w:rPr>
            <w:noProof/>
            <w:webHidden/>
          </w:rPr>
          <w:instrText xml:space="preserve"> PAGEREF _Toc495649439 \h </w:instrText>
        </w:r>
        <w:r w:rsidR="00311C90">
          <w:rPr>
            <w:noProof/>
            <w:webHidden/>
          </w:rPr>
        </w:r>
        <w:r w:rsidR="00311C90">
          <w:rPr>
            <w:noProof/>
            <w:webHidden/>
          </w:rPr>
          <w:fldChar w:fldCharType="separate"/>
        </w:r>
        <w:r w:rsidR="00A7472F">
          <w:rPr>
            <w:noProof/>
            <w:webHidden/>
          </w:rPr>
          <w:t>206</w:t>
        </w:r>
        <w:r w:rsidR="00311C90">
          <w:rPr>
            <w:noProof/>
            <w:webHidden/>
          </w:rPr>
          <w:fldChar w:fldCharType="end"/>
        </w:r>
      </w:hyperlink>
    </w:p>
    <w:p w14:paraId="17E666D8" w14:textId="259C0C9C" w:rsidR="00311C90" w:rsidRDefault="00D90541">
      <w:pPr>
        <w:pStyle w:val="Obsah3"/>
        <w:rPr>
          <w:rFonts w:asciiTheme="minorHAnsi" w:eastAsiaTheme="minorEastAsia" w:hAnsiTheme="minorHAnsi" w:cstheme="minorBidi"/>
          <w:noProof/>
          <w:sz w:val="22"/>
          <w:szCs w:val="22"/>
        </w:rPr>
      </w:pPr>
      <w:hyperlink w:anchor="_Toc495649440" w:history="1">
        <w:r w:rsidR="00311C90" w:rsidRPr="007077FC">
          <w:rPr>
            <w:rStyle w:val="Hypertextovprepojenie"/>
            <w:noProof/>
          </w:rPr>
          <w:t>3.5.6 Programy EÚS</w:t>
        </w:r>
        <w:r w:rsidR="00311C90">
          <w:rPr>
            <w:noProof/>
            <w:webHidden/>
          </w:rPr>
          <w:tab/>
        </w:r>
        <w:r w:rsidR="00311C90">
          <w:rPr>
            <w:noProof/>
            <w:webHidden/>
          </w:rPr>
          <w:fldChar w:fldCharType="begin"/>
        </w:r>
        <w:r w:rsidR="00311C90">
          <w:rPr>
            <w:noProof/>
            <w:webHidden/>
          </w:rPr>
          <w:instrText xml:space="preserve"> PAGEREF _Toc495649440 \h </w:instrText>
        </w:r>
        <w:r w:rsidR="00311C90">
          <w:rPr>
            <w:noProof/>
            <w:webHidden/>
          </w:rPr>
        </w:r>
        <w:r w:rsidR="00311C90">
          <w:rPr>
            <w:noProof/>
            <w:webHidden/>
          </w:rPr>
          <w:fldChar w:fldCharType="separate"/>
        </w:r>
        <w:r w:rsidR="00A7472F">
          <w:rPr>
            <w:noProof/>
            <w:webHidden/>
          </w:rPr>
          <w:t>206</w:t>
        </w:r>
        <w:r w:rsidR="00311C90">
          <w:rPr>
            <w:noProof/>
            <w:webHidden/>
          </w:rPr>
          <w:fldChar w:fldCharType="end"/>
        </w:r>
      </w:hyperlink>
    </w:p>
    <w:p w14:paraId="7D04226A" w14:textId="070D9F5D" w:rsidR="00311C90" w:rsidRDefault="00D90541">
      <w:pPr>
        <w:pStyle w:val="Obsah3"/>
        <w:rPr>
          <w:rFonts w:asciiTheme="minorHAnsi" w:eastAsiaTheme="minorEastAsia" w:hAnsiTheme="minorHAnsi" w:cstheme="minorBidi"/>
          <w:noProof/>
          <w:sz w:val="22"/>
          <w:szCs w:val="22"/>
        </w:rPr>
      </w:pPr>
      <w:hyperlink w:anchor="_Toc495649441" w:history="1">
        <w:r w:rsidR="00311C90" w:rsidRPr="007077FC">
          <w:rPr>
            <w:rStyle w:val="Hypertextovprepojenie"/>
            <w:noProof/>
          </w:rPr>
          <w:t>3.5.7 Hotovostné platby</w:t>
        </w:r>
        <w:r w:rsidR="00311C90">
          <w:rPr>
            <w:noProof/>
            <w:webHidden/>
          </w:rPr>
          <w:tab/>
        </w:r>
        <w:r w:rsidR="00311C90">
          <w:rPr>
            <w:noProof/>
            <w:webHidden/>
          </w:rPr>
          <w:fldChar w:fldCharType="begin"/>
        </w:r>
        <w:r w:rsidR="00311C90">
          <w:rPr>
            <w:noProof/>
            <w:webHidden/>
          </w:rPr>
          <w:instrText xml:space="preserve"> PAGEREF _Toc495649441 \h </w:instrText>
        </w:r>
        <w:r w:rsidR="00311C90">
          <w:rPr>
            <w:noProof/>
            <w:webHidden/>
          </w:rPr>
        </w:r>
        <w:r w:rsidR="00311C90">
          <w:rPr>
            <w:noProof/>
            <w:webHidden/>
          </w:rPr>
          <w:fldChar w:fldCharType="separate"/>
        </w:r>
        <w:r w:rsidR="00A7472F">
          <w:rPr>
            <w:noProof/>
            <w:webHidden/>
          </w:rPr>
          <w:t>207</w:t>
        </w:r>
        <w:r w:rsidR="00311C90">
          <w:rPr>
            <w:noProof/>
            <w:webHidden/>
          </w:rPr>
          <w:fldChar w:fldCharType="end"/>
        </w:r>
      </w:hyperlink>
    </w:p>
    <w:p w14:paraId="22A93452" w14:textId="1F503DEE" w:rsidR="00311C90" w:rsidRDefault="00D90541">
      <w:pPr>
        <w:pStyle w:val="Obsah3"/>
        <w:rPr>
          <w:rFonts w:asciiTheme="minorHAnsi" w:eastAsiaTheme="minorEastAsia" w:hAnsiTheme="minorHAnsi" w:cstheme="minorBidi"/>
          <w:noProof/>
          <w:sz w:val="22"/>
          <w:szCs w:val="22"/>
        </w:rPr>
      </w:pPr>
      <w:hyperlink w:anchor="_Toc495649442" w:history="1">
        <w:r w:rsidR="00311C90" w:rsidRPr="007077FC">
          <w:rPr>
            <w:rStyle w:val="Hypertextovprepojenie"/>
            <w:noProof/>
          </w:rPr>
          <w:t>3.5.8 Zjednodušené vykazovanie výdavkov</w:t>
        </w:r>
        <w:r w:rsidR="00311C90">
          <w:rPr>
            <w:noProof/>
            <w:webHidden/>
          </w:rPr>
          <w:tab/>
        </w:r>
        <w:r w:rsidR="00311C90">
          <w:rPr>
            <w:noProof/>
            <w:webHidden/>
          </w:rPr>
          <w:fldChar w:fldCharType="begin"/>
        </w:r>
        <w:r w:rsidR="00311C90">
          <w:rPr>
            <w:noProof/>
            <w:webHidden/>
          </w:rPr>
          <w:instrText xml:space="preserve"> PAGEREF _Toc495649442 \h </w:instrText>
        </w:r>
        <w:r w:rsidR="00311C90">
          <w:rPr>
            <w:noProof/>
            <w:webHidden/>
          </w:rPr>
        </w:r>
        <w:r w:rsidR="00311C90">
          <w:rPr>
            <w:noProof/>
            <w:webHidden/>
          </w:rPr>
          <w:fldChar w:fldCharType="separate"/>
        </w:r>
        <w:r w:rsidR="00A7472F">
          <w:rPr>
            <w:noProof/>
            <w:webHidden/>
          </w:rPr>
          <w:t>207</w:t>
        </w:r>
        <w:r w:rsidR="00311C90">
          <w:rPr>
            <w:noProof/>
            <w:webHidden/>
          </w:rPr>
          <w:fldChar w:fldCharType="end"/>
        </w:r>
      </w:hyperlink>
    </w:p>
    <w:p w14:paraId="5048F259" w14:textId="02A753B0" w:rsidR="00311C90" w:rsidRDefault="00D90541">
      <w:pPr>
        <w:pStyle w:val="Obsah3"/>
        <w:rPr>
          <w:rFonts w:asciiTheme="minorHAnsi" w:eastAsiaTheme="minorEastAsia" w:hAnsiTheme="minorHAnsi" w:cstheme="minorBidi"/>
          <w:noProof/>
          <w:sz w:val="22"/>
          <w:szCs w:val="22"/>
        </w:rPr>
      </w:pPr>
      <w:hyperlink w:anchor="_Toc495649443" w:history="1">
        <w:r w:rsidR="00311C90" w:rsidRPr="007077FC">
          <w:rPr>
            <w:rStyle w:val="Hypertextovprepojenie"/>
            <w:noProof/>
          </w:rPr>
          <w:t>3.5.9 Dodatočné pravidlá zjednodušeného vykazovania výdavkov platné pre ESF a pre cieľ EÚS</w:t>
        </w:r>
        <w:r w:rsidR="00311C90">
          <w:rPr>
            <w:noProof/>
            <w:webHidden/>
          </w:rPr>
          <w:tab/>
        </w:r>
        <w:r w:rsidR="00311C90">
          <w:rPr>
            <w:noProof/>
            <w:webHidden/>
          </w:rPr>
          <w:fldChar w:fldCharType="begin"/>
        </w:r>
        <w:r w:rsidR="00311C90">
          <w:rPr>
            <w:noProof/>
            <w:webHidden/>
          </w:rPr>
          <w:instrText xml:space="preserve"> PAGEREF _Toc495649443 \h </w:instrText>
        </w:r>
        <w:r w:rsidR="00311C90">
          <w:rPr>
            <w:noProof/>
            <w:webHidden/>
          </w:rPr>
        </w:r>
        <w:r w:rsidR="00311C90">
          <w:rPr>
            <w:noProof/>
            <w:webHidden/>
          </w:rPr>
          <w:fldChar w:fldCharType="separate"/>
        </w:r>
        <w:r w:rsidR="00A7472F">
          <w:rPr>
            <w:noProof/>
            <w:webHidden/>
          </w:rPr>
          <w:t>210</w:t>
        </w:r>
        <w:r w:rsidR="00311C90">
          <w:rPr>
            <w:noProof/>
            <w:webHidden/>
          </w:rPr>
          <w:fldChar w:fldCharType="end"/>
        </w:r>
      </w:hyperlink>
    </w:p>
    <w:p w14:paraId="198621E4" w14:textId="4E749571" w:rsidR="00311C90" w:rsidRDefault="00D90541">
      <w:pPr>
        <w:pStyle w:val="Obsah3"/>
        <w:rPr>
          <w:rFonts w:asciiTheme="minorHAnsi" w:eastAsiaTheme="minorEastAsia" w:hAnsiTheme="minorHAnsi" w:cstheme="minorBidi"/>
          <w:noProof/>
          <w:sz w:val="22"/>
          <w:szCs w:val="22"/>
        </w:rPr>
      </w:pPr>
      <w:hyperlink w:anchor="_Toc495649444" w:history="1">
        <w:r w:rsidR="00311C90" w:rsidRPr="007077FC">
          <w:rPr>
            <w:rStyle w:val="Hypertextovprepojenie"/>
            <w:noProof/>
          </w:rPr>
          <w:t>3.5.10 Pravidlá oprávnenosti v súvislosti s preddavkovými platbami</w:t>
        </w:r>
        <w:r w:rsidR="00311C90">
          <w:rPr>
            <w:noProof/>
            <w:webHidden/>
          </w:rPr>
          <w:tab/>
        </w:r>
        <w:r w:rsidR="00311C90">
          <w:rPr>
            <w:noProof/>
            <w:webHidden/>
          </w:rPr>
          <w:fldChar w:fldCharType="begin"/>
        </w:r>
        <w:r w:rsidR="00311C90">
          <w:rPr>
            <w:noProof/>
            <w:webHidden/>
          </w:rPr>
          <w:instrText xml:space="preserve"> PAGEREF _Toc495649444 \h </w:instrText>
        </w:r>
        <w:r w:rsidR="00311C90">
          <w:rPr>
            <w:noProof/>
            <w:webHidden/>
          </w:rPr>
        </w:r>
        <w:r w:rsidR="00311C90">
          <w:rPr>
            <w:noProof/>
            <w:webHidden/>
          </w:rPr>
          <w:fldChar w:fldCharType="separate"/>
        </w:r>
        <w:r w:rsidR="00A7472F">
          <w:rPr>
            <w:noProof/>
            <w:webHidden/>
          </w:rPr>
          <w:t>210</w:t>
        </w:r>
        <w:r w:rsidR="00311C90">
          <w:rPr>
            <w:noProof/>
            <w:webHidden/>
          </w:rPr>
          <w:fldChar w:fldCharType="end"/>
        </w:r>
      </w:hyperlink>
    </w:p>
    <w:p w14:paraId="49CEEE56" w14:textId="38BEB00B" w:rsidR="00311C90" w:rsidRDefault="00D90541">
      <w:pPr>
        <w:pStyle w:val="Obsah2"/>
        <w:rPr>
          <w:rFonts w:asciiTheme="minorHAnsi" w:eastAsiaTheme="minorEastAsia" w:hAnsiTheme="minorHAnsi" w:cstheme="minorBidi"/>
          <w:noProof/>
          <w:sz w:val="22"/>
          <w:szCs w:val="22"/>
        </w:rPr>
      </w:pPr>
      <w:hyperlink w:anchor="_Toc495649445" w:history="1">
        <w:r w:rsidR="00311C90" w:rsidRPr="007077FC">
          <w:rPr>
            <w:rStyle w:val="Hypertextovprepojenie"/>
            <w:noProof/>
          </w:rPr>
          <w:t>3.6 Štátna pomoc</w:t>
        </w:r>
        <w:r w:rsidR="00311C90">
          <w:rPr>
            <w:noProof/>
            <w:webHidden/>
          </w:rPr>
          <w:tab/>
        </w:r>
        <w:r w:rsidR="00311C90">
          <w:rPr>
            <w:noProof/>
            <w:webHidden/>
          </w:rPr>
          <w:fldChar w:fldCharType="begin"/>
        </w:r>
        <w:r w:rsidR="00311C90">
          <w:rPr>
            <w:noProof/>
            <w:webHidden/>
          </w:rPr>
          <w:instrText xml:space="preserve"> PAGEREF _Toc495649445 \h </w:instrText>
        </w:r>
        <w:r w:rsidR="00311C90">
          <w:rPr>
            <w:noProof/>
            <w:webHidden/>
          </w:rPr>
        </w:r>
        <w:r w:rsidR="00311C90">
          <w:rPr>
            <w:noProof/>
            <w:webHidden/>
          </w:rPr>
          <w:fldChar w:fldCharType="separate"/>
        </w:r>
        <w:r w:rsidR="00A7472F">
          <w:rPr>
            <w:noProof/>
            <w:webHidden/>
          </w:rPr>
          <w:t>212</w:t>
        </w:r>
        <w:r w:rsidR="00311C90">
          <w:rPr>
            <w:noProof/>
            <w:webHidden/>
          </w:rPr>
          <w:fldChar w:fldCharType="end"/>
        </w:r>
      </w:hyperlink>
    </w:p>
    <w:p w14:paraId="229A3029" w14:textId="38FF386D" w:rsidR="00311C90" w:rsidRDefault="00D90541">
      <w:pPr>
        <w:pStyle w:val="Obsah3"/>
        <w:rPr>
          <w:rFonts w:asciiTheme="minorHAnsi" w:eastAsiaTheme="minorEastAsia" w:hAnsiTheme="minorHAnsi" w:cstheme="minorBidi"/>
          <w:noProof/>
          <w:sz w:val="22"/>
          <w:szCs w:val="22"/>
        </w:rPr>
      </w:pPr>
      <w:hyperlink w:anchor="_Toc495649446" w:history="1">
        <w:r w:rsidR="00311C90" w:rsidRPr="007077FC">
          <w:rPr>
            <w:rStyle w:val="Hypertextovprepojenie"/>
            <w:noProof/>
          </w:rPr>
          <w:t>3.6.1 Koncept štátnej pomoci</w:t>
        </w:r>
        <w:r w:rsidR="00311C90">
          <w:rPr>
            <w:noProof/>
            <w:webHidden/>
          </w:rPr>
          <w:tab/>
        </w:r>
        <w:r w:rsidR="00311C90">
          <w:rPr>
            <w:noProof/>
            <w:webHidden/>
          </w:rPr>
          <w:fldChar w:fldCharType="begin"/>
        </w:r>
        <w:r w:rsidR="00311C90">
          <w:rPr>
            <w:noProof/>
            <w:webHidden/>
          </w:rPr>
          <w:instrText xml:space="preserve"> PAGEREF _Toc495649446 \h </w:instrText>
        </w:r>
        <w:r w:rsidR="00311C90">
          <w:rPr>
            <w:noProof/>
            <w:webHidden/>
          </w:rPr>
        </w:r>
        <w:r w:rsidR="00311C90">
          <w:rPr>
            <w:noProof/>
            <w:webHidden/>
          </w:rPr>
          <w:fldChar w:fldCharType="separate"/>
        </w:r>
        <w:r w:rsidR="00A7472F">
          <w:rPr>
            <w:noProof/>
            <w:webHidden/>
          </w:rPr>
          <w:t>212</w:t>
        </w:r>
        <w:r w:rsidR="00311C90">
          <w:rPr>
            <w:noProof/>
            <w:webHidden/>
          </w:rPr>
          <w:fldChar w:fldCharType="end"/>
        </w:r>
      </w:hyperlink>
    </w:p>
    <w:p w14:paraId="10366359" w14:textId="3FCE3574" w:rsidR="00311C90" w:rsidRDefault="00D90541">
      <w:pPr>
        <w:pStyle w:val="Obsah3"/>
        <w:rPr>
          <w:rFonts w:asciiTheme="minorHAnsi" w:eastAsiaTheme="minorEastAsia" w:hAnsiTheme="minorHAnsi" w:cstheme="minorBidi"/>
          <w:noProof/>
          <w:sz w:val="22"/>
          <w:szCs w:val="22"/>
        </w:rPr>
      </w:pPr>
      <w:hyperlink w:anchor="_Toc495649447" w:history="1">
        <w:r w:rsidR="00311C90" w:rsidRPr="007077FC">
          <w:rPr>
            <w:rStyle w:val="Hypertextovprepojenie"/>
            <w:noProof/>
          </w:rPr>
          <w:t>3.6.2 Služby všeobecného hospodárskeho záujmu</w:t>
        </w:r>
        <w:r w:rsidR="00311C90">
          <w:rPr>
            <w:noProof/>
            <w:webHidden/>
          </w:rPr>
          <w:tab/>
        </w:r>
        <w:r w:rsidR="00311C90">
          <w:rPr>
            <w:noProof/>
            <w:webHidden/>
          </w:rPr>
          <w:fldChar w:fldCharType="begin"/>
        </w:r>
        <w:r w:rsidR="00311C90">
          <w:rPr>
            <w:noProof/>
            <w:webHidden/>
          </w:rPr>
          <w:instrText xml:space="preserve"> PAGEREF _Toc495649447 \h </w:instrText>
        </w:r>
        <w:r w:rsidR="00311C90">
          <w:rPr>
            <w:noProof/>
            <w:webHidden/>
          </w:rPr>
        </w:r>
        <w:r w:rsidR="00311C90">
          <w:rPr>
            <w:noProof/>
            <w:webHidden/>
          </w:rPr>
          <w:fldChar w:fldCharType="separate"/>
        </w:r>
        <w:r w:rsidR="00A7472F">
          <w:rPr>
            <w:noProof/>
            <w:webHidden/>
          </w:rPr>
          <w:t>217</w:t>
        </w:r>
        <w:r w:rsidR="00311C90">
          <w:rPr>
            <w:noProof/>
            <w:webHidden/>
          </w:rPr>
          <w:fldChar w:fldCharType="end"/>
        </w:r>
      </w:hyperlink>
    </w:p>
    <w:p w14:paraId="118E07A1" w14:textId="51ADE9BA" w:rsidR="00311C90" w:rsidRDefault="00D90541">
      <w:pPr>
        <w:pStyle w:val="Obsah3"/>
        <w:rPr>
          <w:rFonts w:asciiTheme="minorHAnsi" w:eastAsiaTheme="minorEastAsia" w:hAnsiTheme="minorHAnsi" w:cstheme="minorBidi"/>
          <w:noProof/>
          <w:sz w:val="22"/>
          <w:szCs w:val="22"/>
        </w:rPr>
      </w:pPr>
      <w:hyperlink w:anchor="_Toc495649448" w:history="1">
        <w:r w:rsidR="00311C90" w:rsidRPr="007077FC">
          <w:rPr>
            <w:rStyle w:val="Hypertextovprepojenie"/>
            <w:noProof/>
          </w:rPr>
          <w:t>3.6.3 Pomoc de minimis</w:t>
        </w:r>
        <w:r w:rsidR="00311C90">
          <w:rPr>
            <w:noProof/>
            <w:webHidden/>
          </w:rPr>
          <w:tab/>
        </w:r>
        <w:r w:rsidR="00311C90">
          <w:rPr>
            <w:noProof/>
            <w:webHidden/>
          </w:rPr>
          <w:fldChar w:fldCharType="begin"/>
        </w:r>
        <w:r w:rsidR="00311C90">
          <w:rPr>
            <w:noProof/>
            <w:webHidden/>
          </w:rPr>
          <w:instrText xml:space="preserve"> PAGEREF _Toc495649448 \h </w:instrText>
        </w:r>
        <w:r w:rsidR="00311C90">
          <w:rPr>
            <w:noProof/>
            <w:webHidden/>
          </w:rPr>
        </w:r>
        <w:r w:rsidR="00311C90">
          <w:rPr>
            <w:noProof/>
            <w:webHidden/>
          </w:rPr>
          <w:fldChar w:fldCharType="separate"/>
        </w:r>
        <w:r w:rsidR="00A7472F">
          <w:rPr>
            <w:noProof/>
            <w:webHidden/>
          </w:rPr>
          <w:t>219</w:t>
        </w:r>
        <w:r w:rsidR="00311C90">
          <w:rPr>
            <w:noProof/>
            <w:webHidden/>
          </w:rPr>
          <w:fldChar w:fldCharType="end"/>
        </w:r>
      </w:hyperlink>
    </w:p>
    <w:p w14:paraId="10C76B1B" w14:textId="63E5BD2F" w:rsidR="00311C90" w:rsidRDefault="00D90541">
      <w:pPr>
        <w:pStyle w:val="Obsah3"/>
        <w:rPr>
          <w:rFonts w:asciiTheme="minorHAnsi" w:eastAsiaTheme="minorEastAsia" w:hAnsiTheme="minorHAnsi" w:cstheme="minorBidi"/>
          <w:noProof/>
          <w:sz w:val="22"/>
          <w:szCs w:val="22"/>
        </w:rPr>
      </w:pPr>
      <w:hyperlink w:anchor="_Toc495649449" w:history="1">
        <w:r w:rsidR="00311C90" w:rsidRPr="007077FC">
          <w:rPr>
            <w:rStyle w:val="Hypertextovprepojenie"/>
            <w:noProof/>
          </w:rPr>
          <w:t>3.6.4 Test štátnej pomoci</w:t>
        </w:r>
        <w:r w:rsidR="00311C90">
          <w:rPr>
            <w:noProof/>
            <w:webHidden/>
          </w:rPr>
          <w:tab/>
        </w:r>
        <w:r w:rsidR="00311C90">
          <w:rPr>
            <w:noProof/>
            <w:webHidden/>
          </w:rPr>
          <w:fldChar w:fldCharType="begin"/>
        </w:r>
        <w:r w:rsidR="00311C90">
          <w:rPr>
            <w:noProof/>
            <w:webHidden/>
          </w:rPr>
          <w:instrText xml:space="preserve"> PAGEREF _Toc495649449 \h </w:instrText>
        </w:r>
        <w:r w:rsidR="00311C90">
          <w:rPr>
            <w:noProof/>
            <w:webHidden/>
          </w:rPr>
        </w:r>
        <w:r w:rsidR="00311C90">
          <w:rPr>
            <w:noProof/>
            <w:webHidden/>
          </w:rPr>
          <w:fldChar w:fldCharType="separate"/>
        </w:r>
        <w:r w:rsidR="00A7472F">
          <w:rPr>
            <w:noProof/>
            <w:webHidden/>
          </w:rPr>
          <w:t>219</w:t>
        </w:r>
        <w:r w:rsidR="00311C90">
          <w:rPr>
            <w:noProof/>
            <w:webHidden/>
          </w:rPr>
          <w:fldChar w:fldCharType="end"/>
        </w:r>
      </w:hyperlink>
    </w:p>
    <w:p w14:paraId="4D64A673" w14:textId="7542EF22" w:rsidR="00311C90" w:rsidRDefault="00D90541">
      <w:pPr>
        <w:pStyle w:val="Obsah2"/>
        <w:rPr>
          <w:rFonts w:asciiTheme="minorHAnsi" w:eastAsiaTheme="minorEastAsia" w:hAnsiTheme="minorHAnsi" w:cstheme="minorBidi"/>
          <w:noProof/>
          <w:sz w:val="22"/>
          <w:szCs w:val="22"/>
        </w:rPr>
      </w:pPr>
      <w:hyperlink w:anchor="_Toc495649450" w:history="1">
        <w:r w:rsidR="00311C90" w:rsidRPr="007077FC">
          <w:rPr>
            <w:rStyle w:val="Hypertextovprepojenie"/>
            <w:noProof/>
          </w:rPr>
          <w:t>3.7 Implementácia programov Európskej územnej spolupráce</w:t>
        </w:r>
        <w:r w:rsidR="00311C90">
          <w:rPr>
            <w:noProof/>
            <w:webHidden/>
          </w:rPr>
          <w:tab/>
        </w:r>
        <w:r w:rsidR="00311C90">
          <w:rPr>
            <w:noProof/>
            <w:webHidden/>
          </w:rPr>
          <w:fldChar w:fldCharType="begin"/>
        </w:r>
        <w:r w:rsidR="00311C90">
          <w:rPr>
            <w:noProof/>
            <w:webHidden/>
          </w:rPr>
          <w:instrText xml:space="preserve"> PAGEREF _Toc495649450 \h </w:instrText>
        </w:r>
        <w:r w:rsidR="00311C90">
          <w:rPr>
            <w:noProof/>
            <w:webHidden/>
          </w:rPr>
        </w:r>
        <w:r w:rsidR="00311C90">
          <w:rPr>
            <w:noProof/>
            <w:webHidden/>
          </w:rPr>
          <w:fldChar w:fldCharType="separate"/>
        </w:r>
        <w:r w:rsidR="00A7472F">
          <w:rPr>
            <w:noProof/>
            <w:webHidden/>
          </w:rPr>
          <w:t>222</w:t>
        </w:r>
        <w:r w:rsidR="00311C90">
          <w:rPr>
            <w:noProof/>
            <w:webHidden/>
          </w:rPr>
          <w:fldChar w:fldCharType="end"/>
        </w:r>
      </w:hyperlink>
    </w:p>
    <w:p w14:paraId="29527A19" w14:textId="6ACD14C8" w:rsidR="00311C90" w:rsidRDefault="00D90541">
      <w:pPr>
        <w:pStyle w:val="Obsah1"/>
        <w:rPr>
          <w:rFonts w:asciiTheme="minorHAnsi" w:eastAsiaTheme="minorEastAsia" w:hAnsiTheme="minorHAnsi" w:cstheme="minorBidi"/>
          <w:b w:val="0"/>
          <w:sz w:val="22"/>
          <w:szCs w:val="22"/>
        </w:rPr>
      </w:pPr>
      <w:hyperlink w:anchor="_Toc495649451" w:history="1">
        <w:r w:rsidR="00311C90" w:rsidRPr="007077FC">
          <w:rPr>
            <w:rStyle w:val="Hypertextovprepojenie"/>
          </w:rPr>
          <w:t>Časť 4 Monitorovanie a hodnotenie EŠIF</w:t>
        </w:r>
        <w:r w:rsidR="00311C90">
          <w:rPr>
            <w:webHidden/>
          </w:rPr>
          <w:tab/>
        </w:r>
        <w:r w:rsidR="00311C90">
          <w:rPr>
            <w:webHidden/>
          </w:rPr>
          <w:fldChar w:fldCharType="begin"/>
        </w:r>
        <w:r w:rsidR="00311C90">
          <w:rPr>
            <w:webHidden/>
          </w:rPr>
          <w:instrText xml:space="preserve"> PAGEREF _Toc495649451 \h </w:instrText>
        </w:r>
        <w:r w:rsidR="00311C90">
          <w:rPr>
            <w:webHidden/>
          </w:rPr>
        </w:r>
        <w:r w:rsidR="00311C90">
          <w:rPr>
            <w:webHidden/>
          </w:rPr>
          <w:fldChar w:fldCharType="separate"/>
        </w:r>
        <w:r w:rsidR="00A7472F">
          <w:rPr>
            <w:webHidden/>
          </w:rPr>
          <w:t>225</w:t>
        </w:r>
        <w:r w:rsidR="00311C90">
          <w:rPr>
            <w:webHidden/>
          </w:rPr>
          <w:fldChar w:fldCharType="end"/>
        </w:r>
      </w:hyperlink>
    </w:p>
    <w:p w14:paraId="5C22CF45" w14:textId="084042CF" w:rsidR="00311C90" w:rsidRDefault="00D90541">
      <w:pPr>
        <w:pStyle w:val="Obsah2"/>
        <w:rPr>
          <w:rFonts w:asciiTheme="minorHAnsi" w:eastAsiaTheme="minorEastAsia" w:hAnsiTheme="minorHAnsi" w:cstheme="minorBidi"/>
          <w:noProof/>
          <w:sz w:val="22"/>
          <w:szCs w:val="22"/>
        </w:rPr>
      </w:pPr>
      <w:hyperlink w:anchor="_Toc495649452" w:history="1">
        <w:r w:rsidR="00311C90" w:rsidRPr="007077FC">
          <w:rPr>
            <w:rStyle w:val="Hypertextovprepojenie"/>
            <w:noProof/>
          </w:rPr>
          <w:t>4.1 Monitorovanie EŠIF</w:t>
        </w:r>
        <w:r w:rsidR="00311C90">
          <w:rPr>
            <w:noProof/>
            <w:webHidden/>
          </w:rPr>
          <w:tab/>
        </w:r>
        <w:r w:rsidR="00311C90">
          <w:rPr>
            <w:noProof/>
            <w:webHidden/>
          </w:rPr>
          <w:fldChar w:fldCharType="begin"/>
        </w:r>
        <w:r w:rsidR="00311C90">
          <w:rPr>
            <w:noProof/>
            <w:webHidden/>
          </w:rPr>
          <w:instrText xml:space="preserve"> PAGEREF _Toc495649452 \h </w:instrText>
        </w:r>
        <w:r w:rsidR="00311C90">
          <w:rPr>
            <w:noProof/>
            <w:webHidden/>
          </w:rPr>
        </w:r>
        <w:r w:rsidR="00311C90">
          <w:rPr>
            <w:noProof/>
            <w:webHidden/>
          </w:rPr>
          <w:fldChar w:fldCharType="separate"/>
        </w:r>
        <w:r w:rsidR="00A7472F">
          <w:rPr>
            <w:noProof/>
            <w:webHidden/>
          </w:rPr>
          <w:t>225</w:t>
        </w:r>
        <w:r w:rsidR="00311C90">
          <w:rPr>
            <w:noProof/>
            <w:webHidden/>
          </w:rPr>
          <w:fldChar w:fldCharType="end"/>
        </w:r>
      </w:hyperlink>
    </w:p>
    <w:p w14:paraId="3E768121" w14:textId="21AE7B33" w:rsidR="00311C90" w:rsidRDefault="00D90541">
      <w:pPr>
        <w:pStyle w:val="Obsah3"/>
        <w:rPr>
          <w:rFonts w:asciiTheme="minorHAnsi" w:eastAsiaTheme="minorEastAsia" w:hAnsiTheme="minorHAnsi" w:cstheme="minorBidi"/>
          <w:noProof/>
          <w:sz w:val="22"/>
          <w:szCs w:val="22"/>
        </w:rPr>
      </w:pPr>
      <w:hyperlink w:anchor="_Toc495649453" w:history="1">
        <w:r w:rsidR="00311C90" w:rsidRPr="007077FC">
          <w:rPr>
            <w:rStyle w:val="Hypertextovprepojenie"/>
            <w:noProof/>
          </w:rPr>
          <w:t>4.1.1 Monitorovanie EŠIF</w:t>
        </w:r>
        <w:r w:rsidR="00311C90">
          <w:rPr>
            <w:noProof/>
            <w:webHidden/>
          </w:rPr>
          <w:tab/>
        </w:r>
        <w:r w:rsidR="00311C90">
          <w:rPr>
            <w:noProof/>
            <w:webHidden/>
          </w:rPr>
          <w:fldChar w:fldCharType="begin"/>
        </w:r>
        <w:r w:rsidR="00311C90">
          <w:rPr>
            <w:noProof/>
            <w:webHidden/>
          </w:rPr>
          <w:instrText xml:space="preserve"> PAGEREF _Toc495649453 \h </w:instrText>
        </w:r>
        <w:r w:rsidR="00311C90">
          <w:rPr>
            <w:noProof/>
            <w:webHidden/>
          </w:rPr>
        </w:r>
        <w:r w:rsidR="00311C90">
          <w:rPr>
            <w:noProof/>
            <w:webHidden/>
          </w:rPr>
          <w:fldChar w:fldCharType="separate"/>
        </w:r>
        <w:r w:rsidR="00A7472F">
          <w:rPr>
            <w:noProof/>
            <w:webHidden/>
          </w:rPr>
          <w:t>226</w:t>
        </w:r>
        <w:r w:rsidR="00311C90">
          <w:rPr>
            <w:noProof/>
            <w:webHidden/>
          </w:rPr>
          <w:fldChar w:fldCharType="end"/>
        </w:r>
      </w:hyperlink>
    </w:p>
    <w:p w14:paraId="63449A84" w14:textId="039E25DE" w:rsidR="00311C90" w:rsidRDefault="00D90541">
      <w:pPr>
        <w:pStyle w:val="Obsah4"/>
        <w:rPr>
          <w:rFonts w:asciiTheme="minorHAnsi" w:eastAsiaTheme="minorEastAsia" w:hAnsiTheme="minorHAnsi" w:cstheme="minorBidi"/>
        </w:rPr>
      </w:pPr>
      <w:hyperlink w:anchor="_Toc495649454" w:history="1">
        <w:r w:rsidR="00311C90" w:rsidRPr="007077FC">
          <w:rPr>
            <w:rStyle w:val="Hypertextovprepojenie"/>
          </w:rPr>
          <w:t xml:space="preserve">4.1.1.1 </w:t>
        </w:r>
        <w:r w:rsidR="00311C90" w:rsidRPr="007077FC">
          <w:rPr>
            <w:rStyle w:val="Hypertextovprepojenie"/>
            <w:lang w:eastAsia="en-US"/>
          </w:rPr>
          <w:t xml:space="preserve"> Informácia o stave implementácie EŠIF</w:t>
        </w:r>
        <w:r w:rsidR="00311C90">
          <w:rPr>
            <w:webHidden/>
          </w:rPr>
          <w:tab/>
        </w:r>
        <w:r w:rsidR="00311C90">
          <w:rPr>
            <w:webHidden/>
          </w:rPr>
          <w:fldChar w:fldCharType="begin"/>
        </w:r>
        <w:r w:rsidR="00311C90">
          <w:rPr>
            <w:webHidden/>
          </w:rPr>
          <w:instrText xml:space="preserve"> PAGEREF _Toc495649454 \h </w:instrText>
        </w:r>
        <w:r w:rsidR="00311C90">
          <w:rPr>
            <w:webHidden/>
          </w:rPr>
        </w:r>
        <w:r w:rsidR="00311C90">
          <w:rPr>
            <w:webHidden/>
          </w:rPr>
          <w:fldChar w:fldCharType="separate"/>
        </w:r>
        <w:r w:rsidR="00A7472F">
          <w:rPr>
            <w:webHidden/>
          </w:rPr>
          <w:t>226</w:t>
        </w:r>
        <w:r w:rsidR="00311C90">
          <w:rPr>
            <w:webHidden/>
          </w:rPr>
          <w:fldChar w:fldCharType="end"/>
        </w:r>
      </w:hyperlink>
    </w:p>
    <w:p w14:paraId="59E89763" w14:textId="02165688" w:rsidR="00311C90" w:rsidRDefault="00D90541">
      <w:pPr>
        <w:pStyle w:val="Obsah4"/>
        <w:rPr>
          <w:rFonts w:asciiTheme="minorHAnsi" w:eastAsiaTheme="minorEastAsia" w:hAnsiTheme="minorHAnsi" w:cstheme="minorBidi"/>
        </w:rPr>
      </w:pPr>
      <w:hyperlink w:anchor="_Toc495649455" w:history="1">
        <w:r w:rsidR="00311C90" w:rsidRPr="007077FC">
          <w:rPr>
            <w:rStyle w:val="Hypertextovprepojenie"/>
          </w:rPr>
          <w:t>4.1.1.2 Monitorovanie výkonnostného rámca</w:t>
        </w:r>
        <w:r w:rsidR="00311C90">
          <w:rPr>
            <w:webHidden/>
          </w:rPr>
          <w:tab/>
        </w:r>
        <w:r w:rsidR="00311C90">
          <w:rPr>
            <w:webHidden/>
          </w:rPr>
          <w:fldChar w:fldCharType="begin"/>
        </w:r>
        <w:r w:rsidR="00311C90">
          <w:rPr>
            <w:webHidden/>
          </w:rPr>
          <w:instrText xml:space="preserve"> PAGEREF _Toc495649455 \h </w:instrText>
        </w:r>
        <w:r w:rsidR="00311C90">
          <w:rPr>
            <w:webHidden/>
          </w:rPr>
        </w:r>
        <w:r w:rsidR="00311C90">
          <w:rPr>
            <w:webHidden/>
          </w:rPr>
          <w:fldChar w:fldCharType="separate"/>
        </w:r>
        <w:r w:rsidR="00A7472F">
          <w:rPr>
            <w:webHidden/>
          </w:rPr>
          <w:t>226</w:t>
        </w:r>
        <w:r w:rsidR="00311C90">
          <w:rPr>
            <w:webHidden/>
          </w:rPr>
          <w:fldChar w:fldCharType="end"/>
        </w:r>
      </w:hyperlink>
    </w:p>
    <w:p w14:paraId="4B049E36" w14:textId="2B6BCBAE" w:rsidR="00311C90" w:rsidRDefault="00D90541">
      <w:pPr>
        <w:pStyle w:val="Obsah4"/>
        <w:rPr>
          <w:rFonts w:asciiTheme="minorHAnsi" w:eastAsiaTheme="minorEastAsia" w:hAnsiTheme="minorHAnsi" w:cstheme="minorBidi"/>
        </w:rPr>
      </w:pPr>
      <w:hyperlink w:anchor="_Toc495649456" w:history="1">
        <w:r w:rsidR="00311C90" w:rsidRPr="007077FC">
          <w:rPr>
            <w:rStyle w:val="Hypertextovprepojenie"/>
          </w:rPr>
          <w:t>4.1.1.3 Správa o pokroku</w:t>
        </w:r>
        <w:r w:rsidR="00311C90">
          <w:rPr>
            <w:webHidden/>
          </w:rPr>
          <w:tab/>
        </w:r>
        <w:r w:rsidR="00311C90">
          <w:rPr>
            <w:webHidden/>
          </w:rPr>
          <w:fldChar w:fldCharType="begin"/>
        </w:r>
        <w:r w:rsidR="00311C90">
          <w:rPr>
            <w:webHidden/>
          </w:rPr>
          <w:instrText xml:space="preserve"> PAGEREF _Toc495649456 \h </w:instrText>
        </w:r>
        <w:r w:rsidR="00311C90">
          <w:rPr>
            <w:webHidden/>
          </w:rPr>
        </w:r>
        <w:r w:rsidR="00311C90">
          <w:rPr>
            <w:webHidden/>
          </w:rPr>
          <w:fldChar w:fldCharType="separate"/>
        </w:r>
        <w:r w:rsidR="00A7472F">
          <w:rPr>
            <w:webHidden/>
          </w:rPr>
          <w:t>227</w:t>
        </w:r>
        <w:r w:rsidR="00311C90">
          <w:rPr>
            <w:webHidden/>
          </w:rPr>
          <w:fldChar w:fldCharType="end"/>
        </w:r>
      </w:hyperlink>
    </w:p>
    <w:p w14:paraId="0B365104" w14:textId="60300869" w:rsidR="00311C90" w:rsidRDefault="00D90541">
      <w:pPr>
        <w:pStyle w:val="Obsah4"/>
        <w:rPr>
          <w:rFonts w:asciiTheme="minorHAnsi" w:eastAsiaTheme="minorEastAsia" w:hAnsiTheme="minorHAnsi" w:cstheme="minorBidi"/>
        </w:rPr>
      </w:pPr>
      <w:hyperlink w:anchor="_Toc495649457" w:history="1">
        <w:r w:rsidR="00311C90" w:rsidRPr="007077FC">
          <w:rPr>
            <w:rStyle w:val="Hypertextovprepojenie"/>
          </w:rPr>
          <w:t>4.1.1.4 Informácia o stave administratívnych kapacít subjektov zapojených do implementácie, riadenia a kontroly EŠIF</w:t>
        </w:r>
        <w:r w:rsidR="00311C90">
          <w:rPr>
            <w:webHidden/>
          </w:rPr>
          <w:tab/>
        </w:r>
        <w:r w:rsidR="00311C90">
          <w:rPr>
            <w:webHidden/>
          </w:rPr>
          <w:fldChar w:fldCharType="begin"/>
        </w:r>
        <w:r w:rsidR="00311C90">
          <w:rPr>
            <w:webHidden/>
          </w:rPr>
          <w:instrText xml:space="preserve"> PAGEREF _Toc495649457 \h </w:instrText>
        </w:r>
        <w:r w:rsidR="00311C90">
          <w:rPr>
            <w:webHidden/>
          </w:rPr>
        </w:r>
        <w:r w:rsidR="00311C90">
          <w:rPr>
            <w:webHidden/>
          </w:rPr>
          <w:fldChar w:fldCharType="separate"/>
        </w:r>
        <w:r w:rsidR="00A7472F">
          <w:rPr>
            <w:webHidden/>
          </w:rPr>
          <w:t>227</w:t>
        </w:r>
        <w:r w:rsidR="00311C90">
          <w:rPr>
            <w:webHidden/>
          </w:rPr>
          <w:fldChar w:fldCharType="end"/>
        </w:r>
      </w:hyperlink>
    </w:p>
    <w:p w14:paraId="3DCEC04C" w14:textId="2A0B5349" w:rsidR="00311C90" w:rsidRDefault="00D90541">
      <w:pPr>
        <w:pStyle w:val="Obsah4"/>
        <w:rPr>
          <w:rFonts w:asciiTheme="minorHAnsi" w:eastAsiaTheme="minorEastAsia" w:hAnsiTheme="minorHAnsi" w:cstheme="minorBidi"/>
        </w:rPr>
      </w:pPr>
      <w:hyperlink w:anchor="_Toc495649458" w:history="1">
        <w:r w:rsidR="00311C90" w:rsidRPr="007077FC">
          <w:rPr>
            <w:rStyle w:val="Hypertextovprepojenie"/>
          </w:rPr>
          <w:t>4.1.1.5 Monitorovanie plnenia akčných plánov na splnenie ex ante kondicionalít</w:t>
        </w:r>
        <w:r w:rsidR="00311C90">
          <w:rPr>
            <w:webHidden/>
          </w:rPr>
          <w:tab/>
        </w:r>
        <w:r w:rsidR="00311C90">
          <w:rPr>
            <w:webHidden/>
          </w:rPr>
          <w:fldChar w:fldCharType="begin"/>
        </w:r>
        <w:r w:rsidR="00311C90">
          <w:rPr>
            <w:webHidden/>
          </w:rPr>
          <w:instrText xml:space="preserve"> PAGEREF _Toc495649458 \h </w:instrText>
        </w:r>
        <w:r w:rsidR="00311C90">
          <w:rPr>
            <w:webHidden/>
          </w:rPr>
        </w:r>
        <w:r w:rsidR="00311C90">
          <w:rPr>
            <w:webHidden/>
          </w:rPr>
          <w:fldChar w:fldCharType="separate"/>
        </w:r>
        <w:r w:rsidR="00A7472F">
          <w:rPr>
            <w:webHidden/>
          </w:rPr>
          <w:t>227</w:t>
        </w:r>
        <w:r w:rsidR="00311C90">
          <w:rPr>
            <w:webHidden/>
          </w:rPr>
          <w:fldChar w:fldCharType="end"/>
        </w:r>
      </w:hyperlink>
    </w:p>
    <w:p w14:paraId="3FB40624" w14:textId="430394D7" w:rsidR="00311C90" w:rsidRDefault="00D90541">
      <w:pPr>
        <w:pStyle w:val="Obsah4"/>
        <w:rPr>
          <w:rFonts w:asciiTheme="minorHAnsi" w:eastAsiaTheme="minorEastAsia" w:hAnsiTheme="minorHAnsi" w:cstheme="minorBidi"/>
        </w:rPr>
      </w:pPr>
      <w:hyperlink w:anchor="_Toc495649459" w:history="1">
        <w:r w:rsidR="00311C90" w:rsidRPr="007077FC">
          <w:rPr>
            <w:rStyle w:val="Hypertextovprepojenie"/>
          </w:rPr>
          <w:t>4.1.1.6 Monitorovanie plnenia Záväzných plánov</w:t>
        </w:r>
        <w:r w:rsidR="00311C90">
          <w:rPr>
            <w:webHidden/>
          </w:rPr>
          <w:tab/>
        </w:r>
        <w:r w:rsidR="00311C90">
          <w:rPr>
            <w:webHidden/>
          </w:rPr>
          <w:fldChar w:fldCharType="begin"/>
        </w:r>
        <w:r w:rsidR="00311C90">
          <w:rPr>
            <w:webHidden/>
          </w:rPr>
          <w:instrText xml:space="preserve"> PAGEREF _Toc495649459 \h </w:instrText>
        </w:r>
        <w:r w:rsidR="00311C90">
          <w:rPr>
            <w:webHidden/>
          </w:rPr>
        </w:r>
        <w:r w:rsidR="00311C90">
          <w:rPr>
            <w:webHidden/>
          </w:rPr>
          <w:fldChar w:fldCharType="separate"/>
        </w:r>
        <w:r w:rsidR="00A7472F">
          <w:rPr>
            <w:webHidden/>
          </w:rPr>
          <w:t>228</w:t>
        </w:r>
        <w:r w:rsidR="00311C90">
          <w:rPr>
            <w:webHidden/>
          </w:rPr>
          <w:fldChar w:fldCharType="end"/>
        </w:r>
      </w:hyperlink>
    </w:p>
    <w:p w14:paraId="785C6772" w14:textId="5A0F6C3D" w:rsidR="00311C90" w:rsidRDefault="00D90541">
      <w:pPr>
        <w:pStyle w:val="Obsah3"/>
        <w:rPr>
          <w:rFonts w:asciiTheme="minorHAnsi" w:eastAsiaTheme="minorEastAsia" w:hAnsiTheme="minorHAnsi" w:cstheme="minorBidi"/>
          <w:noProof/>
          <w:sz w:val="22"/>
          <w:szCs w:val="22"/>
        </w:rPr>
      </w:pPr>
      <w:hyperlink w:anchor="_Toc495649460" w:history="1">
        <w:r w:rsidR="00311C90" w:rsidRPr="007077FC">
          <w:rPr>
            <w:rStyle w:val="Hypertextovprepojenie"/>
            <w:noProof/>
          </w:rPr>
          <w:t>4.1.2 Monitorovanie na úrovni operačného programu</w:t>
        </w:r>
        <w:r w:rsidR="00311C90">
          <w:rPr>
            <w:noProof/>
            <w:webHidden/>
          </w:rPr>
          <w:tab/>
        </w:r>
        <w:r w:rsidR="00311C90">
          <w:rPr>
            <w:noProof/>
            <w:webHidden/>
          </w:rPr>
          <w:fldChar w:fldCharType="begin"/>
        </w:r>
        <w:r w:rsidR="00311C90">
          <w:rPr>
            <w:noProof/>
            <w:webHidden/>
          </w:rPr>
          <w:instrText xml:space="preserve"> PAGEREF _Toc495649460 \h </w:instrText>
        </w:r>
        <w:r w:rsidR="00311C90">
          <w:rPr>
            <w:noProof/>
            <w:webHidden/>
          </w:rPr>
        </w:r>
        <w:r w:rsidR="00311C90">
          <w:rPr>
            <w:noProof/>
            <w:webHidden/>
          </w:rPr>
          <w:fldChar w:fldCharType="separate"/>
        </w:r>
        <w:r w:rsidR="00A7472F">
          <w:rPr>
            <w:noProof/>
            <w:webHidden/>
          </w:rPr>
          <w:t>228</w:t>
        </w:r>
        <w:r w:rsidR="00311C90">
          <w:rPr>
            <w:noProof/>
            <w:webHidden/>
          </w:rPr>
          <w:fldChar w:fldCharType="end"/>
        </w:r>
      </w:hyperlink>
    </w:p>
    <w:p w14:paraId="0BF96E7D" w14:textId="64E0494A" w:rsidR="00311C90" w:rsidRDefault="00D90541">
      <w:pPr>
        <w:pStyle w:val="Obsah4"/>
        <w:rPr>
          <w:rFonts w:asciiTheme="minorHAnsi" w:eastAsiaTheme="minorEastAsia" w:hAnsiTheme="minorHAnsi" w:cstheme="minorBidi"/>
        </w:rPr>
      </w:pPr>
      <w:hyperlink w:anchor="_Toc495649461" w:history="1">
        <w:r w:rsidR="00311C90" w:rsidRPr="007077FC">
          <w:rPr>
            <w:rStyle w:val="Hypertextovprepojenie"/>
          </w:rPr>
          <w:t>4.1.2.1 Výročné hodnotiace zasadnutie</w:t>
        </w:r>
        <w:r w:rsidR="00311C90">
          <w:rPr>
            <w:webHidden/>
          </w:rPr>
          <w:tab/>
        </w:r>
        <w:r w:rsidR="00311C90">
          <w:rPr>
            <w:webHidden/>
          </w:rPr>
          <w:fldChar w:fldCharType="begin"/>
        </w:r>
        <w:r w:rsidR="00311C90">
          <w:rPr>
            <w:webHidden/>
          </w:rPr>
          <w:instrText xml:space="preserve"> PAGEREF _Toc495649461 \h </w:instrText>
        </w:r>
        <w:r w:rsidR="00311C90">
          <w:rPr>
            <w:webHidden/>
          </w:rPr>
        </w:r>
        <w:r w:rsidR="00311C90">
          <w:rPr>
            <w:webHidden/>
          </w:rPr>
          <w:fldChar w:fldCharType="separate"/>
        </w:r>
        <w:r w:rsidR="00A7472F">
          <w:rPr>
            <w:webHidden/>
          </w:rPr>
          <w:t>228</w:t>
        </w:r>
        <w:r w:rsidR="00311C90">
          <w:rPr>
            <w:webHidden/>
          </w:rPr>
          <w:fldChar w:fldCharType="end"/>
        </w:r>
      </w:hyperlink>
    </w:p>
    <w:p w14:paraId="7B105E70" w14:textId="41E646F7" w:rsidR="00311C90" w:rsidRDefault="00D90541">
      <w:pPr>
        <w:pStyle w:val="Obsah4"/>
        <w:rPr>
          <w:rFonts w:asciiTheme="minorHAnsi" w:eastAsiaTheme="minorEastAsia" w:hAnsiTheme="minorHAnsi" w:cstheme="minorBidi"/>
        </w:rPr>
      </w:pPr>
      <w:hyperlink w:anchor="_Toc495649462" w:history="1">
        <w:r w:rsidR="00311C90" w:rsidRPr="007077FC">
          <w:rPr>
            <w:rStyle w:val="Hypertextovprepojenie"/>
          </w:rPr>
          <w:t>4.1.2.2 Výročná správa/záverečná správa o vykonávaní operačného programu</w:t>
        </w:r>
        <w:r w:rsidR="00311C90">
          <w:rPr>
            <w:webHidden/>
          </w:rPr>
          <w:tab/>
        </w:r>
        <w:r w:rsidR="00311C90">
          <w:rPr>
            <w:webHidden/>
          </w:rPr>
          <w:fldChar w:fldCharType="begin"/>
        </w:r>
        <w:r w:rsidR="00311C90">
          <w:rPr>
            <w:webHidden/>
          </w:rPr>
          <w:instrText xml:space="preserve"> PAGEREF _Toc495649462 \h </w:instrText>
        </w:r>
        <w:r w:rsidR="00311C90">
          <w:rPr>
            <w:webHidden/>
          </w:rPr>
        </w:r>
        <w:r w:rsidR="00311C90">
          <w:rPr>
            <w:webHidden/>
          </w:rPr>
          <w:fldChar w:fldCharType="separate"/>
        </w:r>
        <w:r w:rsidR="00A7472F">
          <w:rPr>
            <w:webHidden/>
          </w:rPr>
          <w:t>228</w:t>
        </w:r>
        <w:r w:rsidR="00311C90">
          <w:rPr>
            <w:webHidden/>
          </w:rPr>
          <w:fldChar w:fldCharType="end"/>
        </w:r>
      </w:hyperlink>
    </w:p>
    <w:p w14:paraId="3E03F542" w14:textId="5BFEF7EB" w:rsidR="00311C90" w:rsidRDefault="00D90541">
      <w:pPr>
        <w:pStyle w:val="Obsah4"/>
        <w:rPr>
          <w:rFonts w:asciiTheme="minorHAnsi" w:eastAsiaTheme="minorEastAsia" w:hAnsiTheme="minorHAnsi" w:cstheme="minorBidi"/>
        </w:rPr>
      </w:pPr>
      <w:hyperlink w:anchor="_Toc495649463" w:history="1">
        <w:r w:rsidR="00311C90" w:rsidRPr="007077FC">
          <w:rPr>
            <w:rStyle w:val="Hypertextovprepojenie"/>
          </w:rPr>
          <w:t>4.1.2.3 Monitorovanie výkonnostného rámca  na úrovni operačných programov</w:t>
        </w:r>
        <w:r w:rsidR="00311C90">
          <w:rPr>
            <w:webHidden/>
          </w:rPr>
          <w:tab/>
        </w:r>
        <w:r w:rsidR="00311C90">
          <w:rPr>
            <w:webHidden/>
          </w:rPr>
          <w:fldChar w:fldCharType="begin"/>
        </w:r>
        <w:r w:rsidR="00311C90">
          <w:rPr>
            <w:webHidden/>
          </w:rPr>
          <w:instrText xml:space="preserve"> PAGEREF _Toc495649463 \h </w:instrText>
        </w:r>
        <w:r w:rsidR="00311C90">
          <w:rPr>
            <w:webHidden/>
          </w:rPr>
        </w:r>
        <w:r w:rsidR="00311C90">
          <w:rPr>
            <w:webHidden/>
          </w:rPr>
          <w:fldChar w:fldCharType="separate"/>
        </w:r>
        <w:r w:rsidR="00A7472F">
          <w:rPr>
            <w:webHidden/>
          </w:rPr>
          <w:t>231</w:t>
        </w:r>
        <w:r w:rsidR="00311C90">
          <w:rPr>
            <w:webHidden/>
          </w:rPr>
          <w:fldChar w:fldCharType="end"/>
        </w:r>
      </w:hyperlink>
    </w:p>
    <w:p w14:paraId="38E4C782" w14:textId="5F70BBB8" w:rsidR="00311C90" w:rsidRDefault="00D90541">
      <w:pPr>
        <w:pStyle w:val="Obsah4"/>
        <w:rPr>
          <w:rFonts w:asciiTheme="minorHAnsi" w:eastAsiaTheme="minorEastAsia" w:hAnsiTheme="minorHAnsi" w:cstheme="minorBidi"/>
        </w:rPr>
      </w:pPr>
      <w:hyperlink w:anchor="_Toc495649464" w:history="1">
        <w:r w:rsidR="00311C90" w:rsidRPr="007077FC">
          <w:rPr>
            <w:rStyle w:val="Hypertextovprepojenie"/>
          </w:rPr>
          <w:t>4.1.2.4 Záväzný plán operačného programu</w:t>
        </w:r>
        <w:r w:rsidR="00311C90">
          <w:rPr>
            <w:webHidden/>
          </w:rPr>
          <w:tab/>
        </w:r>
        <w:r w:rsidR="00311C90">
          <w:rPr>
            <w:webHidden/>
          </w:rPr>
          <w:fldChar w:fldCharType="begin"/>
        </w:r>
        <w:r w:rsidR="00311C90">
          <w:rPr>
            <w:webHidden/>
          </w:rPr>
          <w:instrText xml:space="preserve"> PAGEREF _Toc495649464 \h </w:instrText>
        </w:r>
        <w:r w:rsidR="00311C90">
          <w:rPr>
            <w:webHidden/>
          </w:rPr>
        </w:r>
        <w:r w:rsidR="00311C90">
          <w:rPr>
            <w:webHidden/>
          </w:rPr>
          <w:fldChar w:fldCharType="separate"/>
        </w:r>
        <w:r w:rsidR="00A7472F">
          <w:rPr>
            <w:webHidden/>
          </w:rPr>
          <w:t>231</w:t>
        </w:r>
        <w:r w:rsidR="00311C90">
          <w:rPr>
            <w:webHidden/>
          </w:rPr>
          <w:fldChar w:fldCharType="end"/>
        </w:r>
      </w:hyperlink>
    </w:p>
    <w:p w14:paraId="3BC69A99" w14:textId="27A997A9" w:rsidR="00311C90" w:rsidRDefault="00D90541">
      <w:pPr>
        <w:pStyle w:val="Obsah4"/>
        <w:rPr>
          <w:rFonts w:asciiTheme="minorHAnsi" w:eastAsiaTheme="minorEastAsia" w:hAnsiTheme="minorHAnsi" w:cstheme="minorBidi"/>
        </w:rPr>
      </w:pPr>
      <w:hyperlink w:anchor="_Toc495649465" w:history="1">
        <w:r w:rsidR="00311C90" w:rsidRPr="007077FC">
          <w:rPr>
            <w:rStyle w:val="Hypertextovprepojenie"/>
          </w:rPr>
          <w:t>4.1.2.5 Informácia o realizovaní operačného programu</w:t>
        </w:r>
        <w:r w:rsidR="00311C90">
          <w:rPr>
            <w:webHidden/>
          </w:rPr>
          <w:tab/>
        </w:r>
        <w:r w:rsidR="00311C90">
          <w:rPr>
            <w:webHidden/>
          </w:rPr>
          <w:fldChar w:fldCharType="begin"/>
        </w:r>
        <w:r w:rsidR="00311C90">
          <w:rPr>
            <w:webHidden/>
          </w:rPr>
          <w:instrText xml:space="preserve"> PAGEREF _Toc495649465 \h </w:instrText>
        </w:r>
        <w:r w:rsidR="00311C90">
          <w:rPr>
            <w:webHidden/>
          </w:rPr>
        </w:r>
        <w:r w:rsidR="00311C90">
          <w:rPr>
            <w:webHidden/>
          </w:rPr>
          <w:fldChar w:fldCharType="separate"/>
        </w:r>
        <w:r w:rsidR="00A7472F">
          <w:rPr>
            <w:webHidden/>
          </w:rPr>
          <w:t>231</w:t>
        </w:r>
        <w:r w:rsidR="00311C90">
          <w:rPr>
            <w:webHidden/>
          </w:rPr>
          <w:fldChar w:fldCharType="end"/>
        </w:r>
      </w:hyperlink>
    </w:p>
    <w:p w14:paraId="4D25A74A" w14:textId="23591914" w:rsidR="00311C90" w:rsidRDefault="00D90541">
      <w:pPr>
        <w:pStyle w:val="Obsah4"/>
        <w:rPr>
          <w:rFonts w:asciiTheme="minorHAnsi" w:eastAsiaTheme="minorEastAsia" w:hAnsiTheme="minorHAnsi" w:cstheme="minorBidi"/>
        </w:rPr>
      </w:pPr>
      <w:hyperlink w:anchor="_Toc495649466" w:history="1">
        <w:r w:rsidR="00311C90" w:rsidRPr="007077FC">
          <w:rPr>
            <w:rStyle w:val="Hypertextovprepojenie"/>
          </w:rPr>
          <w:t>4.1.2.6 Kalendár podujatí</w:t>
        </w:r>
        <w:r w:rsidR="00311C90">
          <w:rPr>
            <w:webHidden/>
          </w:rPr>
          <w:tab/>
        </w:r>
        <w:r w:rsidR="00311C90">
          <w:rPr>
            <w:webHidden/>
          </w:rPr>
          <w:fldChar w:fldCharType="begin"/>
        </w:r>
        <w:r w:rsidR="00311C90">
          <w:rPr>
            <w:webHidden/>
          </w:rPr>
          <w:instrText xml:space="preserve"> PAGEREF _Toc495649466 \h </w:instrText>
        </w:r>
        <w:r w:rsidR="00311C90">
          <w:rPr>
            <w:webHidden/>
          </w:rPr>
        </w:r>
        <w:r w:rsidR="00311C90">
          <w:rPr>
            <w:webHidden/>
          </w:rPr>
          <w:fldChar w:fldCharType="separate"/>
        </w:r>
        <w:r w:rsidR="00A7472F">
          <w:rPr>
            <w:webHidden/>
          </w:rPr>
          <w:t>232</w:t>
        </w:r>
        <w:r w:rsidR="00311C90">
          <w:rPr>
            <w:webHidden/>
          </w:rPr>
          <w:fldChar w:fldCharType="end"/>
        </w:r>
      </w:hyperlink>
    </w:p>
    <w:p w14:paraId="388F9534" w14:textId="76EB9093" w:rsidR="00311C90" w:rsidRDefault="00D90541">
      <w:pPr>
        <w:pStyle w:val="Obsah3"/>
        <w:rPr>
          <w:rFonts w:asciiTheme="minorHAnsi" w:eastAsiaTheme="minorEastAsia" w:hAnsiTheme="minorHAnsi" w:cstheme="minorBidi"/>
          <w:noProof/>
          <w:sz w:val="22"/>
          <w:szCs w:val="22"/>
        </w:rPr>
      </w:pPr>
      <w:hyperlink w:anchor="_Toc495649467" w:history="1">
        <w:r w:rsidR="00311C90" w:rsidRPr="007077FC">
          <w:rPr>
            <w:rStyle w:val="Hypertextovprepojenie"/>
            <w:noProof/>
          </w:rPr>
          <w:t>4.1.3  Monitorovanie programov cieľa Európska územná spolupráca</w:t>
        </w:r>
        <w:r w:rsidR="00311C90">
          <w:rPr>
            <w:noProof/>
            <w:webHidden/>
          </w:rPr>
          <w:tab/>
        </w:r>
        <w:r w:rsidR="00311C90">
          <w:rPr>
            <w:noProof/>
            <w:webHidden/>
          </w:rPr>
          <w:fldChar w:fldCharType="begin"/>
        </w:r>
        <w:r w:rsidR="00311C90">
          <w:rPr>
            <w:noProof/>
            <w:webHidden/>
          </w:rPr>
          <w:instrText xml:space="preserve"> PAGEREF _Toc495649467 \h </w:instrText>
        </w:r>
        <w:r w:rsidR="00311C90">
          <w:rPr>
            <w:noProof/>
            <w:webHidden/>
          </w:rPr>
        </w:r>
        <w:r w:rsidR="00311C90">
          <w:rPr>
            <w:noProof/>
            <w:webHidden/>
          </w:rPr>
          <w:fldChar w:fldCharType="separate"/>
        </w:r>
        <w:r w:rsidR="00A7472F">
          <w:rPr>
            <w:noProof/>
            <w:webHidden/>
          </w:rPr>
          <w:t>232</w:t>
        </w:r>
        <w:r w:rsidR="00311C90">
          <w:rPr>
            <w:noProof/>
            <w:webHidden/>
          </w:rPr>
          <w:fldChar w:fldCharType="end"/>
        </w:r>
      </w:hyperlink>
    </w:p>
    <w:p w14:paraId="775BC521" w14:textId="63147C81" w:rsidR="00311C90" w:rsidRDefault="00D90541">
      <w:pPr>
        <w:pStyle w:val="Obsah4"/>
        <w:rPr>
          <w:rFonts w:asciiTheme="minorHAnsi" w:eastAsiaTheme="minorEastAsia" w:hAnsiTheme="minorHAnsi" w:cstheme="minorBidi"/>
        </w:rPr>
      </w:pPr>
      <w:hyperlink w:anchor="_Toc495649468" w:history="1">
        <w:r w:rsidR="00311C90" w:rsidRPr="007077FC">
          <w:rPr>
            <w:rStyle w:val="Hypertextovprepojenie"/>
          </w:rPr>
          <w:t>4.1.3.1 Monitorovanie programov cieľa Európska územná spolupráca na úrovni partnerskej dohody</w:t>
        </w:r>
        <w:r w:rsidR="00311C90">
          <w:rPr>
            <w:webHidden/>
          </w:rPr>
          <w:tab/>
        </w:r>
        <w:r w:rsidR="00311C90">
          <w:rPr>
            <w:webHidden/>
          </w:rPr>
          <w:fldChar w:fldCharType="begin"/>
        </w:r>
        <w:r w:rsidR="00311C90">
          <w:rPr>
            <w:webHidden/>
          </w:rPr>
          <w:instrText xml:space="preserve"> PAGEREF _Toc495649468 \h </w:instrText>
        </w:r>
        <w:r w:rsidR="00311C90">
          <w:rPr>
            <w:webHidden/>
          </w:rPr>
        </w:r>
        <w:r w:rsidR="00311C90">
          <w:rPr>
            <w:webHidden/>
          </w:rPr>
          <w:fldChar w:fldCharType="separate"/>
        </w:r>
        <w:r w:rsidR="00A7472F">
          <w:rPr>
            <w:webHidden/>
          </w:rPr>
          <w:t>232</w:t>
        </w:r>
        <w:r w:rsidR="00311C90">
          <w:rPr>
            <w:webHidden/>
          </w:rPr>
          <w:fldChar w:fldCharType="end"/>
        </w:r>
      </w:hyperlink>
    </w:p>
    <w:p w14:paraId="16A669A5" w14:textId="2CF46A0E" w:rsidR="00311C90" w:rsidRDefault="00D90541">
      <w:pPr>
        <w:pStyle w:val="Obsah4"/>
        <w:rPr>
          <w:rFonts w:asciiTheme="minorHAnsi" w:eastAsiaTheme="minorEastAsia" w:hAnsiTheme="minorHAnsi" w:cstheme="minorBidi"/>
        </w:rPr>
      </w:pPr>
      <w:hyperlink w:anchor="_Toc495649469" w:history="1">
        <w:r w:rsidR="00311C90" w:rsidRPr="007077FC">
          <w:rPr>
            <w:rStyle w:val="Hypertextovprepojenie"/>
          </w:rPr>
          <w:t>4.1.3.2 Monitorovanie programov Európska územná spolupráca na úrovni programu</w:t>
        </w:r>
        <w:r w:rsidR="00311C90">
          <w:rPr>
            <w:webHidden/>
          </w:rPr>
          <w:tab/>
        </w:r>
        <w:r w:rsidR="00311C90">
          <w:rPr>
            <w:webHidden/>
          </w:rPr>
          <w:fldChar w:fldCharType="begin"/>
        </w:r>
        <w:r w:rsidR="00311C90">
          <w:rPr>
            <w:webHidden/>
          </w:rPr>
          <w:instrText xml:space="preserve"> PAGEREF _Toc495649469 \h </w:instrText>
        </w:r>
        <w:r w:rsidR="00311C90">
          <w:rPr>
            <w:webHidden/>
          </w:rPr>
        </w:r>
        <w:r w:rsidR="00311C90">
          <w:rPr>
            <w:webHidden/>
          </w:rPr>
          <w:fldChar w:fldCharType="separate"/>
        </w:r>
        <w:r w:rsidR="00A7472F">
          <w:rPr>
            <w:webHidden/>
          </w:rPr>
          <w:t>232</w:t>
        </w:r>
        <w:r w:rsidR="00311C90">
          <w:rPr>
            <w:webHidden/>
          </w:rPr>
          <w:fldChar w:fldCharType="end"/>
        </w:r>
      </w:hyperlink>
    </w:p>
    <w:p w14:paraId="092F8CBA" w14:textId="77160EEB" w:rsidR="00311C90" w:rsidRDefault="00D90541">
      <w:pPr>
        <w:pStyle w:val="Obsah2"/>
        <w:rPr>
          <w:rFonts w:asciiTheme="minorHAnsi" w:eastAsiaTheme="minorEastAsia" w:hAnsiTheme="minorHAnsi" w:cstheme="minorBidi"/>
          <w:noProof/>
          <w:sz w:val="22"/>
          <w:szCs w:val="22"/>
        </w:rPr>
      </w:pPr>
      <w:hyperlink w:anchor="_Toc495649470" w:history="1">
        <w:r w:rsidR="00311C90" w:rsidRPr="007077FC">
          <w:rPr>
            <w:rStyle w:val="Hypertextovprepojenie"/>
            <w:noProof/>
          </w:rPr>
          <w:t>4.2 Hodnotenie EŠIF, OP</w:t>
        </w:r>
        <w:r w:rsidR="00311C90">
          <w:rPr>
            <w:noProof/>
            <w:webHidden/>
          </w:rPr>
          <w:tab/>
        </w:r>
        <w:r w:rsidR="00311C90">
          <w:rPr>
            <w:noProof/>
            <w:webHidden/>
          </w:rPr>
          <w:fldChar w:fldCharType="begin"/>
        </w:r>
        <w:r w:rsidR="00311C90">
          <w:rPr>
            <w:noProof/>
            <w:webHidden/>
          </w:rPr>
          <w:instrText xml:space="preserve"> PAGEREF _Toc495649470 \h </w:instrText>
        </w:r>
        <w:r w:rsidR="00311C90">
          <w:rPr>
            <w:noProof/>
            <w:webHidden/>
          </w:rPr>
        </w:r>
        <w:r w:rsidR="00311C90">
          <w:rPr>
            <w:noProof/>
            <w:webHidden/>
          </w:rPr>
          <w:fldChar w:fldCharType="separate"/>
        </w:r>
        <w:r w:rsidR="00A7472F">
          <w:rPr>
            <w:noProof/>
            <w:webHidden/>
          </w:rPr>
          <w:t>232</w:t>
        </w:r>
        <w:r w:rsidR="00311C90">
          <w:rPr>
            <w:noProof/>
            <w:webHidden/>
          </w:rPr>
          <w:fldChar w:fldCharType="end"/>
        </w:r>
      </w:hyperlink>
    </w:p>
    <w:p w14:paraId="00366E60" w14:textId="5F43E90A" w:rsidR="00311C90" w:rsidRDefault="00D90541">
      <w:pPr>
        <w:pStyle w:val="Obsah3"/>
        <w:rPr>
          <w:rFonts w:asciiTheme="minorHAnsi" w:eastAsiaTheme="minorEastAsia" w:hAnsiTheme="minorHAnsi" w:cstheme="minorBidi"/>
          <w:noProof/>
          <w:sz w:val="22"/>
          <w:szCs w:val="22"/>
        </w:rPr>
      </w:pPr>
      <w:hyperlink w:anchor="_Toc495649471" w:history="1">
        <w:r w:rsidR="00311C90" w:rsidRPr="007077FC">
          <w:rPr>
            <w:rStyle w:val="Hypertextovprepojenie"/>
            <w:noProof/>
          </w:rPr>
          <w:t>4.2.1 Všeobecná časť</w:t>
        </w:r>
        <w:r w:rsidR="00311C90">
          <w:rPr>
            <w:noProof/>
            <w:webHidden/>
          </w:rPr>
          <w:tab/>
        </w:r>
        <w:r w:rsidR="00311C90">
          <w:rPr>
            <w:noProof/>
            <w:webHidden/>
          </w:rPr>
          <w:fldChar w:fldCharType="begin"/>
        </w:r>
        <w:r w:rsidR="00311C90">
          <w:rPr>
            <w:noProof/>
            <w:webHidden/>
          </w:rPr>
          <w:instrText xml:space="preserve"> PAGEREF _Toc495649471 \h </w:instrText>
        </w:r>
        <w:r w:rsidR="00311C90">
          <w:rPr>
            <w:noProof/>
            <w:webHidden/>
          </w:rPr>
        </w:r>
        <w:r w:rsidR="00311C90">
          <w:rPr>
            <w:noProof/>
            <w:webHidden/>
          </w:rPr>
          <w:fldChar w:fldCharType="separate"/>
        </w:r>
        <w:r w:rsidR="00A7472F">
          <w:rPr>
            <w:noProof/>
            <w:webHidden/>
          </w:rPr>
          <w:t>233</w:t>
        </w:r>
        <w:r w:rsidR="00311C90">
          <w:rPr>
            <w:noProof/>
            <w:webHidden/>
          </w:rPr>
          <w:fldChar w:fldCharType="end"/>
        </w:r>
      </w:hyperlink>
    </w:p>
    <w:p w14:paraId="43351232" w14:textId="5B0CA9A6" w:rsidR="00311C90" w:rsidRDefault="00D90541">
      <w:pPr>
        <w:pStyle w:val="Obsah3"/>
        <w:rPr>
          <w:rFonts w:asciiTheme="minorHAnsi" w:eastAsiaTheme="minorEastAsia" w:hAnsiTheme="minorHAnsi" w:cstheme="minorBidi"/>
          <w:noProof/>
          <w:sz w:val="22"/>
          <w:szCs w:val="22"/>
        </w:rPr>
      </w:pPr>
      <w:hyperlink w:anchor="_Toc495649472" w:history="1">
        <w:r w:rsidR="00311C90" w:rsidRPr="007077FC">
          <w:rPr>
            <w:rStyle w:val="Hypertextovprepojenie"/>
            <w:noProof/>
          </w:rPr>
          <w:t>4.2.2 Úlohy CKO v oblasti hodnotenia</w:t>
        </w:r>
        <w:r w:rsidR="00311C90">
          <w:rPr>
            <w:noProof/>
            <w:webHidden/>
          </w:rPr>
          <w:tab/>
        </w:r>
        <w:r w:rsidR="00311C90">
          <w:rPr>
            <w:noProof/>
            <w:webHidden/>
          </w:rPr>
          <w:fldChar w:fldCharType="begin"/>
        </w:r>
        <w:r w:rsidR="00311C90">
          <w:rPr>
            <w:noProof/>
            <w:webHidden/>
          </w:rPr>
          <w:instrText xml:space="preserve"> PAGEREF _Toc495649472 \h </w:instrText>
        </w:r>
        <w:r w:rsidR="00311C90">
          <w:rPr>
            <w:noProof/>
            <w:webHidden/>
          </w:rPr>
        </w:r>
        <w:r w:rsidR="00311C90">
          <w:rPr>
            <w:noProof/>
            <w:webHidden/>
          </w:rPr>
          <w:fldChar w:fldCharType="separate"/>
        </w:r>
        <w:r w:rsidR="00A7472F">
          <w:rPr>
            <w:noProof/>
            <w:webHidden/>
          </w:rPr>
          <w:t>236</w:t>
        </w:r>
        <w:r w:rsidR="00311C90">
          <w:rPr>
            <w:noProof/>
            <w:webHidden/>
          </w:rPr>
          <w:fldChar w:fldCharType="end"/>
        </w:r>
      </w:hyperlink>
    </w:p>
    <w:p w14:paraId="6607E047" w14:textId="7EDEF730" w:rsidR="00311C90" w:rsidRDefault="00D90541">
      <w:pPr>
        <w:pStyle w:val="Obsah3"/>
        <w:rPr>
          <w:rFonts w:asciiTheme="minorHAnsi" w:eastAsiaTheme="minorEastAsia" w:hAnsiTheme="minorHAnsi" w:cstheme="minorBidi"/>
          <w:noProof/>
          <w:sz w:val="22"/>
          <w:szCs w:val="22"/>
        </w:rPr>
      </w:pPr>
      <w:hyperlink w:anchor="_Toc495649473" w:history="1">
        <w:r w:rsidR="00311C90" w:rsidRPr="007077FC">
          <w:rPr>
            <w:rStyle w:val="Hypertextovprepojenie"/>
            <w:noProof/>
          </w:rPr>
          <w:t>4.2.3 Úlohy riadiaceho orgánu/gestorov HP v oblasti hodnotenia</w:t>
        </w:r>
        <w:r w:rsidR="00311C90">
          <w:rPr>
            <w:noProof/>
            <w:webHidden/>
          </w:rPr>
          <w:tab/>
        </w:r>
        <w:r w:rsidR="00311C90">
          <w:rPr>
            <w:noProof/>
            <w:webHidden/>
          </w:rPr>
          <w:fldChar w:fldCharType="begin"/>
        </w:r>
        <w:r w:rsidR="00311C90">
          <w:rPr>
            <w:noProof/>
            <w:webHidden/>
          </w:rPr>
          <w:instrText xml:space="preserve"> PAGEREF _Toc495649473 \h </w:instrText>
        </w:r>
        <w:r w:rsidR="00311C90">
          <w:rPr>
            <w:noProof/>
            <w:webHidden/>
          </w:rPr>
        </w:r>
        <w:r w:rsidR="00311C90">
          <w:rPr>
            <w:noProof/>
            <w:webHidden/>
          </w:rPr>
          <w:fldChar w:fldCharType="separate"/>
        </w:r>
        <w:r w:rsidR="00A7472F">
          <w:rPr>
            <w:noProof/>
            <w:webHidden/>
          </w:rPr>
          <w:t>238</w:t>
        </w:r>
        <w:r w:rsidR="00311C90">
          <w:rPr>
            <w:noProof/>
            <w:webHidden/>
          </w:rPr>
          <w:fldChar w:fldCharType="end"/>
        </w:r>
      </w:hyperlink>
    </w:p>
    <w:p w14:paraId="57340365" w14:textId="70BC5D76" w:rsidR="00311C90" w:rsidRDefault="00D90541">
      <w:pPr>
        <w:pStyle w:val="Obsah1"/>
        <w:rPr>
          <w:rFonts w:asciiTheme="minorHAnsi" w:eastAsiaTheme="minorEastAsia" w:hAnsiTheme="minorHAnsi" w:cstheme="minorBidi"/>
          <w:b w:val="0"/>
          <w:sz w:val="22"/>
          <w:szCs w:val="22"/>
        </w:rPr>
      </w:pPr>
      <w:hyperlink w:anchor="_Toc495649474" w:history="1">
        <w:r w:rsidR="00311C90" w:rsidRPr="007077FC">
          <w:rPr>
            <w:rStyle w:val="Hypertextovprepojenie"/>
          </w:rPr>
          <w:t>Časť 5 Informovanie a komunikácia</w:t>
        </w:r>
        <w:r w:rsidR="00311C90">
          <w:rPr>
            <w:webHidden/>
          </w:rPr>
          <w:tab/>
        </w:r>
        <w:r w:rsidR="00311C90">
          <w:rPr>
            <w:webHidden/>
          </w:rPr>
          <w:fldChar w:fldCharType="begin"/>
        </w:r>
        <w:r w:rsidR="00311C90">
          <w:rPr>
            <w:webHidden/>
          </w:rPr>
          <w:instrText xml:space="preserve"> PAGEREF _Toc495649474 \h </w:instrText>
        </w:r>
        <w:r w:rsidR="00311C90">
          <w:rPr>
            <w:webHidden/>
          </w:rPr>
        </w:r>
        <w:r w:rsidR="00311C90">
          <w:rPr>
            <w:webHidden/>
          </w:rPr>
          <w:fldChar w:fldCharType="separate"/>
        </w:r>
        <w:r w:rsidR="00A7472F">
          <w:rPr>
            <w:webHidden/>
          </w:rPr>
          <w:t>241</w:t>
        </w:r>
        <w:r w:rsidR="00311C90">
          <w:rPr>
            <w:webHidden/>
          </w:rPr>
          <w:fldChar w:fldCharType="end"/>
        </w:r>
      </w:hyperlink>
    </w:p>
    <w:p w14:paraId="01732059" w14:textId="78CBD2BB" w:rsidR="00311C90" w:rsidRDefault="00D90541">
      <w:pPr>
        <w:pStyle w:val="Obsah2"/>
        <w:rPr>
          <w:rFonts w:asciiTheme="minorHAnsi" w:eastAsiaTheme="minorEastAsia" w:hAnsiTheme="minorHAnsi" w:cstheme="minorBidi"/>
          <w:noProof/>
          <w:sz w:val="22"/>
          <w:szCs w:val="22"/>
        </w:rPr>
      </w:pPr>
      <w:hyperlink w:anchor="_Toc495649475" w:history="1">
        <w:r w:rsidR="00311C90" w:rsidRPr="007077FC">
          <w:rPr>
            <w:rStyle w:val="Hypertextovprepojenie"/>
            <w:noProof/>
          </w:rPr>
          <w:t>5.1 Všeobecná charakteristika</w:t>
        </w:r>
        <w:r w:rsidR="00311C90">
          <w:rPr>
            <w:noProof/>
            <w:webHidden/>
          </w:rPr>
          <w:tab/>
        </w:r>
        <w:r w:rsidR="00311C90">
          <w:rPr>
            <w:noProof/>
            <w:webHidden/>
          </w:rPr>
          <w:fldChar w:fldCharType="begin"/>
        </w:r>
        <w:r w:rsidR="00311C90">
          <w:rPr>
            <w:noProof/>
            <w:webHidden/>
          </w:rPr>
          <w:instrText xml:space="preserve"> PAGEREF _Toc495649475 \h </w:instrText>
        </w:r>
        <w:r w:rsidR="00311C90">
          <w:rPr>
            <w:noProof/>
            <w:webHidden/>
          </w:rPr>
        </w:r>
        <w:r w:rsidR="00311C90">
          <w:rPr>
            <w:noProof/>
            <w:webHidden/>
          </w:rPr>
          <w:fldChar w:fldCharType="separate"/>
        </w:r>
        <w:r w:rsidR="00A7472F">
          <w:rPr>
            <w:noProof/>
            <w:webHidden/>
          </w:rPr>
          <w:t>241</w:t>
        </w:r>
        <w:r w:rsidR="00311C90">
          <w:rPr>
            <w:noProof/>
            <w:webHidden/>
          </w:rPr>
          <w:fldChar w:fldCharType="end"/>
        </w:r>
      </w:hyperlink>
    </w:p>
    <w:p w14:paraId="38ACA3F7" w14:textId="0F9044CF" w:rsidR="00311C90" w:rsidRDefault="00D90541">
      <w:pPr>
        <w:pStyle w:val="Obsah2"/>
        <w:rPr>
          <w:rFonts w:asciiTheme="minorHAnsi" w:eastAsiaTheme="minorEastAsia" w:hAnsiTheme="minorHAnsi" w:cstheme="minorBidi"/>
          <w:noProof/>
          <w:sz w:val="22"/>
          <w:szCs w:val="22"/>
        </w:rPr>
      </w:pPr>
      <w:hyperlink w:anchor="_Toc495649476" w:history="1">
        <w:r w:rsidR="00311C90" w:rsidRPr="007077FC">
          <w:rPr>
            <w:rStyle w:val="Hypertextovprepojenie"/>
            <w:noProof/>
          </w:rPr>
          <w:t>5.2 Špecifikácia informovania a komunikácie v SR</w:t>
        </w:r>
        <w:r w:rsidR="00311C90">
          <w:rPr>
            <w:noProof/>
            <w:webHidden/>
          </w:rPr>
          <w:tab/>
        </w:r>
        <w:r w:rsidR="00311C90">
          <w:rPr>
            <w:noProof/>
            <w:webHidden/>
          </w:rPr>
          <w:fldChar w:fldCharType="begin"/>
        </w:r>
        <w:r w:rsidR="00311C90">
          <w:rPr>
            <w:noProof/>
            <w:webHidden/>
          </w:rPr>
          <w:instrText xml:space="preserve"> PAGEREF _Toc495649476 \h </w:instrText>
        </w:r>
        <w:r w:rsidR="00311C90">
          <w:rPr>
            <w:noProof/>
            <w:webHidden/>
          </w:rPr>
        </w:r>
        <w:r w:rsidR="00311C90">
          <w:rPr>
            <w:noProof/>
            <w:webHidden/>
          </w:rPr>
          <w:fldChar w:fldCharType="separate"/>
        </w:r>
        <w:r w:rsidR="00A7472F">
          <w:rPr>
            <w:noProof/>
            <w:webHidden/>
          </w:rPr>
          <w:t>241</w:t>
        </w:r>
        <w:r w:rsidR="00311C90">
          <w:rPr>
            <w:noProof/>
            <w:webHidden/>
          </w:rPr>
          <w:fldChar w:fldCharType="end"/>
        </w:r>
      </w:hyperlink>
    </w:p>
    <w:p w14:paraId="521B05F5" w14:textId="6D39A15F" w:rsidR="00311C90" w:rsidRDefault="00D90541">
      <w:pPr>
        <w:pStyle w:val="Obsah2"/>
        <w:rPr>
          <w:rFonts w:asciiTheme="minorHAnsi" w:eastAsiaTheme="minorEastAsia" w:hAnsiTheme="minorHAnsi" w:cstheme="minorBidi"/>
          <w:noProof/>
          <w:sz w:val="22"/>
          <w:szCs w:val="22"/>
        </w:rPr>
      </w:pPr>
      <w:hyperlink w:anchor="_Toc495649477" w:history="1">
        <w:r w:rsidR="00311C90" w:rsidRPr="007077FC">
          <w:rPr>
            <w:rStyle w:val="Hypertextovprepojenie"/>
            <w:noProof/>
          </w:rPr>
          <w:t>5.3 Zabezpečovanie informovania a komunikácie na horizontálnej úrovni</w:t>
        </w:r>
        <w:r w:rsidR="00311C90">
          <w:rPr>
            <w:noProof/>
            <w:webHidden/>
          </w:rPr>
          <w:tab/>
        </w:r>
        <w:r w:rsidR="00311C90">
          <w:rPr>
            <w:noProof/>
            <w:webHidden/>
          </w:rPr>
          <w:fldChar w:fldCharType="begin"/>
        </w:r>
        <w:r w:rsidR="00311C90">
          <w:rPr>
            <w:noProof/>
            <w:webHidden/>
          </w:rPr>
          <w:instrText xml:space="preserve"> PAGEREF _Toc495649477 \h </w:instrText>
        </w:r>
        <w:r w:rsidR="00311C90">
          <w:rPr>
            <w:noProof/>
            <w:webHidden/>
          </w:rPr>
        </w:r>
        <w:r w:rsidR="00311C90">
          <w:rPr>
            <w:noProof/>
            <w:webHidden/>
          </w:rPr>
          <w:fldChar w:fldCharType="separate"/>
        </w:r>
        <w:r w:rsidR="00A7472F">
          <w:rPr>
            <w:noProof/>
            <w:webHidden/>
          </w:rPr>
          <w:t>242</w:t>
        </w:r>
        <w:r w:rsidR="00311C90">
          <w:rPr>
            <w:noProof/>
            <w:webHidden/>
          </w:rPr>
          <w:fldChar w:fldCharType="end"/>
        </w:r>
      </w:hyperlink>
    </w:p>
    <w:p w14:paraId="71C07B64" w14:textId="6A3CE83B" w:rsidR="00311C90" w:rsidRDefault="00D90541">
      <w:pPr>
        <w:pStyle w:val="Obsah3"/>
        <w:rPr>
          <w:rFonts w:asciiTheme="minorHAnsi" w:eastAsiaTheme="minorEastAsia" w:hAnsiTheme="minorHAnsi" w:cstheme="minorBidi"/>
          <w:noProof/>
          <w:sz w:val="22"/>
          <w:szCs w:val="22"/>
        </w:rPr>
      </w:pPr>
      <w:hyperlink w:anchor="_Toc495649478" w:history="1">
        <w:r w:rsidR="00311C90" w:rsidRPr="007077FC">
          <w:rPr>
            <w:rStyle w:val="Hypertextovprepojenie"/>
            <w:noProof/>
          </w:rPr>
          <w:t>5.3.1 Integrovaná sieť informačno-poradenských centier pre EŠIF</w:t>
        </w:r>
        <w:r w:rsidR="00311C90">
          <w:rPr>
            <w:noProof/>
            <w:webHidden/>
          </w:rPr>
          <w:tab/>
        </w:r>
        <w:r w:rsidR="00311C90">
          <w:rPr>
            <w:noProof/>
            <w:webHidden/>
          </w:rPr>
          <w:fldChar w:fldCharType="begin"/>
        </w:r>
        <w:r w:rsidR="00311C90">
          <w:rPr>
            <w:noProof/>
            <w:webHidden/>
          </w:rPr>
          <w:instrText xml:space="preserve"> PAGEREF _Toc495649478 \h </w:instrText>
        </w:r>
        <w:r w:rsidR="00311C90">
          <w:rPr>
            <w:noProof/>
            <w:webHidden/>
          </w:rPr>
        </w:r>
        <w:r w:rsidR="00311C90">
          <w:rPr>
            <w:noProof/>
            <w:webHidden/>
          </w:rPr>
          <w:fldChar w:fldCharType="separate"/>
        </w:r>
        <w:r w:rsidR="00A7472F">
          <w:rPr>
            <w:noProof/>
            <w:webHidden/>
          </w:rPr>
          <w:t>244</w:t>
        </w:r>
        <w:r w:rsidR="00311C90">
          <w:rPr>
            <w:noProof/>
            <w:webHidden/>
          </w:rPr>
          <w:fldChar w:fldCharType="end"/>
        </w:r>
      </w:hyperlink>
    </w:p>
    <w:p w14:paraId="004AA10B" w14:textId="2635C320" w:rsidR="00311C90" w:rsidRDefault="00D90541">
      <w:pPr>
        <w:pStyle w:val="Obsah2"/>
        <w:rPr>
          <w:rFonts w:asciiTheme="minorHAnsi" w:eastAsiaTheme="minorEastAsia" w:hAnsiTheme="minorHAnsi" w:cstheme="minorBidi"/>
          <w:noProof/>
          <w:sz w:val="22"/>
          <w:szCs w:val="22"/>
        </w:rPr>
      </w:pPr>
      <w:hyperlink w:anchor="_Toc495649479" w:history="1">
        <w:r w:rsidR="00311C90" w:rsidRPr="007077FC">
          <w:rPr>
            <w:rStyle w:val="Hypertextovprepojenie"/>
            <w:noProof/>
          </w:rPr>
          <w:t>5.4 Zabezpečovanie informovania a komunikácie na úrovni RO</w:t>
        </w:r>
        <w:r w:rsidR="00311C90">
          <w:rPr>
            <w:noProof/>
            <w:webHidden/>
          </w:rPr>
          <w:tab/>
        </w:r>
        <w:r w:rsidR="00311C90">
          <w:rPr>
            <w:noProof/>
            <w:webHidden/>
          </w:rPr>
          <w:fldChar w:fldCharType="begin"/>
        </w:r>
        <w:r w:rsidR="00311C90">
          <w:rPr>
            <w:noProof/>
            <w:webHidden/>
          </w:rPr>
          <w:instrText xml:space="preserve"> PAGEREF _Toc495649479 \h </w:instrText>
        </w:r>
        <w:r w:rsidR="00311C90">
          <w:rPr>
            <w:noProof/>
            <w:webHidden/>
          </w:rPr>
        </w:r>
        <w:r w:rsidR="00311C90">
          <w:rPr>
            <w:noProof/>
            <w:webHidden/>
          </w:rPr>
          <w:fldChar w:fldCharType="separate"/>
        </w:r>
        <w:r w:rsidR="00A7472F">
          <w:rPr>
            <w:noProof/>
            <w:webHidden/>
          </w:rPr>
          <w:t>245</w:t>
        </w:r>
        <w:r w:rsidR="00311C90">
          <w:rPr>
            <w:noProof/>
            <w:webHidden/>
          </w:rPr>
          <w:fldChar w:fldCharType="end"/>
        </w:r>
      </w:hyperlink>
    </w:p>
    <w:p w14:paraId="4A10E442" w14:textId="3ADFADAC" w:rsidR="00311C90" w:rsidRDefault="00D90541">
      <w:pPr>
        <w:pStyle w:val="Obsah2"/>
        <w:rPr>
          <w:rFonts w:asciiTheme="minorHAnsi" w:eastAsiaTheme="minorEastAsia" w:hAnsiTheme="minorHAnsi" w:cstheme="minorBidi"/>
          <w:noProof/>
          <w:sz w:val="22"/>
          <w:szCs w:val="22"/>
        </w:rPr>
      </w:pPr>
      <w:hyperlink w:anchor="_Toc495649480" w:history="1">
        <w:r w:rsidR="00311C90" w:rsidRPr="007077FC">
          <w:rPr>
            <w:rStyle w:val="Hypertextovprepojenie"/>
            <w:noProof/>
          </w:rPr>
          <w:t>5.5 Komunikačná stratégia</w:t>
        </w:r>
        <w:r w:rsidR="00311C90">
          <w:rPr>
            <w:noProof/>
            <w:webHidden/>
          </w:rPr>
          <w:tab/>
        </w:r>
        <w:r w:rsidR="00311C90">
          <w:rPr>
            <w:noProof/>
            <w:webHidden/>
          </w:rPr>
          <w:fldChar w:fldCharType="begin"/>
        </w:r>
        <w:r w:rsidR="00311C90">
          <w:rPr>
            <w:noProof/>
            <w:webHidden/>
          </w:rPr>
          <w:instrText xml:space="preserve"> PAGEREF _Toc495649480 \h </w:instrText>
        </w:r>
        <w:r w:rsidR="00311C90">
          <w:rPr>
            <w:noProof/>
            <w:webHidden/>
          </w:rPr>
        </w:r>
        <w:r w:rsidR="00311C90">
          <w:rPr>
            <w:noProof/>
            <w:webHidden/>
          </w:rPr>
          <w:fldChar w:fldCharType="separate"/>
        </w:r>
        <w:r w:rsidR="00A7472F">
          <w:rPr>
            <w:noProof/>
            <w:webHidden/>
          </w:rPr>
          <w:t>247</w:t>
        </w:r>
        <w:r w:rsidR="00311C90">
          <w:rPr>
            <w:noProof/>
            <w:webHidden/>
          </w:rPr>
          <w:fldChar w:fldCharType="end"/>
        </w:r>
      </w:hyperlink>
    </w:p>
    <w:p w14:paraId="18D463B0" w14:textId="3BBD07C5" w:rsidR="00B650E5" w:rsidRDefault="00B650E5">
      <w:pPr>
        <w:spacing w:before="120" w:after="120"/>
      </w:pPr>
      <w:r>
        <w:rPr>
          <w:sz w:val="22"/>
          <w:szCs w:val="22"/>
        </w:rPr>
        <w:fldChar w:fldCharType="end"/>
      </w:r>
    </w:p>
    <w:p w14:paraId="27010399" w14:textId="77777777" w:rsidR="00B650E5" w:rsidRDefault="00B650E5">
      <w:pPr>
        <w:spacing w:after="200" w:line="276" w:lineRule="auto"/>
        <w:rPr>
          <w:bCs/>
          <w:color w:val="365F91"/>
          <w:spacing w:val="5"/>
          <w:kern w:val="28"/>
          <w:sz w:val="12"/>
          <w:szCs w:val="52"/>
        </w:rPr>
      </w:pPr>
      <w:bookmarkStart w:id="3" w:name="_Toc378947469"/>
      <w:r>
        <w:br w:type="page"/>
      </w:r>
    </w:p>
    <w:p w14:paraId="6CF3C1F2" w14:textId="77777777" w:rsidR="00B650E5" w:rsidRPr="00D2234D" w:rsidRDefault="00B650E5">
      <w:pPr>
        <w:pStyle w:val="SRK1"/>
      </w:pPr>
      <w:bookmarkStart w:id="4" w:name="_Toc453233933"/>
      <w:bookmarkStart w:id="5" w:name="_Toc495649291"/>
      <w:r w:rsidRPr="00D2234D">
        <w:lastRenderedPageBreak/>
        <w:t>Časť 1 Spoločné ustanovenia</w:t>
      </w:r>
      <w:bookmarkEnd w:id="3"/>
      <w:bookmarkEnd w:id="4"/>
      <w:bookmarkEnd w:id="5"/>
    </w:p>
    <w:p w14:paraId="5E64580C" w14:textId="77777777" w:rsidR="00B650E5" w:rsidRDefault="00B650E5">
      <w:pPr>
        <w:pStyle w:val="Odsekzoznamu"/>
        <w:numPr>
          <w:ilvl w:val="0"/>
          <w:numId w:val="13"/>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14:paraId="4A92BD5E" w14:textId="3D4111E3" w:rsidR="00B650E5" w:rsidRDefault="00B650E5">
      <w:pPr>
        <w:pStyle w:val="Odsekzoznamu"/>
        <w:numPr>
          <w:ilvl w:val="0"/>
          <w:numId w:val="13"/>
        </w:numPr>
        <w:spacing w:before="120" w:after="120"/>
        <w:ind w:left="425" w:hanging="425"/>
        <w:contextualSpacing w:val="0"/>
        <w:jc w:val="both"/>
      </w:pPr>
      <w:r>
        <w:t>Ciele politiky súdržnosti, ktoré sú stanovené v nariadeniach Európskej únie (ďalej len ,,EÚ“) na</w:t>
      </w:r>
      <w:r w:rsidR="009E11A7">
        <w:t> </w:t>
      </w:r>
      <w:r>
        <w:t>programové obdobie 2014 – 2020, sú:</w:t>
      </w:r>
    </w:p>
    <w:p w14:paraId="7A77A665" w14:textId="77777777" w:rsidR="00B650E5" w:rsidRDefault="00B650E5">
      <w:pPr>
        <w:pStyle w:val="Odsekzoznamu"/>
        <w:numPr>
          <w:ilvl w:val="1"/>
          <w:numId w:val="13"/>
        </w:numPr>
        <w:spacing w:before="120" w:after="120"/>
        <w:ind w:left="851" w:hanging="425"/>
        <w:contextualSpacing w:val="0"/>
        <w:jc w:val="both"/>
      </w:pPr>
      <w:r>
        <w:t>cieľ Investovanie do rastu a zamestnanosti,</w:t>
      </w:r>
    </w:p>
    <w:p w14:paraId="5B377C6E" w14:textId="77777777" w:rsidR="00B650E5" w:rsidRDefault="00B650E5">
      <w:pPr>
        <w:pStyle w:val="Odsekzoznamu"/>
        <w:numPr>
          <w:ilvl w:val="1"/>
          <w:numId w:val="13"/>
        </w:numPr>
        <w:spacing w:before="120" w:after="120"/>
        <w:ind w:left="851" w:hanging="425"/>
        <w:contextualSpacing w:val="0"/>
        <w:jc w:val="both"/>
      </w:pPr>
      <w:r>
        <w:t>cieľ Európska územná spolupráca (ďalej len ,,EÚS“).</w:t>
      </w:r>
    </w:p>
    <w:p w14:paraId="7AAD7F05" w14:textId="0457FBA6" w:rsidR="00B650E5" w:rsidRDefault="00B650E5">
      <w:pPr>
        <w:pStyle w:val="Odsekzoznamu"/>
        <w:numPr>
          <w:ilvl w:val="0"/>
          <w:numId w:val="13"/>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w:t>
      </w:r>
      <w:r w:rsidR="009E11A7">
        <w:t> </w:t>
      </w:r>
      <w:r>
        <w:t xml:space="preserve">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 </w:t>
      </w:r>
    </w:p>
    <w:p w14:paraId="6CEED4B4" w14:textId="77777777" w:rsidR="00B650E5" w:rsidRDefault="00B650E5">
      <w:pPr>
        <w:pStyle w:val="Odsekzoznamu"/>
        <w:numPr>
          <w:ilvl w:val="0"/>
          <w:numId w:val="13"/>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14:paraId="21630131" w14:textId="77777777" w:rsidR="00B650E5" w:rsidRDefault="00B650E5">
      <w:pPr>
        <w:pStyle w:val="SRK2"/>
      </w:pPr>
      <w:bookmarkStart w:id="6" w:name="_Ref378944385"/>
      <w:bookmarkStart w:id="7" w:name="_Toc378947470"/>
      <w:bookmarkStart w:id="8" w:name="_Toc453233934"/>
      <w:bookmarkStart w:id="9" w:name="_Toc495649292"/>
      <w:bookmarkStart w:id="10" w:name="kapitola_11"/>
      <w:r>
        <w:t>1.1 Legislatíva EÚ a SR</w:t>
      </w:r>
      <w:bookmarkEnd w:id="6"/>
      <w:bookmarkEnd w:id="7"/>
      <w:bookmarkEnd w:id="8"/>
      <w:bookmarkEnd w:id="9"/>
    </w:p>
    <w:p w14:paraId="6E317BC1" w14:textId="77777777" w:rsidR="00B650E5" w:rsidRDefault="00B650E5">
      <w:pPr>
        <w:pStyle w:val="SRK3"/>
      </w:pPr>
      <w:bookmarkStart w:id="11" w:name="_Toc453233935"/>
      <w:bookmarkStart w:id="12" w:name="_Toc495649293"/>
      <w:bookmarkEnd w:id="10"/>
      <w:r>
        <w:t>1.1.1 Základné právne predpisy EÚ</w:t>
      </w:r>
      <w:bookmarkEnd w:id="11"/>
      <w:bookmarkEnd w:id="12"/>
    </w:p>
    <w:p w14:paraId="7B659BD6" w14:textId="77777777" w:rsidR="00B650E5" w:rsidRDefault="00B650E5" w:rsidP="00DE5D89">
      <w:pPr>
        <w:pStyle w:val="Odsekzoznamu"/>
        <w:numPr>
          <w:ilvl w:val="0"/>
          <w:numId w:val="328"/>
        </w:numPr>
        <w:spacing w:before="120" w:after="120"/>
        <w:ind w:left="426" w:hanging="426"/>
        <w:contextualSpacing w:val="0"/>
        <w:jc w:val="both"/>
      </w:pPr>
      <w:r>
        <w:t xml:space="preserve">Na vykonávanie nariadení EK vydáva delegované a implementačné akty, ktoré riešia jednotlivé aspekty upravené v legislatíve EÚ. Zároveň podrobná úprava niektorých skutočností môže byť bližšie špecifikovaná v rámci usmernení Európskej Komisie (ďalej len ,,EK“).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0" w:history="1">
        <w:r>
          <w:rPr>
            <w:rStyle w:val="Hypertextovprepojenie"/>
          </w:rPr>
          <w:t>http://eur-lex.europa.eu/oj/direct-access.html?locale=sk</w:t>
        </w:r>
      </w:hyperlink>
      <w:r>
        <w:t>.</w:t>
      </w:r>
    </w:p>
    <w:p w14:paraId="04186359" w14:textId="77777777" w:rsidR="00B650E5" w:rsidRDefault="00B650E5" w:rsidP="00172982">
      <w:pPr>
        <w:pStyle w:val="Odsekzoznamu"/>
        <w:numPr>
          <w:ilvl w:val="0"/>
          <w:numId w:val="302"/>
        </w:numPr>
        <w:spacing w:before="120" w:after="120"/>
        <w:ind w:left="851" w:hanging="425"/>
        <w:contextualSpacing w:val="0"/>
        <w:jc w:val="both"/>
      </w:pPr>
      <w:r>
        <w:t>Zmluva o Európskej únii a Zmluva o fungovaní Európskej únie (ďalej len ,,</w:t>
      </w:r>
      <w:r>
        <w:rPr>
          <w:b/>
          <w:i/>
        </w:rPr>
        <w:t>zmluva o fungovaní EÚ</w:t>
      </w:r>
      <w:r>
        <w:t>“);</w:t>
      </w:r>
    </w:p>
    <w:p w14:paraId="36A7F186" w14:textId="77777777" w:rsidR="00B650E5" w:rsidRDefault="00B650E5" w:rsidP="00172982">
      <w:pPr>
        <w:pStyle w:val="Odsekzoznamu"/>
        <w:numPr>
          <w:ilvl w:val="0"/>
          <w:numId w:val="302"/>
        </w:numPr>
        <w:spacing w:before="120" w:after="120"/>
        <w:ind w:left="851" w:hanging="425"/>
        <w:contextualSpacing w:val="0"/>
        <w:jc w:val="both"/>
      </w:pPr>
      <w:r>
        <w:t>Nariadenie Rady (EÚ, EURATOM) č. 1311/2013 z 2. decembra 2013, ktorým sa ustanovuje viacročný finančný rámec na roky 2014 – 2020;</w:t>
      </w:r>
    </w:p>
    <w:p w14:paraId="63E97140"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w:t>
      </w:r>
      <w:r>
        <w:lastRenderedPageBreak/>
        <w:t>Kohéznom fonde a Európskom námornom a rybárskom fonde, a ktorým sa zrušuje nariadenie Rady (ES) č. 1083/2006 (ďalej len „</w:t>
      </w:r>
      <w:r>
        <w:rPr>
          <w:b/>
          <w:i/>
        </w:rPr>
        <w:t>všeobecné nariadenie</w:t>
      </w:r>
      <w:r>
        <w:t>“);</w:t>
      </w:r>
    </w:p>
    <w:p w14:paraId="0DAAA0B6"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1300/2013 zo 17. decembra 2013 o Kohéznom fonde, ktorým sa zrušuje nariadenie Rady (ES) č. 1084/2006 (ďalej len „</w:t>
      </w:r>
      <w:r>
        <w:rPr>
          <w:b/>
          <w:i/>
        </w:rPr>
        <w:t>nariadenie o KF</w:t>
      </w:r>
      <w:r>
        <w:t>“);</w:t>
      </w:r>
    </w:p>
    <w:p w14:paraId="65E40E47"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1301/2013 zo 17. decembra 2013 o Európskom fonde regionálneho rozvoja a o osobitných ustanoveniach týkajúcich sa cieľa Investovanie do rastu a zamestnanosti, a ktorým sa zrušuje nariadenie (ES) č. 1080/2006 (ďalej len „</w:t>
      </w:r>
      <w:r>
        <w:rPr>
          <w:b/>
          <w:i/>
        </w:rPr>
        <w:t>nariadenie o EFRR</w:t>
      </w:r>
      <w:r>
        <w:t>“);</w:t>
      </w:r>
    </w:p>
    <w:p w14:paraId="7904A16A"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1304/2013 z 17. decembra 2013 o Európskom sociálnom fonde a o zrušení nariadenia Rady (ES) č. 1081/2006 (ďalej len „</w:t>
      </w:r>
      <w:r>
        <w:rPr>
          <w:b/>
          <w:i/>
        </w:rPr>
        <w:t>nariadenie o ESF</w:t>
      </w:r>
      <w:r>
        <w:t>“);</w:t>
      </w:r>
    </w:p>
    <w:p w14:paraId="41B167BA"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1305/2013 zo 17. decembra 2013 o podpore rozvoja vidieka prostredníctvom Európskeho poľnohospodárskeho fondu pre rozvoj vidieka (EPFRV) a o zrušení nariadenia Rady (ES) č. 1698/2005 (ďalej len „</w:t>
      </w:r>
      <w:r>
        <w:rPr>
          <w:b/>
          <w:i/>
        </w:rPr>
        <w:t>nariadenie o EPFRV</w:t>
      </w:r>
      <w:r>
        <w:t xml:space="preserve">“); </w:t>
      </w:r>
    </w:p>
    <w:p w14:paraId="4DE52D1A"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1306/2013 zo 17. decembra 2013 o financovaní, riadení a monitorovaní spoločnej poľnohospodárskej politiky a ktorým sa zrušujú nariadenia Rady (EHS) č. 352/78, (ES) č. 165/94, (ES) č. 2799/98, (ES) č. 814/2000, (ES) č. 1290/2005 a (ES) č. 485/2008;</w:t>
      </w:r>
    </w:p>
    <w:p w14:paraId="6C0012D0"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1299/2013 zo 17. decembra 2013 o osobitných ustanoveniach na podporu cieľa Európska územná spolupráca z Európskeho fondu regionálneho rozvoja (ďalej len „</w:t>
      </w:r>
      <w:r>
        <w:rPr>
          <w:b/>
          <w:i/>
        </w:rPr>
        <w:t>nariadenie o EÚS</w:t>
      </w:r>
      <w:r>
        <w:t>“);</w:t>
      </w:r>
    </w:p>
    <w:p w14:paraId="59DEA3A2"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(ES) č. 1082/2006 z 5. júla 2006 o Európskom zoskupení územnej spolupráce (EZÚS) a Nariadenie Európskeho parlamentu a Rady (EÚ) č. 1302/2013 zo 17. decembra 2013, ktorým sa mení nariadenie (ES) č. 1082/2006 o Európskom zoskupení územnej spolupráce (EZÚS), pokiaľ ide o vyjasnenie, zjednodušenie a zlepšenie zakladania a fungovania takýchto zoskupení (ďalej len „</w:t>
      </w:r>
      <w:r>
        <w:rPr>
          <w:b/>
          <w:i/>
        </w:rPr>
        <w:t>nariadenie o EZÚS</w:t>
      </w:r>
      <w:r>
        <w:t>“);</w:t>
      </w:r>
    </w:p>
    <w:p w14:paraId="4D38513F"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508/2014 z 15. mája 2014 o Európskom námornom a rybárskom fonde, ktorým sa zrušujú nariadenia Rady (ES) č. 2328/2003, (ES)     č. 861/2006, (ES) č. 1198/2006 a (ES) č. 791/2007 a nariadenie Európskeho parlamentu a Rady (EÚ) č. 1255/2011 (ďalej len ,,</w:t>
      </w:r>
      <w:r>
        <w:rPr>
          <w:b/>
          <w:i/>
        </w:rPr>
        <w:t>nariadenie o ENRF</w:t>
      </w:r>
      <w:r>
        <w:t>“);</w:t>
      </w:r>
    </w:p>
    <w:p w14:paraId="0491BE19"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232/2014 z 11. marca 2014, ktorým sa ustanovuje Nástroj európskeho susedstva;</w:t>
      </w:r>
    </w:p>
    <w:p w14:paraId="6636813F" w14:textId="3E5DBC0A" w:rsidR="00B650E5" w:rsidRDefault="00B650E5" w:rsidP="00172982">
      <w:pPr>
        <w:pStyle w:val="Odsekzoznamu"/>
        <w:numPr>
          <w:ilvl w:val="0"/>
          <w:numId w:val="302"/>
        </w:numPr>
        <w:spacing w:before="120" w:after="120"/>
        <w:ind w:left="851" w:hanging="425"/>
        <w:contextualSpacing w:val="0"/>
        <w:jc w:val="both"/>
      </w:pPr>
      <w:r>
        <w:t>Nariadenie Komisie (EÚ) č. 651/2014 zo 17. júna 2014 o vyhlásení určitých kategórií pomoci za zlučiteľné s vnútorným trhom podľa článkov 107 a 108 zmluvy (ďalej len ,,</w:t>
      </w:r>
      <w:r>
        <w:rPr>
          <w:b/>
          <w:i/>
        </w:rPr>
        <w:t>nariadenie č. 651/2014</w:t>
      </w:r>
      <w:r>
        <w:t>“);</w:t>
      </w:r>
    </w:p>
    <w:p w14:paraId="5409489E"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p>
    <w:p w14:paraId="0333C379"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p>
    <w:p w14:paraId="73DEA5E9" w14:textId="77777777" w:rsidR="00B650E5" w:rsidRDefault="00B650E5" w:rsidP="00172982">
      <w:pPr>
        <w:pStyle w:val="Odsekzoznamu"/>
        <w:numPr>
          <w:ilvl w:val="0"/>
          <w:numId w:val="302"/>
        </w:numPr>
        <w:spacing w:before="120" w:after="120"/>
        <w:ind w:left="851" w:hanging="425"/>
        <w:contextualSpacing w:val="0"/>
        <w:jc w:val="both"/>
      </w:pPr>
      <w:r>
        <w:lastRenderedPageBreak/>
        <w:t>Nariadenie Európskeho parlamentu a Rady (EÚ) č. 1290/2013 z 11. decembra 2013, ktorým sa ustanovujú pravidlá účasti na programe Horizont 2020 – rámcový program pre výskum a inováciu (2014 – 2020) a pravidlá jeho šírenia, a ktorým sa zrušuje nariadenie (ES)                 č. 1906/2006;</w:t>
      </w:r>
    </w:p>
    <w:p w14:paraId="3F8FDB40" w14:textId="77777777" w:rsidR="00B650E5" w:rsidRDefault="00B650E5" w:rsidP="00172982">
      <w:pPr>
        <w:pStyle w:val="Odsekzoznamu"/>
        <w:numPr>
          <w:ilvl w:val="0"/>
          <w:numId w:val="302"/>
        </w:numPr>
        <w:spacing w:before="120" w:after="120"/>
        <w:ind w:left="851" w:hanging="425"/>
        <w:contextualSpacing w:val="0"/>
        <w:jc w:val="both"/>
      </w:pPr>
      <w:r>
        <w:t>Nariadenie Rady (EURATOM) č. 1314/2013 zo 16. decembra 2013, o výskumnom a vzdelávacom programe Európskeho spoločenstva pre atómovú energiu (2014 – 2018), ktorý prispieva k rámcovému programu v oblasti výskumu a inovácií Horizont 2020 – rámcový program pre výskum a inováciu;</w:t>
      </w:r>
    </w:p>
    <w:p w14:paraId="0CDAFD8B"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1288/2013 z 11. decembra 2013, ktorým sa zriaďuje „Erasmus+“: program Únie pre vzdelávanie, odbornú prípravu, mládež a šport, a ktorým sa zrušujú rozhodnutia č. 1719/2006/ES, č. 1720/2006/ES a č. 1298/2008/ES;</w:t>
      </w:r>
    </w:p>
    <w:p w14:paraId="483D886D"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p>
    <w:p w14:paraId="7BA789A6"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p>
    <w:p w14:paraId="65588D27"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Euratom) č. 966/2012 o rozpočtových pravidlách, ktoré sa vzťahujú na všeobecný rozpočet Únie a zrušení nariadenia Rady (ES, Euratom) č.1605/2002 v platnom znení (ďalej len ,,</w:t>
      </w:r>
      <w:r>
        <w:rPr>
          <w:b/>
          <w:i/>
        </w:rPr>
        <w:t>nariadenie č. 966/2012</w:t>
      </w:r>
      <w:r>
        <w:t>“);</w:t>
      </w:r>
    </w:p>
    <w:p w14:paraId="112C0815" w14:textId="2D038FF8" w:rsidR="00B650E5" w:rsidRDefault="00B650E5" w:rsidP="00172982">
      <w:pPr>
        <w:pStyle w:val="Odsekzoznamu"/>
        <w:numPr>
          <w:ilvl w:val="0"/>
          <w:numId w:val="302"/>
        </w:numPr>
        <w:spacing w:before="120" w:after="120"/>
        <w:ind w:left="851" w:hanging="425"/>
        <w:contextualSpacing w:val="0"/>
        <w:jc w:val="both"/>
      </w:pPr>
      <w:r>
        <w:t>Nariadenie rady (ES) č. 2185/1996 o kontrolách a inšpekciách na mieste vykonávaných Európskou komisiou a cieľom ochrany finančných záujmov Európskych spoločenstiev pred</w:t>
      </w:r>
      <w:r w:rsidR="009E11A7">
        <w:t> </w:t>
      </w:r>
      <w:r>
        <w:t>spreneverou a inými podvodmi;</w:t>
      </w:r>
    </w:p>
    <w:p w14:paraId="613ECB38" w14:textId="77777777" w:rsidR="00B650E5" w:rsidRDefault="00B650E5" w:rsidP="00172982">
      <w:pPr>
        <w:pStyle w:val="Odsekzoznamu"/>
        <w:numPr>
          <w:ilvl w:val="0"/>
          <w:numId w:val="302"/>
        </w:numPr>
        <w:spacing w:before="120" w:after="120"/>
        <w:ind w:left="851" w:hanging="425"/>
        <w:contextualSpacing w:val="0"/>
        <w:jc w:val="both"/>
      </w:pPr>
      <w:r>
        <w:t>Nariadenie Komisie (ES, Euratom) č. 1302/2008 zo 17. decembra 2008 o centrálnej databáze vylúčených subjektov (ďalej len ,,</w:t>
      </w:r>
      <w:r>
        <w:rPr>
          <w:b/>
          <w:i/>
        </w:rPr>
        <w:t>nariadenie č. 1302/2008</w:t>
      </w:r>
      <w:r>
        <w:t>“);</w:t>
      </w:r>
    </w:p>
    <w:p w14:paraId="41070906"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Euratom) č. 883/2013 z 11. septembra 2013 o vyšetrovaniach vykonávaných Európskym úradom pre boj proti podvodom (OLAF), ktorým sa zrušuje nariadenie Európskeho parlamentu a Rady (ES) č. 1073/1999 a nariadenie Rady (Euratom) č. 1074/1999 (ďalej len ,,</w:t>
      </w:r>
      <w:r>
        <w:rPr>
          <w:b/>
          <w:i/>
        </w:rPr>
        <w:t>nariadenie č. 883/2013</w:t>
      </w:r>
      <w:r>
        <w:t>“);</w:t>
      </w:r>
    </w:p>
    <w:p w14:paraId="45F1F150" w14:textId="77777777" w:rsidR="00B650E5" w:rsidRDefault="00B650E5" w:rsidP="00172982">
      <w:pPr>
        <w:pStyle w:val="Odsekzoznamu"/>
        <w:numPr>
          <w:ilvl w:val="0"/>
          <w:numId w:val="302"/>
        </w:numPr>
        <w:spacing w:before="120" w:after="120"/>
        <w:ind w:left="851" w:hanging="425"/>
        <w:contextualSpacing w:val="0"/>
        <w:jc w:val="both"/>
      </w:pPr>
      <w:r>
        <w:t>Nariadenie Komisie č. 360/2012 z 25. apríla 2012 o uplatňovaní článkov 107 a 108 Zmluvy o fungovaní EÚ na pomoc de minimis v prospech podnikov poskytujúcich služby všeobecného hospodárskeho záujmu  (ďalej len „</w:t>
      </w:r>
      <w:r>
        <w:rPr>
          <w:b/>
          <w:i/>
        </w:rPr>
        <w:t>nariadenie č. 360/2012</w:t>
      </w:r>
      <w:r>
        <w:t>“);</w:t>
      </w:r>
    </w:p>
    <w:p w14:paraId="6DC36480" w14:textId="77777777" w:rsidR="00B650E5" w:rsidRDefault="00B650E5" w:rsidP="00172982">
      <w:pPr>
        <w:pStyle w:val="Odsekzoznamu"/>
        <w:numPr>
          <w:ilvl w:val="0"/>
          <w:numId w:val="302"/>
        </w:numPr>
        <w:spacing w:before="120" w:after="120"/>
        <w:ind w:left="851" w:hanging="425"/>
        <w:contextualSpacing w:val="0"/>
        <w:jc w:val="both"/>
      </w:pPr>
      <w:r>
        <w:t>Nariadenie Komisie (EÚ) č. 1407/2013 z 18. decembra 2013 o uplatňovaní článkov 107 a 108 Zmluvy na pomoc de minimis (ďalej len ,,</w:t>
      </w:r>
      <w:r>
        <w:rPr>
          <w:b/>
          <w:i/>
        </w:rPr>
        <w:t>nariadenie č. 1407/2013</w:t>
      </w:r>
      <w:r>
        <w:t>“);</w:t>
      </w:r>
    </w:p>
    <w:p w14:paraId="7BF3658D" w14:textId="7CB6E9BE" w:rsidR="00B650E5" w:rsidRDefault="00B650E5" w:rsidP="00172982">
      <w:pPr>
        <w:pStyle w:val="Odsekzoznamu"/>
        <w:numPr>
          <w:ilvl w:val="0"/>
          <w:numId w:val="302"/>
        </w:numPr>
        <w:spacing w:before="120" w:after="120"/>
        <w:ind w:left="851" w:hanging="425"/>
        <w:contextualSpacing w:val="0"/>
        <w:jc w:val="both"/>
      </w:pPr>
      <w:r>
        <w:t xml:space="preserve">Smernica Európskeho parlamentu a Rady 2011/92/ES o posudzovaní vplyvov určitých verejných a súkromných projektov na životné prostredie (ďalej len </w:t>
      </w:r>
      <w:r>
        <w:rPr>
          <w:b/>
          <w:i/>
        </w:rPr>
        <w:t>,,smernica EIA“</w:t>
      </w:r>
      <w:r>
        <w:t>)</w:t>
      </w:r>
      <w:r w:rsidR="00486158" w:rsidRPr="006B2B6A">
        <w:t>;</w:t>
      </w:r>
    </w:p>
    <w:p w14:paraId="438BD785" w14:textId="10321743" w:rsidR="00B650E5" w:rsidRDefault="00B650E5" w:rsidP="00F4413F">
      <w:pPr>
        <w:pStyle w:val="Odsekzoznamu"/>
        <w:numPr>
          <w:ilvl w:val="0"/>
          <w:numId w:val="302"/>
        </w:numPr>
        <w:spacing w:before="120" w:after="120"/>
        <w:ind w:left="851" w:hanging="425"/>
        <w:contextualSpacing w:val="0"/>
        <w:jc w:val="both"/>
      </w:pPr>
      <w:r>
        <w:t>Smernica Európskeho parlamentu a Rady 2014/23/EÚ o udeľovaní koncesií z 26. februára 2014</w:t>
      </w:r>
      <w:r w:rsidR="00486158">
        <w:t>;</w:t>
      </w:r>
    </w:p>
    <w:p w14:paraId="66D7E88C" w14:textId="6CB314EB" w:rsidR="00B650E5" w:rsidRDefault="00B650E5" w:rsidP="00F4413F">
      <w:pPr>
        <w:pStyle w:val="Odsekzoznamu"/>
        <w:numPr>
          <w:ilvl w:val="0"/>
          <w:numId w:val="302"/>
        </w:numPr>
        <w:spacing w:before="120" w:after="120"/>
        <w:ind w:left="851" w:hanging="425"/>
        <w:contextualSpacing w:val="0"/>
        <w:jc w:val="both"/>
      </w:pPr>
      <w:r>
        <w:t>Smernica Európskeho parlamentu a Rady 2014/24/EÚ z 26. februára 2014 o verejnom obstarávaní a o zrušení smernice 2004/18/ES</w:t>
      </w:r>
      <w:r w:rsidR="00486158">
        <w:t>;</w:t>
      </w:r>
    </w:p>
    <w:p w14:paraId="04013DE5" w14:textId="39DFD04E" w:rsidR="00B650E5" w:rsidRDefault="00B650E5" w:rsidP="000E286B">
      <w:pPr>
        <w:pStyle w:val="Odsekzoznamu"/>
        <w:numPr>
          <w:ilvl w:val="0"/>
          <w:numId w:val="302"/>
        </w:numPr>
        <w:spacing w:before="120" w:after="120"/>
        <w:ind w:left="851" w:hanging="425"/>
        <w:contextualSpacing w:val="0"/>
        <w:jc w:val="both"/>
      </w:pPr>
      <w:r>
        <w:t>Smernica Európskeho parlamentu a Rady 2014/25/EÚ z 26. februára 2014 o obstarávaní</w:t>
      </w:r>
      <w:r w:rsidR="00486158">
        <w:t xml:space="preserve"> </w:t>
      </w:r>
      <w:r>
        <w:t>vykonávanom subjektmi pôsobiacimi v odvetviach vodného hospodárstva, energetiky, dopravy a poštových služieb a o zrušení smernice 2004/17/ES</w:t>
      </w:r>
      <w:r w:rsidR="00486158">
        <w:t>.</w:t>
      </w:r>
    </w:p>
    <w:p w14:paraId="094A79FC" w14:textId="77777777" w:rsidR="00B650E5" w:rsidRDefault="00B650E5">
      <w:pPr>
        <w:pStyle w:val="SRK3"/>
      </w:pPr>
      <w:bookmarkStart w:id="13" w:name="_Toc453233936"/>
      <w:bookmarkStart w:id="14" w:name="_Toc495649294"/>
      <w:r>
        <w:lastRenderedPageBreak/>
        <w:t>1.1.2 Základné právne predpisy SR</w:t>
      </w:r>
      <w:bookmarkEnd w:id="13"/>
      <w:bookmarkEnd w:id="14"/>
    </w:p>
    <w:p w14:paraId="09366CED" w14:textId="77777777" w:rsidR="00B650E5" w:rsidRDefault="00B650E5">
      <w:pPr>
        <w:pStyle w:val="Odsekzoznamu"/>
        <w:numPr>
          <w:ilvl w:val="0"/>
          <w:numId w:val="304"/>
        </w:numPr>
        <w:spacing w:before="120" w:after="120"/>
        <w:ind w:left="426" w:hanging="426"/>
        <w:contextualSpacing w:val="0"/>
        <w:jc w:val="both"/>
      </w:pPr>
      <w:bookmarkStart w:id="15" w:name="_Toc378947471"/>
      <w:r>
        <w:t>Základné právne predpisy SR predstavujú prehľad relevantných ustanovení vo vzťahu k implementácii Systému riadenia EŠIF a jednotlivých OP. Záväzné a oficiálne znenie právnych aktov je zverejnené v Zbierke zákonov SR.</w:t>
      </w:r>
    </w:p>
    <w:p w14:paraId="07FD724E" w14:textId="77777777" w:rsidR="00B650E5" w:rsidRDefault="00B650E5" w:rsidP="00227685">
      <w:pPr>
        <w:pStyle w:val="SRKNorm"/>
        <w:numPr>
          <w:ilvl w:val="0"/>
          <w:numId w:val="303"/>
        </w:numPr>
        <w:spacing w:before="120" w:after="120"/>
        <w:ind w:left="993" w:hanging="567"/>
      </w:pPr>
      <w:r>
        <w:t>Zákon č. 292/2014 Z. z. o príspevku poskytovanom z európskych štrukturálnych a investičných fondov a o zmene a doplnení niektorých zákonov</w:t>
      </w:r>
      <w:r w:rsidR="00277055">
        <w:t xml:space="preserve"> v znení neskorších predpisov</w:t>
      </w:r>
      <w:r>
        <w:t xml:space="preserve"> (ďalej len „</w:t>
      </w:r>
      <w:r>
        <w:rPr>
          <w:b/>
          <w:i/>
        </w:rPr>
        <w:t>zákon o príspevku z EŠIF</w:t>
      </w:r>
      <w:r>
        <w:t>“);</w:t>
      </w:r>
    </w:p>
    <w:p w14:paraId="2116C246" w14:textId="51D29321" w:rsidR="00B650E5" w:rsidRPr="00BD5FD5" w:rsidRDefault="00B650E5" w:rsidP="00227685">
      <w:pPr>
        <w:pStyle w:val="SRKNorm"/>
        <w:numPr>
          <w:ilvl w:val="0"/>
          <w:numId w:val="303"/>
        </w:numPr>
        <w:spacing w:before="120" w:after="120"/>
        <w:ind w:left="993" w:hanging="567"/>
      </w:pPr>
      <w:r>
        <w:t>Nariadenie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rsidR="00486158">
        <w:t> </w:t>
      </w:r>
      <w:r w:rsidRPr="00BD5FD5">
        <w:t>informatizáciu</w:t>
      </w:r>
      <w:r w:rsidR="00486158">
        <w:t>;</w:t>
      </w:r>
    </w:p>
    <w:p w14:paraId="0127CA28" w14:textId="74E154DC" w:rsidR="00B650E5" w:rsidRDefault="00B650E5" w:rsidP="00227685">
      <w:pPr>
        <w:pStyle w:val="SRKNorm"/>
        <w:numPr>
          <w:ilvl w:val="0"/>
          <w:numId w:val="303"/>
        </w:numPr>
        <w:spacing w:before="120" w:after="120"/>
        <w:ind w:left="993" w:hanging="567"/>
      </w:pPr>
      <w:r>
        <w:t xml:space="preserve">Zákon č. </w:t>
      </w:r>
      <w:r w:rsidRPr="003425F6">
        <w:t>3</w:t>
      </w:r>
      <w:r>
        <w:t>57/2015 Z. z. o finančnej kontrole a audite a o zmene a doplnení niektorých zákonov (ďalej len „</w:t>
      </w:r>
      <w:r>
        <w:rPr>
          <w:b/>
          <w:i/>
        </w:rPr>
        <w:t>zákon o finančnej kontrole</w:t>
      </w:r>
      <w:r>
        <w:t>“);</w:t>
      </w:r>
    </w:p>
    <w:p w14:paraId="6E830206" w14:textId="03817263" w:rsidR="00B650E5" w:rsidRDefault="00B650E5" w:rsidP="00227685">
      <w:pPr>
        <w:pStyle w:val="SRKNorm"/>
        <w:numPr>
          <w:ilvl w:val="0"/>
          <w:numId w:val="303"/>
        </w:numPr>
        <w:spacing w:before="120" w:after="120"/>
        <w:ind w:left="993" w:hanging="567"/>
      </w:pPr>
      <w:r>
        <w:t>Zákon č. 575/2001 Z. z. o organizácii činnosti vlády a organizácii ústrednej štátnej správy v</w:t>
      </w:r>
      <w:r w:rsidR="005224E2">
        <w:t> </w:t>
      </w:r>
      <w:r>
        <w:t>znení neskorších predpisov (ďalej len „</w:t>
      </w:r>
      <w:r>
        <w:rPr>
          <w:b/>
          <w:i/>
        </w:rPr>
        <w:t>kompetenčný zákon</w:t>
      </w:r>
      <w:r>
        <w:t>“);</w:t>
      </w:r>
    </w:p>
    <w:p w14:paraId="32F18170" w14:textId="77777777" w:rsidR="00B650E5" w:rsidRDefault="00B650E5" w:rsidP="00227685">
      <w:pPr>
        <w:pStyle w:val="Odsekzoznamu"/>
        <w:numPr>
          <w:ilvl w:val="0"/>
          <w:numId w:val="303"/>
        </w:numPr>
        <w:spacing w:before="120" w:after="120"/>
        <w:ind w:left="993" w:hanging="567"/>
        <w:contextualSpacing w:val="0"/>
        <w:jc w:val="both"/>
      </w:pPr>
      <w:r>
        <w:t>Zákon č. 40/1964 Zb. Občiansky zákonník v platnom znení;</w:t>
      </w:r>
    </w:p>
    <w:p w14:paraId="75FF8239" w14:textId="77777777" w:rsidR="00B650E5" w:rsidRDefault="00B650E5" w:rsidP="00227685">
      <w:pPr>
        <w:pStyle w:val="Odsekzoznamu"/>
        <w:numPr>
          <w:ilvl w:val="0"/>
          <w:numId w:val="303"/>
        </w:numPr>
        <w:spacing w:before="120" w:after="120"/>
        <w:ind w:left="993" w:hanging="567"/>
        <w:contextualSpacing w:val="0"/>
        <w:jc w:val="both"/>
      </w:pPr>
      <w:r>
        <w:t>Zákon č. 513/1991 Zb. Obchodný zákonník v platnom znení (ďalej len ,,</w:t>
      </w:r>
      <w:r>
        <w:rPr>
          <w:b/>
          <w:i/>
        </w:rPr>
        <w:t>obchodný zákonník</w:t>
      </w:r>
      <w:r>
        <w:t>“);</w:t>
      </w:r>
    </w:p>
    <w:p w14:paraId="6633AB0F"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160/2015 Z. z. </w:t>
      </w:r>
      <w:r>
        <w:t>Civilný sporový poriadok</w:t>
      </w:r>
      <w:r w:rsidR="005224E2">
        <w:t xml:space="preserve"> v znení neskorších predpisov (ďalej len ,,</w:t>
      </w:r>
      <w:r w:rsidR="005224E2">
        <w:rPr>
          <w:b/>
          <w:i/>
        </w:rPr>
        <w:t>civilný sporový poriadok</w:t>
      </w:r>
      <w:r w:rsidR="005224E2">
        <w:t>“)</w:t>
      </w:r>
      <w:r>
        <w:rPr>
          <w:bCs/>
        </w:rPr>
        <w:t>;</w:t>
      </w:r>
    </w:p>
    <w:p w14:paraId="67363D15"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161/2015 Z. z. </w:t>
      </w:r>
      <w:r>
        <w:t>Civilný mimosporový poriadok</w:t>
      </w:r>
      <w:r w:rsidR="005224E2">
        <w:t xml:space="preserve"> (ďalej len ,,</w:t>
      </w:r>
      <w:r w:rsidR="005224E2">
        <w:rPr>
          <w:b/>
          <w:i/>
        </w:rPr>
        <w:t>civilný mimosporový poriadok</w:t>
      </w:r>
      <w:r w:rsidR="005224E2">
        <w:t>“);</w:t>
      </w:r>
    </w:p>
    <w:p w14:paraId="26D23848"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311/2001 Z. z. Zákonník práce v platnom znení (ďalej len ,,</w:t>
      </w:r>
      <w:r>
        <w:rPr>
          <w:b/>
          <w:i/>
        </w:rPr>
        <w:t>zákonník práce</w:t>
      </w:r>
      <w:r>
        <w:rPr>
          <w:bCs/>
        </w:rPr>
        <w:t>“);</w:t>
      </w:r>
    </w:p>
    <w:p w14:paraId="69C5D9FA" w14:textId="6B43BC15" w:rsidR="00B650E5" w:rsidRPr="00DE5D89"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5224E2">
        <w:rPr>
          <w:szCs w:val="22"/>
          <w:lang w:eastAsia="en-US"/>
        </w:rPr>
        <w:t>55</w:t>
      </w:r>
      <w:r>
        <w:rPr>
          <w:szCs w:val="22"/>
          <w:lang w:eastAsia="en-US"/>
        </w:rPr>
        <w:t>/20</w:t>
      </w:r>
      <w:r w:rsidR="005224E2">
        <w:rPr>
          <w:szCs w:val="22"/>
          <w:lang w:eastAsia="en-US"/>
        </w:rPr>
        <w:t>17</w:t>
      </w:r>
      <w:r>
        <w:rPr>
          <w:szCs w:val="22"/>
          <w:lang w:eastAsia="en-US"/>
        </w:rPr>
        <w:t xml:space="preserve"> Z. z. o štátnej službe a o zmene a doplnení niektorých zákonov v znení neskorších predpisov (ďalej len ,,</w:t>
      </w:r>
      <w:r>
        <w:rPr>
          <w:b/>
          <w:i/>
        </w:rPr>
        <w:t>z</w:t>
      </w:r>
      <w:r w:rsidRPr="00DE5D89">
        <w:rPr>
          <w:b/>
          <w:i/>
        </w:rPr>
        <w:t>ákon o štátnej službe</w:t>
      </w:r>
      <w:r>
        <w:rPr>
          <w:szCs w:val="22"/>
          <w:lang w:eastAsia="en-US"/>
        </w:rPr>
        <w:t>“);</w:t>
      </w:r>
    </w:p>
    <w:p w14:paraId="66483205" w14:textId="77777777" w:rsidR="00B650E5" w:rsidRDefault="00B650E5" w:rsidP="00227685">
      <w:pPr>
        <w:pStyle w:val="Odsekzoznamu"/>
        <w:numPr>
          <w:ilvl w:val="0"/>
          <w:numId w:val="303"/>
        </w:numPr>
        <w:spacing w:before="120" w:after="120"/>
        <w:ind w:left="993" w:hanging="567"/>
        <w:contextualSpacing w:val="0"/>
        <w:jc w:val="both"/>
        <w:rPr>
          <w:bCs/>
        </w:rPr>
      </w:pPr>
      <w:r>
        <w:t>Zákon č.</w:t>
      </w:r>
      <w:r>
        <w:rPr>
          <w:szCs w:val="22"/>
          <w:lang w:eastAsia="en-US"/>
        </w:rPr>
        <w:t xml:space="preserve"> 552/2003 Z. z. o výkone </w:t>
      </w:r>
      <w:r w:rsidRPr="003425F6">
        <w:rPr>
          <w:szCs w:val="22"/>
          <w:lang w:eastAsia="en-US"/>
        </w:rPr>
        <w:t>prác</w:t>
      </w:r>
      <w:r w:rsidRPr="003120E4">
        <w:rPr>
          <w:szCs w:val="22"/>
          <w:lang w:eastAsia="en-US"/>
        </w:rPr>
        <w:t>e</w:t>
      </w:r>
      <w:r w:rsidRPr="003425F6">
        <w:rPr>
          <w:szCs w:val="22"/>
          <w:lang w:eastAsia="en-US"/>
        </w:rPr>
        <w:t xml:space="preserve"> vo verejnom záujme v znení neskorších predpisov (ďalej len ,,</w:t>
      </w:r>
      <w:r>
        <w:rPr>
          <w:b/>
          <w:i/>
        </w:rPr>
        <w:t>z</w:t>
      </w:r>
      <w:r w:rsidRPr="002576AF">
        <w:rPr>
          <w:b/>
          <w:i/>
        </w:rPr>
        <w:t>ákon o výkone prác</w:t>
      </w:r>
      <w:r w:rsidRPr="003120E4">
        <w:rPr>
          <w:b/>
          <w:i/>
        </w:rPr>
        <w:t>e</w:t>
      </w:r>
      <w:r w:rsidRPr="003425F6">
        <w:rPr>
          <w:b/>
          <w:i/>
        </w:rPr>
        <w:t xml:space="preserve"> vo</w:t>
      </w:r>
      <w:r w:rsidRPr="00DE5D89">
        <w:rPr>
          <w:b/>
          <w:i/>
        </w:rPr>
        <w:t xml:space="preserve"> verejnom záujme</w:t>
      </w:r>
      <w:r>
        <w:rPr>
          <w:szCs w:val="22"/>
          <w:lang w:eastAsia="en-US"/>
        </w:rPr>
        <w:t>“);</w:t>
      </w:r>
    </w:p>
    <w:p w14:paraId="7AB3E0B9"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300/2005 Z. z. Trestný zákon v znení neskorších predpisov (ďalej len ,,</w:t>
      </w:r>
      <w:r>
        <w:rPr>
          <w:b/>
          <w:i/>
        </w:rPr>
        <w:t>trestný zákon</w:t>
      </w:r>
      <w:r>
        <w:rPr>
          <w:bCs/>
        </w:rPr>
        <w:t>“);</w:t>
      </w:r>
    </w:p>
    <w:p w14:paraId="61C12386" w14:textId="77777777" w:rsidR="00B650E5" w:rsidRDefault="00B650E5" w:rsidP="00227685">
      <w:pPr>
        <w:pStyle w:val="Odsekzoznamu"/>
        <w:numPr>
          <w:ilvl w:val="0"/>
          <w:numId w:val="303"/>
        </w:numPr>
        <w:spacing w:before="120" w:after="120"/>
        <w:ind w:left="993" w:hanging="567"/>
        <w:contextualSpacing w:val="0"/>
        <w:jc w:val="both"/>
      </w:pPr>
      <w:r>
        <w:rPr>
          <w:bCs/>
        </w:rPr>
        <w:t>Zákon č. 301/2005 Z. z. Trestný poriadok v znení neskorších predpisov (ďalej len ,,</w:t>
      </w:r>
      <w:r>
        <w:rPr>
          <w:b/>
          <w:i/>
        </w:rPr>
        <w:t>trestný poriadok</w:t>
      </w:r>
      <w:r>
        <w:rPr>
          <w:bCs/>
        </w:rPr>
        <w:t>“);</w:t>
      </w:r>
    </w:p>
    <w:p w14:paraId="497CB182" w14:textId="209357C2" w:rsidR="00B650E5" w:rsidRDefault="00B650E5" w:rsidP="00227685">
      <w:pPr>
        <w:pStyle w:val="SRKNorm"/>
        <w:numPr>
          <w:ilvl w:val="0"/>
          <w:numId w:val="303"/>
        </w:numPr>
        <w:spacing w:before="120" w:after="120"/>
        <w:ind w:left="993" w:hanging="567"/>
      </w:pPr>
      <w:r>
        <w:t>Zákon č. 523/2004 Z. z. o rozpočtových pravidlách verejnej správy a o zmene a doplnení niektorých zákonov v znení neskorších predpisov (ďalej len ,,</w:t>
      </w:r>
      <w:r>
        <w:rPr>
          <w:b/>
          <w:i/>
        </w:rPr>
        <w:t>zákon o rozpočtových pravidlách“)</w:t>
      </w:r>
      <w:r>
        <w:t>;</w:t>
      </w:r>
    </w:p>
    <w:p w14:paraId="4FB29C4C" w14:textId="77777777" w:rsidR="00B650E5" w:rsidRDefault="00B650E5" w:rsidP="00227685">
      <w:pPr>
        <w:pStyle w:val="SRKNorm"/>
        <w:numPr>
          <w:ilvl w:val="0"/>
          <w:numId w:val="303"/>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14:paraId="1222E1CF" w14:textId="77777777" w:rsidR="00B650E5" w:rsidRDefault="00B650E5" w:rsidP="00227685">
      <w:pPr>
        <w:pStyle w:val="SRKNorm"/>
        <w:numPr>
          <w:ilvl w:val="0"/>
          <w:numId w:val="303"/>
        </w:numPr>
        <w:spacing w:before="120" w:after="120"/>
        <w:ind w:left="993" w:hanging="567"/>
      </w:pPr>
      <w:r>
        <w:t>Zákon č. 431/2002 Z. z. o účtovníctve v znení neskorších predpisov (ďalej len ,,</w:t>
      </w:r>
      <w:r>
        <w:rPr>
          <w:b/>
          <w:i/>
        </w:rPr>
        <w:t>zákon o účtovníctve</w:t>
      </w:r>
      <w:r>
        <w:t xml:space="preserve">“); </w:t>
      </w:r>
    </w:p>
    <w:p w14:paraId="5F3D7FA4" w14:textId="77777777" w:rsidR="00B650E5" w:rsidRDefault="00B650E5" w:rsidP="00227685">
      <w:pPr>
        <w:pStyle w:val="SRKNorm"/>
        <w:numPr>
          <w:ilvl w:val="0"/>
          <w:numId w:val="303"/>
        </w:numPr>
        <w:spacing w:before="120" w:after="120"/>
        <w:ind w:left="993" w:hanging="567"/>
      </w:pPr>
      <w:r>
        <w:t xml:space="preserve">Zákon č. </w:t>
      </w:r>
      <w:r w:rsidRPr="003120E4">
        <w:t>358/2015</w:t>
      </w:r>
      <w:r>
        <w:t xml:space="preserve"> Z. z. </w:t>
      </w:r>
      <w:r w:rsidRPr="009A7726">
        <w:t xml:space="preserve">o úprave niektorých vzťahov v oblasti štátnej pomoci a minimálnej pomoci a o zmene a doplnení niektorých zákonov </w:t>
      </w:r>
      <w:r w:rsidR="00841464">
        <w:t xml:space="preserve">(zákon o štátnej pomoci) </w:t>
      </w:r>
      <w:r w:rsidR="00EE5B21">
        <w:t xml:space="preserve">v znení neskorších predpisov </w:t>
      </w:r>
      <w:r>
        <w:t>(ďalej len ,,</w:t>
      </w:r>
      <w:r>
        <w:rPr>
          <w:b/>
          <w:i/>
        </w:rPr>
        <w:t>zákon o štátnej pomoci</w:t>
      </w:r>
      <w:r>
        <w:t xml:space="preserve">“); </w:t>
      </w:r>
    </w:p>
    <w:p w14:paraId="55568E51" w14:textId="77777777" w:rsidR="00B650E5" w:rsidRPr="00AB2E95" w:rsidRDefault="00B650E5" w:rsidP="00227685">
      <w:pPr>
        <w:pStyle w:val="Odsekzoznamu"/>
        <w:numPr>
          <w:ilvl w:val="0"/>
          <w:numId w:val="303"/>
        </w:numPr>
        <w:spacing w:before="120" w:after="120"/>
        <w:ind w:left="993" w:hanging="567"/>
        <w:contextualSpacing w:val="0"/>
        <w:jc w:val="both"/>
      </w:pPr>
      <w:r>
        <w:lastRenderedPageBreak/>
        <w:t>Zákon č. 343/2015 Z. z. o verejnom obstarávaní a o zmene a doplnení niektorých zákonov v znení neskorších predpisov (ďalej aj  „</w:t>
      </w:r>
      <w:r>
        <w:rPr>
          <w:b/>
          <w:i/>
        </w:rPr>
        <w:t>ZVO</w:t>
      </w:r>
      <w:r>
        <w:t>“);</w:t>
      </w:r>
    </w:p>
    <w:p w14:paraId="749EAE29" w14:textId="77777777" w:rsidR="00B650E5" w:rsidRDefault="00B650E5" w:rsidP="00227685">
      <w:pPr>
        <w:pStyle w:val="Odsekzoznamu"/>
        <w:numPr>
          <w:ilvl w:val="0"/>
          <w:numId w:val="303"/>
        </w:numPr>
        <w:spacing w:before="120" w:after="120"/>
        <w:ind w:left="993" w:hanging="567"/>
        <w:contextualSpacing w:val="0"/>
        <w:jc w:val="both"/>
      </w:pPr>
      <w:r>
        <w:t xml:space="preserve">Zákon č. 136/2001 Z. z. o ochrane hospodárskej súťaže a o zmene a doplnení zákona Slovenskej národnej rady č. 347/1990 Zb. o organizácii ministerstiev a ostatných ústredných orgánov štátnej správy Slovenskej republiky v znení neskorších predpisov (ďalej len </w:t>
      </w:r>
      <w:r>
        <w:rPr>
          <w:b/>
          <w:i/>
        </w:rPr>
        <w:t>„zákon o ochrane hospodárskej súťaže“</w:t>
      </w:r>
      <w:r>
        <w:t>);</w:t>
      </w:r>
    </w:p>
    <w:p w14:paraId="068C5AF3" w14:textId="77777777" w:rsidR="00B650E5" w:rsidRDefault="00B650E5" w:rsidP="00227685">
      <w:pPr>
        <w:pStyle w:val="Odsekzoznamu"/>
        <w:numPr>
          <w:ilvl w:val="0"/>
          <w:numId w:val="303"/>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14:paraId="5189E016" w14:textId="77777777" w:rsidR="00B650E5" w:rsidRDefault="00B650E5" w:rsidP="00227685">
      <w:pPr>
        <w:pStyle w:val="SRKNorm"/>
        <w:numPr>
          <w:ilvl w:val="0"/>
          <w:numId w:val="303"/>
        </w:numPr>
        <w:spacing w:before="120" w:after="120"/>
        <w:ind w:left="993" w:hanging="567"/>
      </w:pPr>
      <w:r>
        <w:t>Zákon č. 211/2000 Z. z. o slobodnom prístupe k informáciám a o zmene a doplnení niektorých zákonov v znení neskorších predpisov (ďalej len „</w:t>
      </w:r>
      <w:r>
        <w:rPr>
          <w:b/>
          <w:i/>
        </w:rPr>
        <w:t>zákon o slobode informácií</w:t>
      </w:r>
      <w:r>
        <w:t>“);</w:t>
      </w:r>
    </w:p>
    <w:p w14:paraId="31669498" w14:textId="77777777" w:rsidR="00B650E5" w:rsidRDefault="00B650E5" w:rsidP="00227685">
      <w:pPr>
        <w:pStyle w:val="Odsekzoznamu"/>
        <w:numPr>
          <w:ilvl w:val="0"/>
          <w:numId w:val="303"/>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14:paraId="475F5493" w14:textId="77777777" w:rsidR="00B650E5" w:rsidRDefault="00B650E5" w:rsidP="00227685">
      <w:pPr>
        <w:pStyle w:val="Odsekzoznamu"/>
        <w:numPr>
          <w:ilvl w:val="0"/>
          <w:numId w:val="303"/>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14:paraId="2F3C5E93" w14:textId="77777777" w:rsidR="00B650E5" w:rsidRDefault="00B650E5" w:rsidP="00227685">
      <w:pPr>
        <w:pStyle w:val="Odsekzoznamu"/>
        <w:numPr>
          <w:ilvl w:val="0"/>
          <w:numId w:val="303"/>
        </w:numPr>
        <w:spacing w:before="120" w:after="120"/>
        <w:ind w:left="993" w:hanging="567"/>
        <w:contextualSpacing w:val="0"/>
        <w:jc w:val="both"/>
      </w:pPr>
      <w:r>
        <w:t>Zákon č. 50/1976 Zb. o územnom plánovaní a stavebnom poriadku (stavebný zákon) v platnom znení</w:t>
      </w:r>
      <w:r>
        <w:rPr>
          <w:bCs/>
        </w:rPr>
        <w:t xml:space="preserve"> (ďalej len ,,</w:t>
      </w:r>
      <w:r>
        <w:rPr>
          <w:b/>
          <w:i/>
        </w:rPr>
        <w:t>stavebný zákon</w:t>
      </w:r>
      <w:r>
        <w:rPr>
          <w:bCs/>
        </w:rPr>
        <w:t>“) a súvisiaca legislatíva platná pre investičnú výstavbu v SR;</w:t>
      </w:r>
    </w:p>
    <w:p w14:paraId="3A04F8B5" w14:textId="77777777" w:rsidR="00B650E5" w:rsidRDefault="00B650E5" w:rsidP="00227685">
      <w:pPr>
        <w:pStyle w:val="Odsekzoznamu"/>
        <w:numPr>
          <w:ilvl w:val="0"/>
          <w:numId w:val="303"/>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14:paraId="6BC60048"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10/1996 Z. z. o kontrole v štátnej správe v znení neskorších predpisov;</w:t>
      </w:r>
    </w:p>
    <w:p w14:paraId="2605C3C4" w14:textId="77777777" w:rsidR="00B650E5" w:rsidRDefault="00B650E5" w:rsidP="00227685">
      <w:pPr>
        <w:pStyle w:val="Odsekzoznamu"/>
        <w:numPr>
          <w:ilvl w:val="0"/>
          <w:numId w:val="303"/>
        </w:numPr>
        <w:spacing w:before="120" w:after="120"/>
        <w:ind w:left="993" w:hanging="567"/>
        <w:contextualSpacing w:val="0"/>
        <w:jc w:val="both"/>
      </w:pPr>
      <w:r w:rsidRPr="00B31E33">
        <w:rPr>
          <w:bCs/>
        </w:rPr>
        <w:t>Zákon č. 39/1993 Z. z. o Najvyššom kontrolnom úrade Slovenskej republiky v znení neskorších predpisov;</w:t>
      </w:r>
    </w:p>
    <w:p w14:paraId="4634088D" w14:textId="77777777" w:rsidR="00B650E5" w:rsidRDefault="00B650E5" w:rsidP="00227685">
      <w:pPr>
        <w:pStyle w:val="Odsekzoznamu"/>
        <w:numPr>
          <w:ilvl w:val="0"/>
          <w:numId w:val="303"/>
        </w:numPr>
        <w:spacing w:before="120" w:after="120"/>
        <w:ind w:left="993" w:hanging="567"/>
        <w:contextualSpacing w:val="0"/>
        <w:jc w:val="both"/>
      </w:pPr>
      <w:r>
        <w:rPr>
          <w:bCs/>
        </w:rPr>
        <w:t>Zákon č. 91/2016 Z. z. o trestnej zodpovednosti právnických osôb a o zmene a doplnení niektorých zákonov</w:t>
      </w:r>
      <w:r w:rsidR="00EE5B21">
        <w:rPr>
          <w:bCs/>
        </w:rPr>
        <w:t xml:space="preserve"> </w:t>
      </w:r>
      <w:r w:rsidR="00EE5B21">
        <w:t>v znení neskorších predpisov</w:t>
      </w:r>
      <w:r>
        <w:rPr>
          <w:bCs/>
        </w:rPr>
        <w:t>;</w:t>
      </w:r>
    </w:p>
    <w:p w14:paraId="5538D499"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369/1990 Zb. o obecnom zriadení v znení neskorších predpisov;</w:t>
      </w:r>
    </w:p>
    <w:p w14:paraId="0040E773"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302/2001 Z. z. o samospráve vyšších územných celkov (zákon o samosprávnych krajoch) v znení neskorších predpisov (ďalej aj „</w:t>
      </w:r>
      <w:r>
        <w:rPr>
          <w:b/>
          <w:bCs/>
          <w:i/>
        </w:rPr>
        <w:t>zákon o samosprávnych krajoch</w:t>
      </w:r>
      <w:r>
        <w:rPr>
          <w:bCs/>
        </w:rPr>
        <w:t>“);</w:t>
      </w:r>
    </w:p>
    <w:p w14:paraId="54FBCF8A"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539/2008 Z. z. o podpore regionálneho rozvoja </w:t>
      </w:r>
      <w:r w:rsidR="00EE5B21">
        <w:t>v znení neskorších predpisov</w:t>
      </w:r>
      <w:r w:rsidR="00EE5B21">
        <w:rPr>
          <w:bCs/>
        </w:rPr>
        <w:t xml:space="preserve"> </w:t>
      </w:r>
      <w:r>
        <w:rPr>
          <w:bCs/>
        </w:rPr>
        <w:t>(ďalej len ,,</w:t>
      </w:r>
      <w:r>
        <w:rPr>
          <w:b/>
          <w:bCs/>
          <w:i/>
        </w:rPr>
        <w:t>zákon o podpore regionálneho rozvoja</w:t>
      </w:r>
      <w:r>
        <w:rPr>
          <w:bCs/>
        </w:rPr>
        <w:t xml:space="preserve">“); </w:t>
      </w:r>
    </w:p>
    <w:p w14:paraId="5B55B3C7"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291/2002 Z. z. o Štátnej pokladnici a o zmene a doplnení niektorých zákonov v znení neskorších predpisov; </w:t>
      </w:r>
    </w:p>
    <w:p w14:paraId="01DECEEF" w14:textId="77777777" w:rsidR="00B650E5" w:rsidRDefault="00B650E5" w:rsidP="00227685">
      <w:pPr>
        <w:pStyle w:val="Odsekzoznamu"/>
        <w:numPr>
          <w:ilvl w:val="0"/>
          <w:numId w:val="303"/>
        </w:numPr>
        <w:spacing w:before="120" w:after="120"/>
        <w:ind w:left="993" w:hanging="567"/>
        <w:contextualSpacing w:val="0"/>
        <w:jc w:val="both"/>
      </w:pPr>
      <w:r>
        <w:rPr>
          <w:bCs/>
        </w:rPr>
        <w:t>Zákon č. 563/2009 Z. z o správe daní (daňový poriadok) a o zmene a doplnení niektorých zákonov</w:t>
      </w:r>
      <w:r w:rsidR="001D1450">
        <w:rPr>
          <w:bCs/>
        </w:rPr>
        <w:t xml:space="preserve"> </w:t>
      </w:r>
      <w:r w:rsidR="005224E2">
        <w:rPr>
          <w:bCs/>
        </w:rPr>
        <w:t xml:space="preserve">v znení neskorších predpisov </w:t>
      </w:r>
      <w:r w:rsidR="001D1450">
        <w:rPr>
          <w:bCs/>
        </w:rPr>
        <w:t>(ďalej len ,,</w:t>
      </w:r>
      <w:r w:rsidR="001D1450" w:rsidRPr="00997CB0">
        <w:rPr>
          <w:b/>
          <w:bCs/>
        </w:rPr>
        <w:t>daňový poriadok</w:t>
      </w:r>
      <w:r w:rsidR="001D1450">
        <w:rPr>
          <w:bCs/>
        </w:rPr>
        <w:t>“)</w:t>
      </w:r>
      <w:r>
        <w:rPr>
          <w:bCs/>
        </w:rPr>
        <w:t>;</w:t>
      </w:r>
    </w:p>
    <w:p w14:paraId="5BB5610B" w14:textId="77777777" w:rsidR="00B650E5" w:rsidRDefault="00B650E5" w:rsidP="00227685">
      <w:pPr>
        <w:pStyle w:val="Odsekzoznamu"/>
        <w:numPr>
          <w:ilvl w:val="0"/>
          <w:numId w:val="303"/>
        </w:numPr>
        <w:spacing w:before="120" w:after="120"/>
        <w:ind w:left="993" w:hanging="567"/>
        <w:contextualSpacing w:val="0"/>
        <w:jc w:val="both"/>
      </w:pPr>
      <w:r>
        <w:t>Zákon č. 595/2003 Z. z. o dani z príjmov v znení neskorších predpisov;</w:t>
      </w:r>
    </w:p>
    <w:p w14:paraId="5858C202" w14:textId="73D91C07" w:rsidR="00B650E5" w:rsidRDefault="00B650E5" w:rsidP="00227685">
      <w:pPr>
        <w:pStyle w:val="Odsekzoznamu"/>
        <w:numPr>
          <w:ilvl w:val="0"/>
          <w:numId w:val="303"/>
        </w:numPr>
        <w:spacing w:before="120" w:after="120"/>
        <w:ind w:left="993" w:hanging="567"/>
        <w:contextualSpacing w:val="0"/>
        <w:jc w:val="both"/>
      </w:pPr>
      <w:r>
        <w:rPr>
          <w:bCs/>
        </w:rPr>
        <w:t xml:space="preserve">Zákon č. 9/2010 Z. z. o sťažnostiach v znení </w:t>
      </w:r>
      <w:r w:rsidR="00A4267B">
        <w:rPr>
          <w:bCs/>
        </w:rPr>
        <w:t xml:space="preserve"> </w:t>
      </w:r>
      <w:r>
        <w:rPr>
          <w:bCs/>
        </w:rPr>
        <w:t xml:space="preserve">neskorších predpisov (ďalej len </w:t>
      </w:r>
      <w:r w:rsidRPr="00DE5D89">
        <w:rPr>
          <w:b/>
          <w:bCs/>
          <w:i/>
        </w:rPr>
        <w:t>,,zákon o sťažnostiach“</w:t>
      </w:r>
      <w:r w:rsidRPr="00DE5D89">
        <w:rPr>
          <w:bCs/>
        </w:rPr>
        <w:t>)</w:t>
      </w:r>
      <w:r>
        <w:rPr>
          <w:bCs/>
        </w:rPr>
        <w:t>;</w:t>
      </w:r>
      <w:r>
        <w:t xml:space="preserve"> </w:t>
      </w:r>
    </w:p>
    <w:p w14:paraId="60179D7E"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138/1991 Zb. o majetku obcí v znení neskorších predpisov; </w:t>
      </w:r>
    </w:p>
    <w:p w14:paraId="0501D1A7"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446/2001 Z. z. o majetku vyšších územných celkov v znení neskorších predpisov; </w:t>
      </w:r>
    </w:p>
    <w:p w14:paraId="31D4B635"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122/2013 Z. z. o ochrane osobných údajov a o zmene a doplnení niektorých zákonov v znení zákona č. 84/2014 Z.</w:t>
      </w:r>
      <w:r w:rsidR="00A4267B">
        <w:rPr>
          <w:bCs/>
        </w:rPr>
        <w:t xml:space="preserve"> </w:t>
      </w:r>
      <w:r>
        <w:rPr>
          <w:bCs/>
        </w:rPr>
        <w:t>z. (ďalej len ,,</w:t>
      </w:r>
      <w:r>
        <w:rPr>
          <w:b/>
          <w:bCs/>
          <w:i/>
        </w:rPr>
        <w:t>zákon o ochrane osobných údajov</w:t>
      </w:r>
      <w:r>
        <w:rPr>
          <w:bCs/>
        </w:rPr>
        <w:t>“);</w:t>
      </w:r>
    </w:p>
    <w:p w14:paraId="485ECE1E" w14:textId="77777777" w:rsidR="00B650E5" w:rsidRDefault="00B650E5" w:rsidP="00227685">
      <w:pPr>
        <w:pStyle w:val="Odsekzoznamu"/>
        <w:numPr>
          <w:ilvl w:val="0"/>
          <w:numId w:val="303"/>
        </w:numPr>
        <w:spacing w:before="120" w:after="120"/>
        <w:ind w:left="993" w:hanging="567"/>
        <w:contextualSpacing w:val="0"/>
        <w:jc w:val="both"/>
      </w:pPr>
      <w:r>
        <w:rPr>
          <w:bCs/>
        </w:rPr>
        <w:lastRenderedPageBreak/>
        <w:t xml:space="preserve">Zákon č. 305/2013 Z. z. o elektronickej podobe výkonu pôsobnosti orgánov verejnej moci a o zmene a doplnení niektorých zákonov </w:t>
      </w:r>
      <w:r w:rsidR="008E01DC">
        <w:rPr>
          <w:bCs/>
        </w:rPr>
        <w:t xml:space="preserve">(zákon o e-Governmente) </w:t>
      </w:r>
      <w:r w:rsidR="00EE5B21">
        <w:t>v znení neskorších predpisov</w:t>
      </w:r>
      <w:r w:rsidR="00EE5B21">
        <w:rPr>
          <w:bCs/>
        </w:rPr>
        <w:t xml:space="preserve"> </w:t>
      </w:r>
      <w:r>
        <w:rPr>
          <w:bCs/>
        </w:rPr>
        <w:t>(</w:t>
      </w:r>
      <w:r w:rsidRPr="00505C3A">
        <w:rPr>
          <w:bCs/>
        </w:rPr>
        <w:t xml:space="preserve">ďalej len </w:t>
      </w:r>
      <w:r>
        <w:rPr>
          <w:bCs/>
        </w:rPr>
        <w:t>„</w:t>
      </w:r>
      <w:r w:rsidRPr="003120E4">
        <w:rPr>
          <w:b/>
          <w:bCs/>
          <w:i/>
        </w:rPr>
        <w:t>zákon o e-Governmente</w:t>
      </w:r>
      <w:r>
        <w:rPr>
          <w:bCs/>
        </w:rPr>
        <w:t>“);</w:t>
      </w:r>
    </w:p>
    <w:p w14:paraId="78163DF2"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275/2006 Z. z. o informačných systémoch verejnej správy a o zmene a doplnení niektorých zákonov v znení neskorších predpisov; </w:t>
      </w:r>
    </w:p>
    <w:p w14:paraId="08536015" w14:textId="6B154016" w:rsidR="00B650E5" w:rsidRDefault="00B650E5" w:rsidP="00227685">
      <w:pPr>
        <w:pStyle w:val="Odsekzoznamu"/>
        <w:numPr>
          <w:ilvl w:val="0"/>
          <w:numId w:val="303"/>
        </w:numPr>
        <w:spacing w:before="120" w:after="120"/>
        <w:ind w:left="993" w:hanging="567"/>
        <w:contextualSpacing w:val="0"/>
        <w:jc w:val="both"/>
      </w:pPr>
      <w:r>
        <w:rPr>
          <w:bCs/>
        </w:rPr>
        <w:t>Zákon č. 365/2004 Z. z. o rovnakom zaobchádzaní v niektorých oblastiach a o ochrane pred</w:t>
      </w:r>
      <w:r w:rsidR="00486158">
        <w:rPr>
          <w:bCs/>
        </w:rPr>
        <w:t> </w:t>
      </w:r>
      <w:r>
        <w:rPr>
          <w:bCs/>
        </w:rPr>
        <w:t>diskrimináciou a o zmene a doplnení niektorých zákonov v znení neskorších predpisov (ďalej aj „</w:t>
      </w:r>
      <w:r>
        <w:rPr>
          <w:b/>
          <w:bCs/>
          <w:i/>
        </w:rPr>
        <w:t>antidiskriminačný zákon</w:t>
      </w:r>
      <w:r>
        <w:rPr>
          <w:bCs/>
        </w:rPr>
        <w:t>“);</w:t>
      </w:r>
    </w:p>
    <w:p w14:paraId="0199C027"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283/2002 Z. z. o cestovných náhradách v znení neskorších predpisov;</w:t>
      </w:r>
    </w:p>
    <w:p w14:paraId="026D4654"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254/1998 Z. z. o verejných prácach v znení neskorších predpisov;</w:t>
      </w:r>
    </w:p>
    <w:p w14:paraId="352FB3CC"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14:paraId="02116FB1" w14:textId="77777777" w:rsidR="00B650E5" w:rsidRDefault="00B650E5" w:rsidP="00227685">
      <w:pPr>
        <w:pStyle w:val="Odsekzoznamu"/>
        <w:numPr>
          <w:ilvl w:val="0"/>
          <w:numId w:val="303"/>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14:paraId="71F68492" w14:textId="77777777" w:rsidR="00B650E5" w:rsidRPr="000E286B" w:rsidRDefault="00B650E5" w:rsidP="00227685">
      <w:pPr>
        <w:pStyle w:val="Odsekzoznamu"/>
        <w:numPr>
          <w:ilvl w:val="0"/>
          <w:numId w:val="303"/>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14:paraId="1948BE22" w14:textId="77777777" w:rsidR="00B650E5" w:rsidRDefault="00B650E5" w:rsidP="00227685">
      <w:pPr>
        <w:pStyle w:val="Odsekzoznamu"/>
        <w:numPr>
          <w:ilvl w:val="0"/>
          <w:numId w:val="303"/>
        </w:numPr>
        <w:spacing w:before="120" w:after="120"/>
        <w:ind w:left="993" w:hanging="567"/>
        <w:contextualSpacing w:val="0"/>
        <w:jc w:val="both"/>
      </w:pPr>
      <w:r>
        <w:t xml:space="preserve">Zákon č. 543/2002 Z. z. </w:t>
      </w:r>
      <w:r w:rsidRPr="003B54B9">
        <w:t>o ochrane prírody a</w:t>
      </w:r>
      <w:r>
        <w:t> </w:t>
      </w:r>
      <w:r w:rsidRPr="003B54B9">
        <w:t>krajiny</w:t>
      </w:r>
      <w:r>
        <w:t xml:space="preserve"> v znení neskorších predpisov (ďalej len </w:t>
      </w:r>
      <w:r w:rsidRPr="001C792C">
        <w:t>,,</w:t>
      </w:r>
      <w:r w:rsidRPr="000E286B">
        <w:rPr>
          <w:b/>
        </w:rPr>
        <w:t>zákon o ochrane prírody a krajiny</w:t>
      </w:r>
      <w:r w:rsidRPr="001C792C">
        <w:t>“)</w:t>
      </w:r>
      <w:r>
        <w:t>;</w:t>
      </w:r>
    </w:p>
    <w:p w14:paraId="16B2CC23" w14:textId="77777777" w:rsidR="00B650E5" w:rsidRPr="000E286B" w:rsidRDefault="00B650E5" w:rsidP="00227685">
      <w:pPr>
        <w:pStyle w:val="Odsekzoznamu"/>
        <w:numPr>
          <w:ilvl w:val="0"/>
          <w:numId w:val="303"/>
        </w:numPr>
        <w:spacing w:before="120" w:after="120"/>
        <w:ind w:left="993" w:hanging="567"/>
        <w:contextualSpacing w:val="0"/>
        <w:jc w:val="both"/>
      </w:pPr>
      <w:r w:rsidRPr="00B24B22">
        <w:t xml:space="preserve">Zákon č. </w:t>
      </w:r>
      <w:r w:rsidRPr="00D76084">
        <w:t>315/2016 Z. z. o registri partnerov verejného sektora a o zmene a doplnení niektorých zákonov</w:t>
      </w:r>
      <w:r>
        <w:t xml:space="preserve"> </w:t>
      </w:r>
      <w:r w:rsidR="00EE5B21">
        <w:t xml:space="preserve">v znení neskorších predpisov </w:t>
      </w:r>
      <w:r>
        <w:t xml:space="preserve">(ďalej len </w:t>
      </w:r>
      <w:r w:rsidRPr="001C792C">
        <w:t>,,</w:t>
      </w:r>
      <w:r w:rsidRPr="000E286B">
        <w:rPr>
          <w:b/>
        </w:rPr>
        <w:t>zákon o</w:t>
      </w:r>
      <w:r>
        <w:rPr>
          <w:b/>
        </w:rPr>
        <w:t> registri partnerov verejného sektora</w:t>
      </w:r>
      <w:r w:rsidRPr="001C792C">
        <w:t>“)</w:t>
      </w:r>
      <w:r w:rsidR="008452CB">
        <w:t>;</w:t>
      </w:r>
    </w:p>
    <w:p w14:paraId="644E0D84" w14:textId="29487C76" w:rsidR="00B650E5" w:rsidRPr="00997CB0" w:rsidRDefault="00B650E5" w:rsidP="00227685">
      <w:pPr>
        <w:pStyle w:val="Odsekzoznamu"/>
        <w:numPr>
          <w:ilvl w:val="0"/>
          <w:numId w:val="303"/>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r w:rsidR="008452CB">
        <w:rPr>
          <w:rFonts w:cs="Arial"/>
          <w:color w:val="000000"/>
          <w:szCs w:val="20"/>
        </w:rPr>
        <w:t>;</w:t>
      </w:r>
    </w:p>
    <w:p w14:paraId="216960A4" w14:textId="77777777" w:rsidR="008452CB" w:rsidRPr="00997CB0" w:rsidRDefault="008452CB"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t xml:space="preserve">Zákon č. 374/2014 Z. z. </w:t>
      </w:r>
      <w:r w:rsidRPr="00997CB0">
        <w:rPr>
          <w:rFonts w:cs="Arial"/>
          <w:color w:val="000000"/>
          <w:szCs w:val="20"/>
        </w:rPr>
        <w:t>o pohľadávkach štátu a o zmene a doplnení niektorých zákonov</w:t>
      </w:r>
      <w:r>
        <w:rPr>
          <w:rFonts w:cs="Arial"/>
          <w:color w:val="000000"/>
          <w:szCs w:val="20"/>
        </w:rPr>
        <w:t xml:space="preserve"> v znení neskorších predpisov.</w:t>
      </w:r>
    </w:p>
    <w:p w14:paraId="62AD2554" w14:textId="77777777" w:rsidR="00B650E5" w:rsidRDefault="00B650E5">
      <w:pPr>
        <w:pStyle w:val="SRK2"/>
      </w:pPr>
      <w:bookmarkStart w:id="16" w:name="_Toc453233937"/>
      <w:bookmarkStart w:id="17" w:name="_Toc495649295"/>
      <w:bookmarkStart w:id="18" w:name="kapitola_12"/>
      <w:r>
        <w:t xml:space="preserve">1.2 </w:t>
      </w:r>
      <w:bookmarkEnd w:id="15"/>
      <w:r>
        <w:t>Základné ustanovenia a rozsah aplikácie</w:t>
      </w:r>
      <w:bookmarkEnd w:id="16"/>
      <w:bookmarkEnd w:id="17"/>
    </w:p>
    <w:bookmarkEnd w:id="18"/>
    <w:p w14:paraId="277DF8B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26BC096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a 2 všeobecného nariadenia</w:t>
      </w:r>
    </w:p>
    <w:p w14:paraId="16C0BA3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AB479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 a 3 zákona o príspevku z EŠIF</w:t>
      </w:r>
    </w:p>
    <w:p w14:paraId="78AB621D" w14:textId="523333C2" w:rsidR="00B650E5" w:rsidRDefault="00B650E5">
      <w:pPr>
        <w:pStyle w:val="Odsekzoznamu"/>
        <w:numPr>
          <w:ilvl w:val="0"/>
          <w:numId w:val="329"/>
        </w:numPr>
        <w:spacing w:before="120" w:after="120"/>
        <w:ind w:left="426" w:hanging="426"/>
        <w:contextualSpacing w:val="0"/>
        <w:jc w:val="both"/>
      </w:pPr>
      <w:bookmarkStart w:id="19" w:name="_Toc378947472"/>
      <w:r>
        <w:t>Systém riadenia EŠIF upravuje spoločné pravidlá aplikovateľné na všetky EŠIF rešpektujúc osobitosti, ktoré sa týkajú poskytovania príspevkov v rámci niektorých OP. Vzhľadom na</w:t>
      </w:r>
      <w:r w:rsidR="00486158">
        <w:t> </w:t>
      </w:r>
      <w:r>
        <w:t>uvedené sa Systém riadenia EŠIF vzťahuje vo svojich častiach na jednotlivé EŠIF nasledovne:</w:t>
      </w:r>
    </w:p>
    <w:p w14:paraId="61DFF522" w14:textId="77777777" w:rsidR="00B650E5" w:rsidRDefault="00B650E5">
      <w:pPr>
        <w:pStyle w:val="Odsekzoznamu"/>
        <w:numPr>
          <w:ilvl w:val="1"/>
          <w:numId w:val="337"/>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14:paraId="67CC0A44"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14:paraId="19B2C8A5" w14:textId="77777777" w:rsidR="00B650E5" w:rsidRDefault="00B650E5">
      <w:pPr>
        <w:pStyle w:val="Odsekzoznamu"/>
        <w:numPr>
          <w:ilvl w:val="1"/>
          <w:numId w:val="337"/>
        </w:numPr>
        <w:spacing w:before="120" w:after="120"/>
        <w:ind w:left="851" w:hanging="425"/>
        <w:contextualSpacing w:val="0"/>
        <w:jc w:val="both"/>
      </w:pPr>
      <w:r>
        <w:lastRenderedPageBreak/>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14:paraId="7AC811AB"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 a povinností vo vzťahu k Pracovnej komisii pre koordináciu a zabezpečenie synergických účinkov medzi EŠIF a ostatnými nástrojmi podpory Únie a SR; v týchto častiach sa pod pojem ,,operačný program“ zahŕňa aj program rozvoja vidieka (ďalej len ,,PRV“).</w:t>
      </w:r>
    </w:p>
    <w:p w14:paraId="685AC202" w14:textId="77777777" w:rsidR="00B650E5" w:rsidRPr="00172982" w:rsidRDefault="00B650E5">
      <w:pPr>
        <w:pStyle w:val="Odsekzoznamu"/>
        <w:numPr>
          <w:ilvl w:val="0"/>
          <w:numId w:val="329"/>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14:paraId="7CD1AE59" w14:textId="77777777" w:rsidR="00B650E5" w:rsidRPr="009078F6" w:rsidRDefault="00B650E5">
      <w:pPr>
        <w:pStyle w:val="Odsekzoznamu"/>
        <w:numPr>
          <w:ilvl w:val="0"/>
          <w:numId w:val="329"/>
        </w:numPr>
        <w:spacing w:before="120" w:after="120"/>
        <w:ind w:left="426" w:hanging="426"/>
        <w:contextualSpacing w:val="0"/>
        <w:jc w:val="both"/>
      </w:pPr>
      <w:bookmarkStart w:id="20" w:name="kapitola_12_ods_3"/>
      <w:r w:rsidRPr="00172982">
        <w:t>Za účelom efektívnej úpravy vybraných otázok implementácie EŠIF je CKO</w:t>
      </w:r>
      <w:r w:rsidRPr="00DE5D89">
        <w:t xml:space="preserve"> </w:t>
      </w:r>
      <w:r>
        <w:t>a ÚV SR</w:t>
      </w:r>
      <w:r w:rsidRPr="00DE5D89">
        <w:t xml:space="preserve">  </w:t>
      </w:r>
      <w:r w:rsidRPr="009078F6">
        <w:t>oprávnený vydávať:</w:t>
      </w:r>
    </w:p>
    <w:p w14:paraId="131A948E" w14:textId="77777777" w:rsidR="00B650E5" w:rsidRDefault="00B650E5">
      <w:pPr>
        <w:pStyle w:val="Odsekzoznamu"/>
        <w:numPr>
          <w:ilvl w:val="1"/>
          <w:numId w:val="338"/>
        </w:numPr>
        <w:spacing w:before="120" w:after="120"/>
        <w:ind w:left="851" w:hanging="425"/>
        <w:contextualSpacing w:val="0"/>
        <w:jc w:val="both"/>
      </w:pPr>
      <w:bookmarkStart w:id="21" w:name="kapitola_12_ods_3_ac"/>
      <w:r>
        <w:rPr>
          <w:b/>
          <w:i/>
        </w:rPr>
        <w:t>vzory</w:t>
      </w:r>
      <w:r>
        <w:t xml:space="preserve"> formulárov, výstupov a vstupov v rámci jednotlivých procesov (CKO/ÚV SR je oprávnený vydať vzor podľa tohto písmena aj v prípade, ak jeho potrebu identifikuje, napr. z podnetov v rámci procesu implementácie, pričom odkaz na konkrétny vzor nemusí byť priamo súčasťou Systému riadenia EŠIF);</w:t>
      </w:r>
    </w:p>
    <w:p w14:paraId="7DC1C7C0" w14:textId="77777777" w:rsidR="00B650E5" w:rsidRDefault="00B650E5">
      <w:pPr>
        <w:pStyle w:val="Odsekzoznamu"/>
        <w:numPr>
          <w:ilvl w:val="1"/>
          <w:numId w:val="338"/>
        </w:numPr>
        <w:spacing w:before="120" w:after="120"/>
        <w:ind w:left="851" w:hanging="425"/>
        <w:contextualSpacing w:val="0"/>
        <w:jc w:val="both"/>
      </w:pPr>
      <w:r>
        <w:rPr>
          <w:b/>
          <w:i/>
        </w:rPr>
        <w:t>metodické pokyny</w:t>
      </w:r>
      <w:r>
        <w:t xml:space="preserve"> upravujúce jednu alebo viacero vecne príbuzných oblastí implementácie EŠIF;</w:t>
      </w:r>
    </w:p>
    <w:p w14:paraId="0E190B7C" w14:textId="77777777" w:rsidR="00B650E5" w:rsidRDefault="00B650E5">
      <w:pPr>
        <w:pStyle w:val="Odsekzoznamu"/>
        <w:numPr>
          <w:ilvl w:val="1"/>
          <w:numId w:val="338"/>
        </w:numPr>
        <w:spacing w:before="120" w:after="120"/>
        <w:ind w:left="851" w:hanging="425"/>
        <w:contextualSpacing w:val="0"/>
        <w:jc w:val="both"/>
      </w:pPr>
      <w:r>
        <w:rPr>
          <w:b/>
          <w:i/>
        </w:rPr>
        <w:t>metodické výklady</w:t>
      </w:r>
      <w:r>
        <w:t>, ktoré bližšie popisujú a vysvetľujú aplikáciu konkrétnych ustanovení Systému riadenia EŠIF najmä v nadväznosti na potreby implementačnej praxe;</w:t>
      </w:r>
    </w:p>
    <w:bookmarkEnd w:id="21"/>
    <w:p w14:paraId="71DA5BE7" w14:textId="11556DC6" w:rsidR="00B650E5" w:rsidRDefault="00B650E5">
      <w:pPr>
        <w:pStyle w:val="Odsekzoznamu"/>
        <w:numPr>
          <w:ilvl w:val="1"/>
          <w:numId w:val="338"/>
        </w:numPr>
        <w:spacing w:before="120" w:after="120"/>
        <w:ind w:left="851" w:hanging="425"/>
        <w:contextualSpacing w:val="0"/>
        <w:jc w:val="both"/>
      </w:pPr>
      <w:r>
        <w:rPr>
          <w:b/>
          <w:i/>
        </w:rPr>
        <w:t>výnimky zo Systému riadenia EŠIF</w:t>
      </w:r>
      <w:r>
        <w:t xml:space="preserve"> a dokumentov vydávaných v súlade so Systémom riadenia EŠIF</w:t>
      </w:r>
      <w:r w:rsidR="006F3B93">
        <w:t xml:space="preserve">, </w:t>
      </w:r>
      <w:r>
        <w:t>a to na základe oprávnených a riadne odôvodnených žiadostí subjektov zapojených do implementácie EŠIF;</w:t>
      </w:r>
    </w:p>
    <w:p w14:paraId="61048E2C" w14:textId="77777777" w:rsidR="00B650E5" w:rsidRPr="00E03F5A" w:rsidRDefault="00B650E5" w:rsidP="00E03F5A">
      <w:pPr>
        <w:pStyle w:val="Odsekzoznamu"/>
        <w:numPr>
          <w:ilvl w:val="1"/>
          <w:numId w:val="338"/>
        </w:numPr>
        <w:spacing w:before="120" w:after="120"/>
        <w:ind w:left="851" w:hanging="425"/>
        <w:contextualSpacing w:val="0"/>
        <w:jc w:val="both"/>
        <w:rPr>
          <w:b/>
          <w:i/>
        </w:rPr>
      </w:pPr>
      <w:r w:rsidRPr="00E03F5A">
        <w:rPr>
          <w:b/>
          <w:i/>
        </w:rPr>
        <w:t xml:space="preserve">Manuál k ITMS 2014+ </w:t>
      </w:r>
      <w:r w:rsidRPr="00E03F5A">
        <w:t>a manuály k súvisiacim informačným systémom vrátane ich zmien/aktualizáci</w:t>
      </w:r>
      <w:r>
        <w:t>í.</w:t>
      </w:r>
    </w:p>
    <w:p w14:paraId="06CF2580" w14:textId="77777777" w:rsidR="00B650E5" w:rsidRDefault="00B650E5">
      <w:pPr>
        <w:spacing w:before="120" w:after="120"/>
        <w:ind w:left="426"/>
        <w:jc w:val="both"/>
      </w:pPr>
      <w:r>
        <w:t xml:space="preserve">Dokumenty vydávané podľa </w:t>
      </w:r>
      <w:hyperlink w:anchor="kapitola_12_ods_3_ac" w:tooltip="ods. 3 písm. a) až c)" w:history="1">
        <w:r>
          <w:rPr>
            <w:rStyle w:val="Hypertextovprepojenie"/>
          </w:rPr>
          <w:t>ods. 3 písm. a) až c)</w:t>
        </w:r>
      </w:hyperlink>
      <w:r>
        <w:t xml:space="preserve"> podliehajú pri ich vydávaní a zmenách pravidlám, ktoré sú totožné s výkonom aktualizácie Systému riadenia EŠIF, </w:t>
      </w:r>
      <w:r w:rsidR="00C93F30">
        <w:t xml:space="preserve">t. j. </w:t>
      </w:r>
      <w:r>
        <w:t xml:space="preserve"> podliehajú pripomienkovému konaniu. 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r w:rsidRPr="009078F6">
        <w:t xml:space="preserve"> zverejňuje CKO na webovom sídle</w:t>
      </w:r>
      <w:r>
        <w:t xml:space="preserve"> </w:t>
      </w:r>
      <w:hyperlink r:id="rId11" w:history="1">
        <w:r w:rsidRPr="00FA1E63">
          <w:rPr>
            <w:rStyle w:val="Hypertextovprepojenie"/>
          </w:rPr>
          <w:t>www.partnerskadohoda.gov.sk</w:t>
        </w:r>
      </w:hyperlink>
      <w:r w:rsidRPr="009078F6">
        <w:t>.</w:t>
      </w:r>
    </w:p>
    <w:bookmarkEnd w:id="20"/>
    <w:p w14:paraId="53DE481C" w14:textId="77777777" w:rsidR="00B650E5" w:rsidRDefault="00B650E5">
      <w:pPr>
        <w:spacing w:before="120" w:after="120"/>
        <w:ind w:left="426"/>
        <w:jc w:val="both"/>
      </w:pPr>
      <w:r>
        <w:t xml:space="preserve">Pre vybrané oblasti Systému riadenia EŠIF (Informovanie a komunikácia; Administratívne kapacity subjektov, zapojených do implementácie, riadenia a kontroly EŠIF, vrátane ich vzdelávania) vydáva dokumenty podľa </w:t>
      </w:r>
      <w:hyperlink w:anchor="kapitola_12_ods_3_ac" w:tooltip="ods. 3 písm. a) až c)" w:history="1">
        <w:r>
          <w:rPr>
            <w:rStyle w:val="Hypertextovprepojenie"/>
          </w:rPr>
          <w:t>ods. 3 písm. a) až d)</w:t>
        </w:r>
      </w:hyperlink>
      <w:r w:rsidRPr="001D5DF8">
        <w:t xml:space="preserve"> </w:t>
      </w:r>
      <w:r>
        <w:t>ÚV SR</w:t>
      </w:r>
      <w:r>
        <w:rPr>
          <w:rStyle w:val="Odkaznapoznmkupodiarou"/>
        </w:rPr>
        <w:footnoteReference w:id="2"/>
      </w:r>
      <w:r>
        <w:t>.</w:t>
      </w:r>
    </w:p>
    <w:p w14:paraId="1181453F" w14:textId="156105AC" w:rsidR="00B650E5" w:rsidRDefault="00B650E5">
      <w:pPr>
        <w:pStyle w:val="Odsekzoznamu"/>
        <w:numPr>
          <w:ilvl w:val="0"/>
          <w:numId w:val="329"/>
        </w:numPr>
        <w:spacing w:before="120" w:after="120"/>
        <w:ind w:left="426" w:hanging="426"/>
        <w:contextualSpacing w:val="0"/>
        <w:jc w:val="both"/>
      </w:pPr>
      <w:r>
        <w:lastRenderedPageBreak/>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w:t>
      </w:r>
      <w:r w:rsidR="00486158">
        <w:t> </w:t>
      </w:r>
      <w:r>
        <w:t>implementácie EŠIF.</w:t>
      </w:r>
    </w:p>
    <w:p w14:paraId="274A4B05" w14:textId="77777777" w:rsidR="00B650E5" w:rsidRDefault="00B650E5">
      <w:pPr>
        <w:pStyle w:val="Odsekzoznamu"/>
        <w:numPr>
          <w:ilvl w:val="0"/>
          <w:numId w:val="329"/>
        </w:numPr>
        <w:spacing w:before="120" w:after="120"/>
        <w:ind w:left="426" w:hanging="426"/>
        <w:contextualSpacing w:val="0"/>
        <w:jc w:val="both"/>
      </w:pPr>
      <w:r w:rsidRPr="00F54043">
        <w:t xml:space="preserve">Lehota na zapracovanie zmien vyplývajúcich z novej verzie Systému riadenia EŠIF je 30 pracovných dní od účinnosti </w:t>
      </w:r>
      <w:r>
        <w:t>novej verzie</w:t>
      </w:r>
      <w:r w:rsidRPr="00F54043">
        <w:t xml:space="preserve"> Systému riadenia EŠIF.</w:t>
      </w:r>
      <w:r>
        <w:t xml:space="preserve"> Lehota na zapracovanie zmien, ktoré podliehajú schváleniu monitorovacím výborom je 60 pracovných dní od účinnosti novej verzie Systému riadenia EŠIF, pokiaľ nie je priamo v texte Systému riadenia EŠIF stanovený iný termín. </w:t>
      </w:r>
    </w:p>
    <w:p w14:paraId="682CBD14" w14:textId="1380A5BE" w:rsidR="00B650E5" w:rsidRDefault="00B650E5">
      <w:pPr>
        <w:pStyle w:val="Odsekzoznamu"/>
        <w:numPr>
          <w:ilvl w:val="0"/>
          <w:numId w:val="329"/>
        </w:numPr>
        <w:spacing w:before="120" w:after="120"/>
        <w:ind w:left="426" w:hanging="426"/>
        <w:contextualSpacing w:val="0"/>
        <w:jc w:val="both"/>
      </w:pPr>
      <w:r>
        <w:t>Nadobudnutím účinnosti verzie č. 5 Systému riadenia EŠIF sa ruší metodický výklad CKO č. 2 k</w:t>
      </w:r>
      <w:r w:rsidR="000141F4">
        <w:t> </w:t>
      </w:r>
      <w:r>
        <w:t>p</w:t>
      </w:r>
      <w:r w:rsidRPr="00113AA3">
        <w:t xml:space="preserve">ostupu </w:t>
      </w:r>
      <w:r w:rsidRPr="006C7E6A">
        <w:t xml:space="preserve">pri výzvach a vyzvaniach v nadväznosti na </w:t>
      </w:r>
      <w:r w:rsidRPr="00113AA3">
        <w:t xml:space="preserve">zákon </w:t>
      </w:r>
      <w:r>
        <w:t>o registri partnerov verejného sektora a metodický výklad CKO č. 4 k elektronickému predkladaniu ŽoNFP a k spôsobu overovania vybraných podmienok poskytnutia príspevku.</w:t>
      </w:r>
    </w:p>
    <w:p w14:paraId="175EA64C" w14:textId="77777777" w:rsidR="00B650E5" w:rsidRDefault="00B650E5">
      <w:pPr>
        <w:pStyle w:val="Odsekzoznamu"/>
        <w:numPr>
          <w:ilvl w:val="0"/>
          <w:numId w:val="329"/>
        </w:numPr>
        <w:spacing w:before="120" w:after="120"/>
        <w:ind w:left="426" w:hanging="426"/>
        <w:contextualSpacing w:val="0"/>
        <w:jc w:val="both"/>
      </w:pPr>
      <w:r>
        <w:t>Na účely Systému riadenia EŠIF sa pri použití jednotlivých pojmov týkajúcich sa EŠIF postupuje nasledovne:</w:t>
      </w:r>
    </w:p>
    <w:p w14:paraId="251E7905" w14:textId="77777777" w:rsidR="00B650E5" w:rsidRDefault="00B650E5">
      <w:pPr>
        <w:pStyle w:val="Odsekzoznamu"/>
        <w:numPr>
          <w:ilvl w:val="1"/>
          <w:numId w:val="339"/>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14:paraId="1D156C44" w14:textId="77777777" w:rsidR="00B650E5" w:rsidRDefault="00B650E5">
      <w:pPr>
        <w:pStyle w:val="Odsekzoznamu"/>
        <w:numPr>
          <w:ilvl w:val="1"/>
          <w:numId w:val="339"/>
        </w:numPr>
        <w:spacing w:before="120" w:after="120"/>
        <w:ind w:left="851" w:hanging="425"/>
        <w:contextualSpacing w:val="0"/>
        <w:jc w:val="both"/>
      </w:pPr>
      <w:r>
        <w:t>štrukturálne fondy sú EFRR a ESF,</w:t>
      </w:r>
    </w:p>
    <w:p w14:paraId="59E73010" w14:textId="77777777" w:rsidR="00B650E5" w:rsidRDefault="00B650E5">
      <w:pPr>
        <w:pStyle w:val="Odsekzoznamu"/>
        <w:numPr>
          <w:ilvl w:val="1"/>
          <w:numId w:val="339"/>
        </w:numPr>
        <w:spacing w:before="120" w:after="120"/>
        <w:ind w:left="851" w:hanging="425"/>
        <w:contextualSpacing w:val="0"/>
        <w:jc w:val="both"/>
      </w:pPr>
      <w:r>
        <w:t>fondy sú štrukturálne fondy (EFRR a ESF) a KF,</w:t>
      </w:r>
    </w:p>
    <w:p w14:paraId="152BBAF8" w14:textId="77777777" w:rsidR="00B650E5" w:rsidRDefault="00B650E5">
      <w:pPr>
        <w:pStyle w:val="Odsekzoznamu"/>
        <w:numPr>
          <w:ilvl w:val="1"/>
          <w:numId w:val="339"/>
        </w:numPr>
        <w:spacing w:before="120" w:after="120"/>
        <w:ind w:left="851" w:hanging="425"/>
        <w:contextualSpacing w:val="0"/>
        <w:jc w:val="both"/>
      </w:pPr>
      <w:r>
        <w:t xml:space="preserve">ak v niektorých ustanoveniach Systému riadenia EŠIF je použitý pojem ,,fondy“, aplikujú sa tieto ustanovenia aj na ENRF (ak z textu nevyplýva opak) s výnimkami uvedenými osobitne pre tento fond priamo v texte. </w:t>
      </w:r>
    </w:p>
    <w:p w14:paraId="49B077D0" w14:textId="77777777" w:rsidR="00B650E5" w:rsidRDefault="00B650E5">
      <w:pPr>
        <w:pStyle w:val="Odsekzoznamu"/>
        <w:numPr>
          <w:ilvl w:val="0"/>
          <w:numId w:val="329"/>
        </w:numPr>
        <w:spacing w:before="120" w:after="120"/>
        <w:ind w:left="426" w:hanging="426"/>
        <w:contextualSpacing w:val="0"/>
        <w:jc w:val="both"/>
      </w:pPr>
      <w:r>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14:paraId="11F1377D" w14:textId="77777777" w:rsidR="00B650E5" w:rsidRDefault="00B650E5">
      <w:pPr>
        <w:pStyle w:val="Odsekzoznamu"/>
        <w:numPr>
          <w:ilvl w:val="0"/>
          <w:numId w:val="329"/>
        </w:numPr>
        <w:spacing w:before="120" w:after="120"/>
        <w:ind w:left="426" w:hanging="426"/>
        <w:contextualSpacing w:val="0"/>
        <w:jc w:val="both"/>
      </w:pPr>
      <w:r>
        <w:t xml:space="preserve">Pre účely počítania lehôt v rámci procesov vykonávaných na úrovni jednotlivých OP sa v súlade s ustanoveniami zákona o príspevku z EŠIF použije správny poriadok - § 27 správneho poriadku, (pozn. § 28, </w:t>
      </w:r>
      <w:r w:rsidR="00C93F30">
        <w:t xml:space="preserve">t. j. </w:t>
      </w:r>
      <w:r>
        <w:t xml:space="preserve"> ustanovenia o zmeškaní lehoty sa neuplatní). Systém riadenia EŠIF stanovuje všetky lehoty v pracovných dňoch, ak v konkrétnom ustanovení nie je lehota uvedená výslovne v kalendárnych dňoch.</w:t>
      </w:r>
    </w:p>
    <w:p w14:paraId="6DEA707A" w14:textId="77777777" w:rsidR="00B650E5" w:rsidRDefault="00B650E5">
      <w:pPr>
        <w:pStyle w:val="Odsekzoznamu"/>
        <w:numPr>
          <w:ilvl w:val="0"/>
          <w:numId w:val="329"/>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14:paraId="55E9EFC1" w14:textId="77777777" w:rsidR="00B650E5" w:rsidRDefault="00B650E5">
      <w:pPr>
        <w:pStyle w:val="Odsekzoznamu"/>
        <w:numPr>
          <w:ilvl w:val="0"/>
          <w:numId w:val="329"/>
        </w:numPr>
        <w:spacing w:before="120" w:after="120"/>
        <w:ind w:left="426" w:hanging="426"/>
        <w:contextualSpacing w:val="0"/>
        <w:jc w:val="both"/>
      </w:pPr>
      <w:r>
        <w:t>Pojmy použité v Systéme riadenia EŠIF majú význam, ktorý je upravený v platnej legislatíve EÚ (najmä čl. 2 všeobecného nariadenia) a SR (najmä § 3 zákona o príspevku z EŠIF), v ostatných prípadoch sú pojmy definované v rámci jednotlivých dokumentov vydávaných CKO/ÚV SR</w:t>
      </w:r>
      <w:r>
        <w:rPr>
          <w:rStyle w:val="Odkaznapoznmkupodiarou"/>
        </w:rPr>
        <w:footnoteReference w:id="3"/>
      </w:r>
      <w:r>
        <w:t xml:space="preserve"> v súlade so Systémom riadenia EŠIF. Ak nie je niektorý pojem definovaný, má význam, ktorý </w:t>
      </w:r>
      <w:r>
        <w:lastRenderedPageBreak/>
        <w:t>vyplýva z iných záväzných dokumentov, napr. Systém finančného riadenia štrukturálnych fondov, Kohézneho fondu a Európskeho námorného a rybárskeho fondu na programové obdobie 2014 – 2020 (ďalej len ,,Systém finančného riadenia“).</w:t>
      </w:r>
    </w:p>
    <w:p w14:paraId="0A9FADA3" w14:textId="77777777" w:rsidR="00B650E5" w:rsidRDefault="00B650E5">
      <w:pPr>
        <w:pStyle w:val="Odsekzoznamu"/>
        <w:numPr>
          <w:ilvl w:val="0"/>
          <w:numId w:val="329"/>
        </w:numPr>
        <w:spacing w:before="120" w:after="120"/>
        <w:ind w:left="426" w:hanging="426"/>
        <w:contextualSpacing w:val="0"/>
        <w:jc w:val="both"/>
      </w:pPr>
      <w:r>
        <w:t>Ak sa v Systéme riadenia EŠIF alebo </w:t>
      </w:r>
      <w:r w:rsidRPr="003425F6">
        <w:t>v dokumentoch</w:t>
      </w:r>
      <w:r>
        <w:t xml:space="preserve"> vypracovaných  CKO/ÚV SR uvádzajú pracovné pozície, tieto sa  uvádzajú pre obe pohlavia jednotne v mužskom rode.</w:t>
      </w:r>
    </w:p>
    <w:p w14:paraId="2AD4F69F" w14:textId="1F65BF9B" w:rsidR="00B650E5" w:rsidRDefault="00B650E5">
      <w:pPr>
        <w:pStyle w:val="Odsekzoznamu"/>
        <w:numPr>
          <w:ilvl w:val="0"/>
          <w:numId w:val="329"/>
        </w:numPr>
        <w:spacing w:before="120" w:after="120"/>
        <w:ind w:left="426" w:hanging="426"/>
        <w:contextualSpacing w:val="0"/>
        <w:jc w:val="both"/>
      </w:pPr>
      <w:r>
        <w:t>Finančná kontrola začatá pred nadobudnutím účinnosti zákona o finančnej kontrole</w:t>
      </w:r>
      <w:r w:rsidR="001043DA">
        <w:t>,</w:t>
      </w:r>
      <w:r>
        <w:t xml:space="preserve"> t. j. pred 1. januárom 2016 sa dokončí podľa zákona č. 502/2001 Z. z. o finančnej kontrole a vnútornom audite a o zmene a doplnení niektorých zákonov v znení neskorších predpisov a Systému riadenia EŠIF, verzia 2.</w:t>
      </w:r>
    </w:p>
    <w:p w14:paraId="4705F246" w14:textId="77777777" w:rsidR="00B650E5" w:rsidRDefault="00B650E5" w:rsidP="000E286B">
      <w:pPr>
        <w:pStyle w:val="Odsekzoznamu"/>
        <w:numPr>
          <w:ilvl w:val="0"/>
          <w:numId w:val="329"/>
        </w:numPr>
        <w:jc w:val="both"/>
      </w:pPr>
      <w:r w:rsidRPr="00763BA9">
        <w:t xml:space="preserve">Kontrola verejného obstarávania, ktorej predmetom je postup zadávania zákazky, preukázateľne začatý </w:t>
      </w:r>
      <w:r>
        <w:t xml:space="preserve">do 17. </w:t>
      </w:r>
      <w:r w:rsidRPr="00763BA9">
        <w:t>apríl</w:t>
      </w:r>
      <w:r>
        <w:t>a</w:t>
      </w:r>
      <w:r w:rsidRPr="00763BA9">
        <w:t xml:space="preserve"> 2016, sa vykoná podľa Systému riadenia EŠIF, verzia 3.</w:t>
      </w:r>
    </w:p>
    <w:p w14:paraId="4A2C5054" w14:textId="77777777" w:rsidR="00B650E5" w:rsidRDefault="00B650E5">
      <w:pPr>
        <w:pStyle w:val="SRK3"/>
        <w:spacing w:before="120" w:after="120"/>
      </w:pPr>
      <w:bookmarkStart w:id="22" w:name="_Toc453233938"/>
      <w:bookmarkStart w:id="23" w:name="_Toc495649296"/>
      <w:r>
        <w:t>1.2.1 Zoznam použitých skratiek a vybraných pojmov</w:t>
      </w:r>
      <w:bookmarkEnd w:id="22"/>
      <w:bookmarkEnd w:id="23"/>
    </w:p>
    <w:p w14:paraId="21128BBF" w14:textId="77777777" w:rsidR="00B650E5" w:rsidRDefault="00B650E5" w:rsidP="00DE5D89">
      <w:pPr>
        <w:pStyle w:val="Odsekzoznamu"/>
        <w:numPr>
          <w:ilvl w:val="0"/>
          <w:numId w:val="335"/>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14:paraId="5F87E112" w14:textId="77777777" w:rsidR="00B650E5" w:rsidRDefault="00B650E5">
      <w:pPr>
        <w:spacing w:before="120" w:after="120"/>
        <w:jc w:val="both"/>
      </w:pPr>
    </w:p>
    <w:tbl>
      <w:tblPr>
        <w:tblW w:w="9826" w:type="dxa"/>
        <w:tblInd w:w="70" w:type="dxa"/>
        <w:tblCellMar>
          <w:left w:w="70" w:type="dxa"/>
          <w:right w:w="70" w:type="dxa"/>
        </w:tblCellMar>
        <w:tblLook w:val="00A0" w:firstRow="1" w:lastRow="0" w:firstColumn="1" w:lastColumn="0" w:noHBand="0" w:noVBand="0"/>
      </w:tblPr>
      <w:tblGrid>
        <w:gridCol w:w="1977"/>
        <w:gridCol w:w="7849"/>
      </w:tblGrid>
      <w:tr w:rsidR="00B650E5" w14:paraId="42739614" w14:textId="77777777" w:rsidTr="00227685">
        <w:trPr>
          <w:trHeight w:val="315"/>
        </w:trPr>
        <w:tc>
          <w:tcPr>
            <w:tcW w:w="1977" w:type="dxa"/>
            <w:vAlign w:val="center"/>
          </w:tcPr>
          <w:p w14:paraId="7AD262B3" w14:textId="77777777" w:rsidR="00B650E5" w:rsidRDefault="00B650E5">
            <w:pPr>
              <w:rPr>
                <w:color w:val="000000"/>
              </w:rPr>
            </w:pPr>
            <w:r>
              <w:rPr>
                <w:color w:val="000000"/>
              </w:rPr>
              <w:t>CBA</w:t>
            </w:r>
          </w:p>
        </w:tc>
        <w:tc>
          <w:tcPr>
            <w:tcW w:w="7849" w:type="dxa"/>
            <w:vAlign w:val="center"/>
          </w:tcPr>
          <w:p w14:paraId="74217432" w14:textId="77777777" w:rsidR="00B650E5" w:rsidRDefault="00B650E5">
            <w:pPr>
              <w:rPr>
                <w:color w:val="000000"/>
              </w:rPr>
            </w:pPr>
            <w:r>
              <w:rPr>
                <w:color w:val="000000"/>
              </w:rPr>
              <w:t>analýza nákladov a prínosov projektu</w:t>
            </w:r>
          </w:p>
        </w:tc>
      </w:tr>
      <w:tr w:rsidR="00B650E5" w14:paraId="0625E014" w14:textId="77777777" w:rsidTr="00227685">
        <w:trPr>
          <w:trHeight w:val="315"/>
        </w:trPr>
        <w:tc>
          <w:tcPr>
            <w:tcW w:w="1977" w:type="dxa"/>
            <w:vAlign w:val="center"/>
          </w:tcPr>
          <w:p w14:paraId="6751571A" w14:textId="77777777" w:rsidR="00B650E5" w:rsidRDefault="00B650E5">
            <w:pPr>
              <w:rPr>
                <w:color w:val="000000"/>
              </w:rPr>
            </w:pPr>
            <w:r>
              <w:rPr>
                <w:color w:val="000000"/>
              </w:rPr>
              <w:t>CKO</w:t>
            </w:r>
          </w:p>
        </w:tc>
        <w:tc>
          <w:tcPr>
            <w:tcW w:w="7849" w:type="dxa"/>
            <w:vAlign w:val="center"/>
          </w:tcPr>
          <w:p w14:paraId="3687787B" w14:textId="77777777" w:rsidR="00B650E5" w:rsidRDefault="00B650E5">
            <w:pPr>
              <w:rPr>
                <w:color w:val="000000"/>
              </w:rPr>
            </w:pPr>
            <w:r>
              <w:rPr>
                <w:color w:val="000000"/>
              </w:rPr>
              <w:t>Centrálny koordinačný orgán</w:t>
            </w:r>
          </w:p>
        </w:tc>
      </w:tr>
      <w:tr w:rsidR="00B650E5" w14:paraId="1A60A49C" w14:textId="77777777" w:rsidTr="00227685">
        <w:trPr>
          <w:trHeight w:val="315"/>
        </w:trPr>
        <w:tc>
          <w:tcPr>
            <w:tcW w:w="1977" w:type="dxa"/>
            <w:vAlign w:val="center"/>
          </w:tcPr>
          <w:p w14:paraId="1E9459C1" w14:textId="77777777" w:rsidR="00B650E5" w:rsidRDefault="00B650E5">
            <w:pPr>
              <w:rPr>
                <w:color w:val="000000"/>
              </w:rPr>
            </w:pPr>
            <w:r>
              <w:rPr>
                <w:color w:val="000000"/>
              </w:rPr>
              <w:t>CLLD</w:t>
            </w:r>
          </w:p>
        </w:tc>
        <w:tc>
          <w:tcPr>
            <w:tcW w:w="7849" w:type="dxa"/>
            <w:vAlign w:val="center"/>
          </w:tcPr>
          <w:p w14:paraId="3C441183" w14:textId="77777777" w:rsidR="00B650E5" w:rsidRDefault="00B650E5">
            <w:pPr>
              <w:rPr>
                <w:color w:val="000000"/>
              </w:rPr>
            </w:pPr>
            <w:r>
              <w:rPr>
                <w:color w:val="000000"/>
              </w:rPr>
              <w:t>miestny rozvoj vedený komunitou</w:t>
            </w:r>
          </w:p>
        </w:tc>
      </w:tr>
      <w:tr w:rsidR="00B650E5" w14:paraId="301C7B69" w14:textId="77777777" w:rsidTr="00227685">
        <w:trPr>
          <w:trHeight w:val="315"/>
        </w:trPr>
        <w:tc>
          <w:tcPr>
            <w:tcW w:w="1977" w:type="dxa"/>
            <w:vAlign w:val="center"/>
          </w:tcPr>
          <w:p w14:paraId="0897BC3B" w14:textId="77777777" w:rsidR="00B650E5" w:rsidRDefault="00B650E5">
            <w:pPr>
              <w:rPr>
                <w:color w:val="000000"/>
              </w:rPr>
            </w:pPr>
            <w:r>
              <w:rPr>
                <w:color w:val="000000"/>
              </w:rPr>
              <w:t>CO</w:t>
            </w:r>
          </w:p>
        </w:tc>
        <w:tc>
          <w:tcPr>
            <w:tcW w:w="7849" w:type="dxa"/>
            <w:vAlign w:val="center"/>
          </w:tcPr>
          <w:p w14:paraId="401CE8D1" w14:textId="77777777" w:rsidR="00B650E5" w:rsidRDefault="00B650E5">
            <w:pPr>
              <w:rPr>
                <w:color w:val="000000"/>
              </w:rPr>
            </w:pPr>
            <w:r>
              <w:rPr>
                <w:color w:val="000000"/>
              </w:rPr>
              <w:t>Certifikačný orgán</w:t>
            </w:r>
          </w:p>
        </w:tc>
      </w:tr>
      <w:tr w:rsidR="00B650E5" w14:paraId="6C20931C" w14:textId="77777777" w:rsidTr="00227685">
        <w:trPr>
          <w:trHeight w:val="315"/>
        </w:trPr>
        <w:tc>
          <w:tcPr>
            <w:tcW w:w="1977" w:type="dxa"/>
            <w:vAlign w:val="center"/>
          </w:tcPr>
          <w:p w14:paraId="4FB72AAF" w14:textId="77777777" w:rsidR="00B650E5" w:rsidRDefault="00B650E5">
            <w:pPr>
              <w:rPr>
                <w:color w:val="000000"/>
              </w:rPr>
            </w:pPr>
            <w:r>
              <w:rPr>
                <w:color w:val="000000"/>
              </w:rPr>
              <w:t>COO</w:t>
            </w:r>
          </w:p>
        </w:tc>
        <w:tc>
          <w:tcPr>
            <w:tcW w:w="7849" w:type="dxa"/>
            <w:vAlign w:val="center"/>
          </w:tcPr>
          <w:p w14:paraId="40ED569D" w14:textId="77777777" w:rsidR="00B650E5" w:rsidRDefault="00B650E5">
            <w:pPr>
              <w:rPr>
                <w:color w:val="000000"/>
              </w:rPr>
            </w:pPr>
            <w:r>
              <w:rPr>
                <w:color w:val="000000"/>
              </w:rPr>
              <w:t>centrálna obstarávacia organizácia</w:t>
            </w:r>
          </w:p>
        </w:tc>
      </w:tr>
      <w:tr w:rsidR="00B650E5" w14:paraId="5BC50603" w14:textId="77777777" w:rsidTr="00227685">
        <w:trPr>
          <w:trHeight w:val="315"/>
        </w:trPr>
        <w:tc>
          <w:tcPr>
            <w:tcW w:w="1977" w:type="dxa"/>
            <w:vAlign w:val="center"/>
          </w:tcPr>
          <w:p w14:paraId="38B87D5A" w14:textId="77777777" w:rsidR="00B650E5" w:rsidRDefault="00B650E5">
            <w:pPr>
              <w:rPr>
                <w:color w:val="000000"/>
              </w:rPr>
            </w:pPr>
            <w:r>
              <w:rPr>
                <w:color w:val="000000"/>
              </w:rPr>
              <w:t>EDA</w:t>
            </w:r>
          </w:p>
        </w:tc>
        <w:tc>
          <w:tcPr>
            <w:tcW w:w="7849" w:type="dxa"/>
            <w:vAlign w:val="center"/>
          </w:tcPr>
          <w:p w14:paraId="18ADB9FE" w14:textId="77777777" w:rsidR="00B650E5" w:rsidRDefault="00B650E5">
            <w:pPr>
              <w:rPr>
                <w:color w:val="000000"/>
              </w:rPr>
            </w:pPr>
            <w:r>
              <w:rPr>
                <w:color w:val="000000"/>
              </w:rPr>
              <w:t>Európsky dvor audítorov</w:t>
            </w:r>
          </w:p>
        </w:tc>
      </w:tr>
      <w:tr w:rsidR="00B650E5" w14:paraId="515F8B3D" w14:textId="77777777" w:rsidTr="00227685">
        <w:trPr>
          <w:trHeight w:val="315"/>
        </w:trPr>
        <w:tc>
          <w:tcPr>
            <w:tcW w:w="1977" w:type="dxa"/>
            <w:vAlign w:val="center"/>
          </w:tcPr>
          <w:p w14:paraId="30847888" w14:textId="77777777" w:rsidR="00B650E5" w:rsidRDefault="00B650E5">
            <w:pPr>
              <w:rPr>
                <w:color w:val="000000"/>
              </w:rPr>
            </w:pPr>
            <w:r>
              <w:rPr>
                <w:color w:val="000000"/>
              </w:rPr>
              <w:t>EFRR</w:t>
            </w:r>
          </w:p>
        </w:tc>
        <w:tc>
          <w:tcPr>
            <w:tcW w:w="7849" w:type="dxa"/>
            <w:vAlign w:val="center"/>
          </w:tcPr>
          <w:p w14:paraId="6510D245" w14:textId="77777777" w:rsidR="00B650E5" w:rsidRDefault="00B650E5">
            <w:pPr>
              <w:rPr>
                <w:color w:val="000000"/>
              </w:rPr>
            </w:pPr>
            <w:r>
              <w:rPr>
                <w:color w:val="000000"/>
              </w:rPr>
              <w:t>Európsky fond regionálneho rozvoja</w:t>
            </w:r>
          </w:p>
        </w:tc>
      </w:tr>
      <w:tr w:rsidR="00B650E5" w14:paraId="01442E57" w14:textId="77777777" w:rsidTr="00227685">
        <w:trPr>
          <w:trHeight w:val="315"/>
        </w:trPr>
        <w:tc>
          <w:tcPr>
            <w:tcW w:w="1977" w:type="dxa"/>
            <w:vAlign w:val="center"/>
          </w:tcPr>
          <w:p w14:paraId="596D8BC2" w14:textId="77777777" w:rsidR="00B650E5" w:rsidRDefault="00B650E5">
            <w:pPr>
              <w:rPr>
                <w:color w:val="000000"/>
              </w:rPr>
            </w:pPr>
            <w:r>
              <w:rPr>
                <w:color w:val="000000"/>
              </w:rPr>
              <w:t>EIB</w:t>
            </w:r>
          </w:p>
        </w:tc>
        <w:tc>
          <w:tcPr>
            <w:tcW w:w="7849" w:type="dxa"/>
            <w:vAlign w:val="center"/>
          </w:tcPr>
          <w:p w14:paraId="5A978131" w14:textId="77777777" w:rsidR="00B650E5" w:rsidRDefault="00B650E5">
            <w:pPr>
              <w:rPr>
                <w:color w:val="000000"/>
              </w:rPr>
            </w:pPr>
            <w:r>
              <w:rPr>
                <w:color w:val="000000"/>
              </w:rPr>
              <w:t>Európska investičná banka</w:t>
            </w:r>
          </w:p>
        </w:tc>
      </w:tr>
      <w:tr w:rsidR="00B650E5" w14:paraId="3C363613" w14:textId="77777777" w:rsidTr="00227685">
        <w:trPr>
          <w:trHeight w:val="315"/>
        </w:trPr>
        <w:tc>
          <w:tcPr>
            <w:tcW w:w="1977" w:type="dxa"/>
            <w:vAlign w:val="center"/>
          </w:tcPr>
          <w:p w14:paraId="2FB2648C" w14:textId="77777777" w:rsidR="00B650E5" w:rsidRDefault="00B650E5">
            <w:pPr>
              <w:rPr>
                <w:color w:val="000000"/>
              </w:rPr>
            </w:pPr>
            <w:r>
              <w:rPr>
                <w:color w:val="000000"/>
              </w:rPr>
              <w:t>EK</w:t>
            </w:r>
          </w:p>
        </w:tc>
        <w:tc>
          <w:tcPr>
            <w:tcW w:w="7849" w:type="dxa"/>
            <w:vAlign w:val="center"/>
          </w:tcPr>
          <w:p w14:paraId="69C81764" w14:textId="77777777" w:rsidR="00B650E5" w:rsidRDefault="00B650E5">
            <w:pPr>
              <w:rPr>
                <w:color w:val="000000"/>
              </w:rPr>
            </w:pPr>
            <w:r>
              <w:rPr>
                <w:color w:val="000000"/>
              </w:rPr>
              <w:t>Európska komisia</w:t>
            </w:r>
          </w:p>
        </w:tc>
      </w:tr>
      <w:tr w:rsidR="00B650E5" w14:paraId="334083AB" w14:textId="77777777" w:rsidTr="00227685">
        <w:trPr>
          <w:trHeight w:val="315"/>
        </w:trPr>
        <w:tc>
          <w:tcPr>
            <w:tcW w:w="1977" w:type="dxa"/>
            <w:vAlign w:val="center"/>
          </w:tcPr>
          <w:p w14:paraId="06C557DD" w14:textId="77777777" w:rsidR="00B650E5" w:rsidRDefault="00B650E5">
            <w:pPr>
              <w:rPr>
                <w:color w:val="000000"/>
              </w:rPr>
            </w:pPr>
            <w:r>
              <w:rPr>
                <w:color w:val="000000"/>
              </w:rPr>
              <w:t>ENRF</w:t>
            </w:r>
          </w:p>
        </w:tc>
        <w:tc>
          <w:tcPr>
            <w:tcW w:w="7849" w:type="dxa"/>
            <w:vAlign w:val="center"/>
          </w:tcPr>
          <w:p w14:paraId="5BC86E68" w14:textId="77777777" w:rsidR="00B650E5" w:rsidRDefault="00B650E5">
            <w:pPr>
              <w:rPr>
                <w:color w:val="000000"/>
              </w:rPr>
            </w:pPr>
            <w:r>
              <w:rPr>
                <w:color w:val="000000"/>
              </w:rPr>
              <w:t>Európsky námorný a rybársky fond</w:t>
            </w:r>
          </w:p>
        </w:tc>
      </w:tr>
      <w:tr w:rsidR="00B650E5" w14:paraId="066A1105" w14:textId="77777777" w:rsidTr="00227685">
        <w:trPr>
          <w:trHeight w:val="315"/>
        </w:trPr>
        <w:tc>
          <w:tcPr>
            <w:tcW w:w="1977" w:type="dxa"/>
            <w:vAlign w:val="center"/>
          </w:tcPr>
          <w:p w14:paraId="4D080293" w14:textId="77777777" w:rsidR="00B650E5" w:rsidRDefault="00B650E5">
            <w:pPr>
              <w:rPr>
                <w:color w:val="000000"/>
              </w:rPr>
            </w:pPr>
            <w:r>
              <w:rPr>
                <w:color w:val="000000"/>
              </w:rPr>
              <w:t>EPFRV</w:t>
            </w:r>
          </w:p>
        </w:tc>
        <w:tc>
          <w:tcPr>
            <w:tcW w:w="7849" w:type="dxa"/>
            <w:vAlign w:val="center"/>
          </w:tcPr>
          <w:p w14:paraId="475797DF" w14:textId="77777777" w:rsidR="00B650E5" w:rsidRDefault="00B650E5">
            <w:pPr>
              <w:rPr>
                <w:color w:val="000000"/>
              </w:rPr>
            </w:pPr>
            <w:r>
              <w:rPr>
                <w:color w:val="000000"/>
              </w:rPr>
              <w:t>Európsky poľnohospodársky fond pre rozvoj vidieka</w:t>
            </w:r>
          </w:p>
        </w:tc>
      </w:tr>
      <w:tr w:rsidR="00B650E5" w14:paraId="4ACA22B6" w14:textId="77777777" w:rsidTr="00227685">
        <w:trPr>
          <w:trHeight w:val="315"/>
        </w:trPr>
        <w:tc>
          <w:tcPr>
            <w:tcW w:w="1977" w:type="dxa"/>
            <w:vAlign w:val="center"/>
          </w:tcPr>
          <w:p w14:paraId="2E1B997A" w14:textId="77777777" w:rsidR="00B650E5" w:rsidRDefault="00B650E5">
            <w:pPr>
              <w:rPr>
                <w:color w:val="000000"/>
              </w:rPr>
            </w:pPr>
            <w:r>
              <w:rPr>
                <w:color w:val="000000"/>
              </w:rPr>
              <w:t>ESD</w:t>
            </w:r>
          </w:p>
        </w:tc>
        <w:tc>
          <w:tcPr>
            <w:tcW w:w="7849" w:type="dxa"/>
            <w:vAlign w:val="center"/>
          </w:tcPr>
          <w:p w14:paraId="73DB9AAF" w14:textId="77777777" w:rsidR="00B650E5" w:rsidRDefault="00B650E5">
            <w:pPr>
              <w:rPr>
                <w:color w:val="000000"/>
              </w:rPr>
            </w:pPr>
            <w:r>
              <w:rPr>
                <w:color w:val="000000"/>
              </w:rPr>
              <w:t>Európsky súdny dvor</w:t>
            </w:r>
          </w:p>
        </w:tc>
      </w:tr>
      <w:tr w:rsidR="00B650E5" w14:paraId="74D379BB" w14:textId="77777777" w:rsidTr="00227685">
        <w:trPr>
          <w:trHeight w:val="315"/>
        </w:trPr>
        <w:tc>
          <w:tcPr>
            <w:tcW w:w="1977" w:type="dxa"/>
            <w:vAlign w:val="center"/>
          </w:tcPr>
          <w:p w14:paraId="47A272C3" w14:textId="77777777" w:rsidR="00B650E5" w:rsidRDefault="00B650E5">
            <w:pPr>
              <w:rPr>
                <w:color w:val="000000"/>
              </w:rPr>
            </w:pPr>
            <w:r>
              <w:rPr>
                <w:color w:val="000000"/>
              </w:rPr>
              <w:t>ESF</w:t>
            </w:r>
          </w:p>
        </w:tc>
        <w:tc>
          <w:tcPr>
            <w:tcW w:w="7849" w:type="dxa"/>
            <w:vAlign w:val="center"/>
          </w:tcPr>
          <w:p w14:paraId="3E198A17" w14:textId="77777777" w:rsidR="00B650E5" w:rsidRDefault="00B650E5">
            <w:pPr>
              <w:rPr>
                <w:color w:val="000000"/>
              </w:rPr>
            </w:pPr>
            <w:r>
              <w:rPr>
                <w:color w:val="000000"/>
              </w:rPr>
              <w:t>Európsky sociálny fond</w:t>
            </w:r>
          </w:p>
        </w:tc>
      </w:tr>
      <w:tr w:rsidR="00B650E5" w14:paraId="7383B1E0" w14:textId="77777777" w:rsidTr="00227685">
        <w:trPr>
          <w:trHeight w:val="315"/>
        </w:trPr>
        <w:tc>
          <w:tcPr>
            <w:tcW w:w="1977" w:type="dxa"/>
            <w:vAlign w:val="center"/>
          </w:tcPr>
          <w:p w14:paraId="6FF1F1EB" w14:textId="77777777" w:rsidR="00B650E5" w:rsidRDefault="00B650E5">
            <w:pPr>
              <w:rPr>
                <w:color w:val="000000"/>
              </w:rPr>
            </w:pPr>
            <w:r>
              <w:rPr>
                <w:color w:val="000000"/>
              </w:rPr>
              <w:t>EŠIF</w:t>
            </w:r>
          </w:p>
        </w:tc>
        <w:tc>
          <w:tcPr>
            <w:tcW w:w="7849" w:type="dxa"/>
            <w:vAlign w:val="center"/>
          </w:tcPr>
          <w:p w14:paraId="2FDAAF4C" w14:textId="77777777" w:rsidR="00B650E5" w:rsidRDefault="00B650E5">
            <w:pPr>
              <w:rPr>
                <w:color w:val="000000"/>
              </w:rPr>
            </w:pPr>
            <w:r>
              <w:rPr>
                <w:color w:val="000000"/>
              </w:rPr>
              <w:t>európske štrukturálne a investičné fondy</w:t>
            </w:r>
          </w:p>
        </w:tc>
      </w:tr>
      <w:tr w:rsidR="00B650E5" w14:paraId="03C912DD" w14:textId="77777777" w:rsidTr="00227685">
        <w:trPr>
          <w:trHeight w:val="315"/>
        </w:trPr>
        <w:tc>
          <w:tcPr>
            <w:tcW w:w="1977" w:type="dxa"/>
            <w:vAlign w:val="center"/>
          </w:tcPr>
          <w:p w14:paraId="1E4BD237" w14:textId="77777777" w:rsidR="00B650E5" w:rsidRDefault="00B650E5">
            <w:pPr>
              <w:rPr>
                <w:color w:val="000000"/>
              </w:rPr>
            </w:pPr>
            <w:r>
              <w:rPr>
                <w:color w:val="000000"/>
              </w:rPr>
              <w:t>EÚ</w:t>
            </w:r>
          </w:p>
        </w:tc>
        <w:tc>
          <w:tcPr>
            <w:tcW w:w="7849" w:type="dxa"/>
            <w:vAlign w:val="center"/>
          </w:tcPr>
          <w:p w14:paraId="5DCC5AED" w14:textId="77777777" w:rsidR="00B650E5" w:rsidRDefault="00B650E5">
            <w:pPr>
              <w:rPr>
                <w:color w:val="000000"/>
              </w:rPr>
            </w:pPr>
            <w:r>
              <w:rPr>
                <w:color w:val="000000"/>
              </w:rPr>
              <w:t>Európska Únia</w:t>
            </w:r>
          </w:p>
        </w:tc>
      </w:tr>
      <w:tr w:rsidR="00B650E5" w14:paraId="60FE4332" w14:textId="77777777" w:rsidTr="00227685">
        <w:trPr>
          <w:trHeight w:val="315"/>
        </w:trPr>
        <w:tc>
          <w:tcPr>
            <w:tcW w:w="1977" w:type="dxa"/>
            <w:vAlign w:val="center"/>
          </w:tcPr>
          <w:p w14:paraId="53E556D1" w14:textId="77777777" w:rsidR="00B650E5" w:rsidRDefault="00B650E5">
            <w:pPr>
              <w:rPr>
                <w:color w:val="000000"/>
              </w:rPr>
            </w:pPr>
            <w:r>
              <w:rPr>
                <w:color w:val="000000"/>
              </w:rPr>
              <w:t>EÚS</w:t>
            </w:r>
          </w:p>
        </w:tc>
        <w:tc>
          <w:tcPr>
            <w:tcW w:w="7849" w:type="dxa"/>
            <w:vAlign w:val="center"/>
          </w:tcPr>
          <w:p w14:paraId="2040620D" w14:textId="77777777" w:rsidR="00B650E5" w:rsidRDefault="00B650E5">
            <w:pPr>
              <w:rPr>
                <w:color w:val="000000"/>
              </w:rPr>
            </w:pPr>
            <w:r>
              <w:rPr>
                <w:color w:val="000000"/>
              </w:rPr>
              <w:t>Európska územná spolupráca</w:t>
            </w:r>
          </w:p>
        </w:tc>
      </w:tr>
      <w:tr w:rsidR="00B650E5" w14:paraId="2F41DCB5" w14:textId="77777777" w:rsidTr="00227685">
        <w:trPr>
          <w:trHeight w:val="315"/>
        </w:trPr>
        <w:tc>
          <w:tcPr>
            <w:tcW w:w="1977" w:type="dxa"/>
            <w:vAlign w:val="center"/>
          </w:tcPr>
          <w:p w14:paraId="1564B107" w14:textId="77777777" w:rsidR="00B650E5" w:rsidRPr="00172982" w:rsidRDefault="00B650E5">
            <w:pPr>
              <w:rPr>
                <w:color w:val="000000"/>
              </w:rPr>
            </w:pPr>
            <w:r w:rsidRPr="00172982">
              <w:rPr>
                <w:color w:val="000000"/>
              </w:rPr>
              <w:t>EZÚS</w:t>
            </w:r>
          </w:p>
        </w:tc>
        <w:tc>
          <w:tcPr>
            <w:tcW w:w="7849" w:type="dxa"/>
            <w:vAlign w:val="center"/>
          </w:tcPr>
          <w:p w14:paraId="52E8278B" w14:textId="77777777" w:rsidR="00B650E5" w:rsidRDefault="00B650E5">
            <w:pPr>
              <w:jc w:val="both"/>
              <w:rPr>
                <w:color w:val="000000"/>
              </w:rPr>
            </w:pPr>
            <w:r w:rsidRPr="00172982">
              <w:rPr>
                <w:color w:val="000000"/>
              </w:rPr>
              <w:t>Európske zoskupenie územnej spolupráce</w:t>
            </w:r>
          </w:p>
        </w:tc>
      </w:tr>
      <w:tr w:rsidR="00B650E5" w14:paraId="728DC367" w14:textId="77777777" w:rsidTr="00227685">
        <w:trPr>
          <w:trHeight w:val="630"/>
        </w:trPr>
        <w:tc>
          <w:tcPr>
            <w:tcW w:w="1977" w:type="dxa"/>
            <w:vAlign w:val="center"/>
          </w:tcPr>
          <w:p w14:paraId="0CBCE419" w14:textId="77777777" w:rsidR="00B650E5" w:rsidRPr="00172982" w:rsidRDefault="00B650E5">
            <w:pPr>
              <w:rPr>
                <w:color w:val="000000"/>
              </w:rPr>
            </w:pPr>
            <w:r w:rsidRPr="00893512">
              <w:rPr>
                <w:color w:val="000000"/>
              </w:rPr>
              <w:t>HP</w:t>
            </w:r>
          </w:p>
        </w:tc>
        <w:tc>
          <w:tcPr>
            <w:tcW w:w="7849" w:type="dxa"/>
            <w:vAlign w:val="center"/>
          </w:tcPr>
          <w:p w14:paraId="45874C7A" w14:textId="77777777" w:rsidR="00B650E5" w:rsidRPr="00172982" w:rsidRDefault="00B650E5">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p>
        </w:tc>
      </w:tr>
      <w:tr w:rsidR="00B650E5" w14:paraId="5E2AE898" w14:textId="77777777" w:rsidTr="00227685">
        <w:trPr>
          <w:trHeight w:val="315"/>
        </w:trPr>
        <w:tc>
          <w:tcPr>
            <w:tcW w:w="1977" w:type="dxa"/>
            <w:vAlign w:val="center"/>
          </w:tcPr>
          <w:p w14:paraId="438E3383" w14:textId="77777777" w:rsidR="00B650E5" w:rsidRDefault="00B650E5">
            <w:pPr>
              <w:rPr>
                <w:color w:val="000000"/>
              </w:rPr>
            </w:pPr>
            <w:r>
              <w:rPr>
                <w:color w:val="000000"/>
              </w:rPr>
              <w:lastRenderedPageBreak/>
              <w:t>IPC</w:t>
            </w:r>
          </w:p>
        </w:tc>
        <w:tc>
          <w:tcPr>
            <w:tcW w:w="7849" w:type="dxa"/>
            <w:vAlign w:val="center"/>
          </w:tcPr>
          <w:p w14:paraId="415B1469" w14:textId="77777777" w:rsidR="00B650E5" w:rsidRDefault="00B650E5">
            <w:pPr>
              <w:rPr>
                <w:color w:val="000000"/>
              </w:rPr>
            </w:pPr>
            <w:r>
              <w:rPr>
                <w:color w:val="000000"/>
              </w:rPr>
              <w:t xml:space="preserve">informačno-poradenské centrá </w:t>
            </w:r>
          </w:p>
        </w:tc>
      </w:tr>
      <w:tr w:rsidR="00B650E5" w14:paraId="25257510" w14:textId="77777777" w:rsidTr="00227685">
        <w:trPr>
          <w:trHeight w:val="315"/>
        </w:trPr>
        <w:tc>
          <w:tcPr>
            <w:tcW w:w="1977" w:type="dxa"/>
            <w:vAlign w:val="center"/>
          </w:tcPr>
          <w:p w14:paraId="2F29F100" w14:textId="77777777" w:rsidR="00B650E5" w:rsidRDefault="00B650E5">
            <w:pPr>
              <w:rPr>
                <w:color w:val="000000"/>
              </w:rPr>
            </w:pPr>
            <w:r>
              <w:rPr>
                <w:color w:val="000000"/>
              </w:rPr>
              <w:t>IROP</w:t>
            </w:r>
          </w:p>
        </w:tc>
        <w:tc>
          <w:tcPr>
            <w:tcW w:w="7849" w:type="dxa"/>
            <w:vAlign w:val="bottom"/>
          </w:tcPr>
          <w:p w14:paraId="770F6869" w14:textId="77777777" w:rsidR="00B650E5" w:rsidRDefault="00B650E5">
            <w:pPr>
              <w:rPr>
                <w:color w:val="000000"/>
              </w:rPr>
            </w:pPr>
            <w:r>
              <w:rPr>
                <w:color w:val="000000"/>
              </w:rPr>
              <w:t>Integrovaný regionálny operačný program</w:t>
            </w:r>
          </w:p>
        </w:tc>
      </w:tr>
      <w:tr w:rsidR="00B650E5" w14:paraId="6E1FD9DD" w14:textId="77777777" w:rsidTr="00227685">
        <w:trPr>
          <w:trHeight w:val="315"/>
        </w:trPr>
        <w:tc>
          <w:tcPr>
            <w:tcW w:w="1977" w:type="dxa"/>
            <w:vAlign w:val="center"/>
          </w:tcPr>
          <w:p w14:paraId="2908B677" w14:textId="77777777" w:rsidR="00B650E5" w:rsidRDefault="00B650E5">
            <w:pPr>
              <w:rPr>
                <w:color w:val="000000"/>
              </w:rPr>
            </w:pPr>
            <w:r>
              <w:rPr>
                <w:color w:val="000000"/>
              </w:rPr>
              <w:t>IS PPA</w:t>
            </w:r>
          </w:p>
        </w:tc>
        <w:tc>
          <w:tcPr>
            <w:tcW w:w="7849" w:type="dxa"/>
            <w:vAlign w:val="center"/>
          </w:tcPr>
          <w:p w14:paraId="4E4CA9ED" w14:textId="77777777" w:rsidR="00B650E5" w:rsidRDefault="00B650E5">
            <w:pPr>
              <w:rPr>
                <w:color w:val="000000"/>
              </w:rPr>
            </w:pPr>
            <w:r>
              <w:rPr>
                <w:color w:val="000000"/>
              </w:rPr>
              <w:t>informačný systém Pôdohospodárskej platobnej agentúry</w:t>
            </w:r>
          </w:p>
        </w:tc>
      </w:tr>
      <w:tr w:rsidR="00B650E5" w14:paraId="2A1F6856" w14:textId="77777777" w:rsidTr="00227685">
        <w:trPr>
          <w:trHeight w:val="315"/>
        </w:trPr>
        <w:tc>
          <w:tcPr>
            <w:tcW w:w="1977" w:type="dxa"/>
            <w:vAlign w:val="center"/>
          </w:tcPr>
          <w:p w14:paraId="56F5DB49" w14:textId="77777777" w:rsidR="00B650E5" w:rsidRDefault="00B650E5">
            <w:pPr>
              <w:rPr>
                <w:color w:val="000000"/>
              </w:rPr>
            </w:pPr>
            <w:r>
              <w:rPr>
                <w:color w:val="000000"/>
              </w:rPr>
              <w:t>IÚI</w:t>
            </w:r>
          </w:p>
        </w:tc>
        <w:tc>
          <w:tcPr>
            <w:tcW w:w="7849" w:type="dxa"/>
            <w:vAlign w:val="center"/>
          </w:tcPr>
          <w:p w14:paraId="30EA5DDB" w14:textId="77777777" w:rsidR="00B650E5" w:rsidRDefault="00B650E5">
            <w:pPr>
              <w:rPr>
                <w:color w:val="000000"/>
              </w:rPr>
            </w:pPr>
            <w:r>
              <w:rPr>
                <w:color w:val="000000"/>
              </w:rPr>
              <w:t>integrované územné investície</w:t>
            </w:r>
          </w:p>
        </w:tc>
      </w:tr>
      <w:tr w:rsidR="00B650E5" w14:paraId="60CDC0F2" w14:textId="77777777" w:rsidTr="00227685">
        <w:trPr>
          <w:trHeight w:val="315"/>
        </w:trPr>
        <w:tc>
          <w:tcPr>
            <w:tcW w:w="1977" w:type="dxa"/>
            <w:vAlign w:val="center"/>
          </w:tcPr>
          <w:p w14:paraId="11F2738D" w14:textId="77777777" w:rsidR="00B650E5" w:rsidRDefault="00B650E5">
            <w:pPr>
              <w:rPr>
                <w:color w:val="000000"/>
              </w:rPr>
            </w:pPr>
            <w:r>
              <w:rPr>
                <w:color w:val="000000"/>
              </w:rPr>
              <w:t>IÚSMO</w:t>
            </w:r>
          </w:p>
        </w:tc>
        <w:tc>
          <w:tcPr>
            <w:tcW w:w="7849" w:type="dxa"/>
            <w:vAlign w:val="bottom"/>
          </w:tcPr>
          <w:p w14:paraId="1D47A691" w14:textId="77777777" w:rsidR="00B650E5" w:rsidRDefault="00B650E5">
            <w:pPr>
              <w:rPr>
                <w:color w:val="000000"/>
              </w:rPr>
            </w:pPr>
            <w:r>
              <w:rPr>
                <w:color w:val="000000"/>
              </w:rPr>
              <w:t>Integrovaná územná stratégia mestskej oblasti</w:t>
            </w:r>
          </w:p>
        </w:tc>
      </w:tr>
      <w:tr w:rsidR="00B650E5" w14:paraId="30696D57" w14:textId="77777777" w:rsidTr="00227685">
        <w:trPr>
          <w:trHeight w:val="315"/>
        </w:trPr>
        <w:tc>
          <w:tcPr>
            <w:tcW w:w="1977" w:type="dxa"/>
            <w:vAlign w:val="center"/>
          </w:tcPr>
          <w:p w14:paraId="506FED90" w14:textId="77777777" w:rsidR="00B650E5" w:rsidRDefault="00B650E5">
            <w:pPr>
              <w:rPr>
                <w:color w:val="000000"/>
              </w:rPr>
            </w:pPr>
            <w:r>
              <w:rPr>
                <w:color w:val="000000"/>
              </w:rPr>
              <w:t>KF</w:t>
            </w:r>
          </w:p>
        </w:tc>
        <w:tc>
          <w:tcPr>
            <w:tcW w:w="7849" w:type="dxa"/>
            <w:vAlign w:val="center"/>
          </w:tcPr>
          <w:p w14:paraId="70F98B7F" w14:textId="77777777" w:rsidR="00B650E5" w:rsidRDefault="00B650E5">
            <w:pPr>
              <w:rPr>
                <w:color w:val="000000"/>
              </w:rPr>
            </w:pPr>
            <w:r>
              <w:rPr>
                <w:color w:val="000000"/>
              </w:rPr>
              <w:t>Kohézny fond</w:t>
            </w:r>
          </w:p>
        </w:tc>
      </w:tr>
      <w:tr w:rsidR="00B650E5" w14:paraId="623D21F0" w14:textId="77777777" w:rsidTr="00227685">
        <w:trPr>
          <w:trHeight w:val="315"/>
        </w:trPr>
        <w:tc>
          <w:tcPr>
            <w:tcW w:w="1977" w:type="dxa"/>
            <w:vAlign w:val="center"/>
          </w:tcPr>
          <w:p w14:paraId="57947327" w14:textId="77777777" w:rsidR="00B650E5" w:rsidRDefault="00B650E5">
            <w:pPr>
              <w:rPr>
                <w:color w:val="000000"/>
              </w:rPr>
            </w:pPr>
            <w:r>
              <w:rPr>
                <w:color w:val="000000"/>
              </w:rPr>
              <w:t>MP</w:t>
            </w:r>
          </w:p>
        </w:tc>
        <w:tc>
          <w:tcPr>
            <w:tcW w:w="7849" w:type="dxa"/>
            <w:vAlign w:val="center"/>
          </w:tcPr>
          <w:p w14:paraId="7512831F" w14:textId="77777777" w:rsidR="00B650E5" w:rsidRDefault="00B650E5">
            <w:pPr>
              <w:rPr>
                <w:color w:val="000000"/>
              </w:rPr>
            </w:pPr>
            <w:r>
              <w:rPr>
                <w:color w:val="000000"/>
              </w:rPr>
              <w:t>metodický pokyn</w:t>
            </w:r>
          </w:p>
        </w:tc>
      </w:tr>
      <w:tr w:rsidR="00B650E5" w14:paraId="6170E409" w14:textId="77777777" w:rsidTr="00227685">
        <w:trPr>
          <w:trHeight w:val="315"/>
        </w:trPr>
        <w:tc>
          <w:tcPr>
            <w:tcW w:w="1977" w:type="dxa"/>
            <w:vAlign w:val="center"/>
          </w:tcPr>
          <w:p w14:paraId="5E4BE0C2" w14:textId="77777777" w:rsidR="00B650E5" w:rsidRDefault="00B650E5">
            <w:pPr>
              <w:rPr>
                <w:color w:val="000000"/>
              </w:rPr>
            </w:pPr>
            <w:r>
              <w:rPr>
                <w:color w:val="000000"/>
              </w:rPr>
              <w:t>MSP</w:t>
            </w:r>
          </w:p>
        </w:tc>
        <w:tc>
          <w:tcPr>
            <w:tcW w:w="7849" w:type="dxa"/>
            <w:vAlign w:val="center"/>
          </w:tcPr>
          <w:p w14:paraId="1FFA53E3" w14:textId="77777777" w:rsidR="00B650E5" w:rsidRDefault="00B650E5">
            <w:pPr>
              <w:rPr>
                <w:color w:val="000000"/>
              </w:rPr>
            </w:pPr>
            <w:r>
              <w:rPr>
                <w:color w:val="000000"/>
              </w:rPr>
              <w:t>malé a stredné podniky</w:t>
            </w:r>
          </w:p>
        </w:tc>
      </w:tr>
      <w:tr w:rsidR="00B650E5" w14:paraId="58762C18" w14:textId="77777777" w:rsidTr="00227685">
        <w:trPr>
          <w:trHeight w:val="315"/>
        </w:trPr>
        <w:tc>
          <w:tcPr>
            <w:tcW w:w="1977" w:type="dxa"/>
            <w:vAlign w:val="center"/>
          </w:tcPr>
          <w:p w14:paraId="42E90C6E" w14:textId="77777777" w:rsidR="00B650E5" w:rsidRDefault="00B650E5">
            <w:pPr>
              <w:rPr>
                <w:color w:val="000000"/>
              </w:rPr>
            </w:pPr>
            <w:r>
              <w:rPr>
                <w:color w:val="000000"/>
              </w:rPr>
              <w:t>MV</w:t>
            </w:r>
          </w:p>
        </w:tc>
        <w:tc>
          <w:tcPr>
            <w:tcW w:w="7849" w:type="dxa"/>
            <w:vAlign w:val="center"/>
          </w:tcPr>
          <w:p w14:paraId="018EA5AA" w14:textId="77777777" w:rsidR="00B650E5" w:rsidRDefault="00B650E5">
            <w:pPr>
              <w:rPr>
                <w:color w:val="000000"/>
              </w:rPr>
            </w:pPr>
            <w:r>
              <w:rPr>
                <w:color w:val="000000"/>
              </w:rPr>
              <w:t>monitorovací výbor</w:t>
            </w:r>
          </w:p>
        </w:tc>
      </w:tr>
      <w:tr w:rsidR="00B650E5" w14:paraId="776C747E" w14:textId="77777777" w:rsidTr="00227685">
        <w:trPr>
          <w:trHeight w:val="315"/>
        </w:trPr>
        <w:tc>
          <w:tcPr>
            <w:tcW w:w="1977" w:type="dxa"/>
            <w:vAlign w:val="center"/>
          </w:tcPr>
          <w:p w14:paraId="48867D8B" w14:textId="77777777" w:rsidR="00B650E5" w:rsidRDefault="00B650E5">
            <w:pPr>
              <w:rPr>
                <w:color w:val="000000"/>
              </w:rPr>
            </w:pPr>
            <w:r>
              <w:rPr>
                <w:color w:val="000000"/>
              </w:rPr>
              <w:t>MZVaEZ SR</w:t>
            </w:r>
          </w:p>
        </w:tc>
        <w:tc>
          <w:tcPr>
            <w:tcW w:w="7849" w:type="dxa"/>
            <w:vAlign w:val="center"/>
          </w:tcPr>
          <w:p w14:paraId="6A8B2738" w14:textId="77777777" w:rsidR="00B650E5" w:rsidRDefault="00B650E5">
            <w:pPr>
              <w:rPr>
                <w:color w:val="000000"/>
              </w:rPr>
            </w:pPr>
            <w:r>
              <w:rPr>
                <w:color w:val="000000"/>
              </w:rPr>
              <w:t>Ministerstvo zahraničných vecí a európskych záležitostí SR</w:t>
            </w:r>
          </w:p>
        </w:tc>
      </w:tr>
      <w:tr w:rsidR="00B650E5" w14:paraId="353B3002" w14:textId="77777777" w:rsidTr="00227685">
        <w:trPr>
          <w:trHeight w:val="315"/>
        </w:trPr>
        <w:tc>
          <w:tcPr>
            <w:tcW w:w="1977" w:type="dxa"/>
            <w:vAlign w:val="center"/>
          </w:tcPr>
          <w:p w14:paraId="16BE0E39" w14:textId="77777777" w:rsidR="00B650E5" w:rsidRDefault="00B650E5">
            <w:pPr>
              <w:rPr>
                <w:color w:val="000000"/>
              </w:rPr>
            </w:pPr>
            <w:r>
              <w:rPr>
                <w:color w:val="000000"/>
              </w:rPr>
              <w:t>MŽP SR</w:t>
            </w:r>
          </w:p>
        </w:tc>
        <w:tc>
          <w:tcPr>
            <w:tcW w:w="7849" w:type="dxa"/>
            <w:vAlign w:val="center"/>
          </w:tcPr>
          <w:p w14:paraId="14344B58" w14:textId="77777777" w:rsidR="00B650E5" w:rsidRDefault="00B650E5">
            <w:pPr>
              <w:rPr>
                <w:color w:val="000000"/>
              </w:rPr>
            </w:pPr>
            <w:r>
              <w:rPr>
                <w:color w:val="000000"/>
              </w:rPr>
              <w:t>Ministerstvo životného prostredia SR</w:t>
            </w:r>
          </w:p>
        </w:tc>
      </w:tr>
      <w:tr w:rsidR="00B650E5" w14:paraId="2428AC88" w14:textId="77777777" w:rsidTr="00227685">
        <w:trPr>
          <w:trHeight w:val="315"/>
        </w:trPr>
        <w:tc>
          <w:tcPr>
            <w:tcW w:w="1977" w:type="dxa"/>
            <w:vAlign w:val="center"/>
          </w:tcPr>
          <w:p w14:paraId="3AAD89AE" w14:textId="77777777" w:rsidR="00B650E5" w:rsidRDefault="00B650E5">
            <w:pPr>
              <w:rPr>
                <w:color w:val="000000"/>
              </w:rPr>
            </w:pPr>
            <w:r>
              <w:rPr>
                <w:color w:val="000000"/>
              </w:rPr>
              <w:t>NFP</w:t>
            </w:r>
          </w:p>
        </w:tc>
        <w:tc>
          <w:tcPr>
            <w:tcW w:w="7849" w:type="dxa"/>
            <w:vAlign w:val="center"/>
          </w:tcPr>
          <w:p w14:paraId="2E87A098" w14:textId="77777777" w:rsidR="00B650E5" w:rsidRDefault="00B650E5">
            <w:pPr>
              <w:rPr>
                <w:color w:val="000000"/>
              </w:rPr>
            </w:pPr>
            <w:r>
              <w:rPr>
                <w:color w:val="000000"/>
              </w:rPr>
              <w:t>nenávratný finančný príspevok</w:t>
            </w:r>
          </w:p>
        </w:tc>
      </w:tr>
      <w:tr w:rsidR="00B650E5" w14:paraId="2D7BE156" w14:textId="77777777" w:rsidTr="00227685">
        <w:trPr>
          <w:trHeight w:val="315"/>
        </w:trPr>
        <w:tc>
          <w:tcPr>
            <w:tcW w:w="1977" w:type="dxa"/>
            <w:vAlign w:val="center"/>
          </w:tcPr>
          <w:p w14:paraId="476F918E" w14:textId="77777777" w:rsidR="00B650E5" w:rsidRDefault="00B650E5">
            <w:pPr>
              <w:rPr>
                <w:color w:val="000000"/>
              </w:rPr>
            </w:pPr>
            <w:r>
              <w:rPr>
                <w:color w:val="000000"/>
              </w:rPr>
              <w:t>NKÚ</w:t>
            </w:r>
          </w:p>
        </w:tc>
        <w:tc>
          <w:tcPr>
            <w:tcW w:w="7849" w:type="dxa"/>
            <w:vAlign w:val="center"/>
          </w:tcPr>
          <w:p w14:paraId="1E2FDE9D" w14:textId="77777777" w:rsidR="00B650E5" w:rsidRDefault="00B650E5">
            <w:pPr>
              <w:rPr>
                <w:color w:val="000000"/>
              </w:rPr>
            </w:pPr>
            <w:r>
              <w:rPr>
                <w:color w:val="000000"/>
              </w:rPr>
              <w:t>Najvyšší kontrolný úrad</w:t>
            </w:r>
          </w:p>
        </w:tc>
      </w:tr>
      <w:tr w:rsidR="00B650E5" w14:paraId="553F6863" w14:textId="77777777" w:rsidTr="00227685">
        <w:trPr>
          <w:trHeight w:val="315"/>
        </w:trPr>
        <w:tc>
          <w:tcPr>
            <w:tcW w:w="1977" w:type="dxa"/>
            <w:vAlign w:val="center"/>
          </w:tcPr>
          <w:p w14:paraId="048071D8" w14:textId="77777777" w:rsidR="00B650E5" w:rsidRDefault="00B650E5">
            <w:pPr>
              <w:rPr>
                <w:color w:val="000000"/>
              </w:rPr>
            </w:pPr>
            <w:r>
              <w:rPr>
                <w:color w:val="000000"/>
              </w:rPr>
              <w:t>NMS</w:t>
            </w:r>
          </w:p>
        </w:tc>
        <w:tc>
          <w:tcPr>
            <w:tcW w:w="7849" w:type="dxa"/>
            <w:vAlign w:val="center"/>
          </w:tcPr>
          <w:p w14:paraId="4E9C1787" w14:textId="77777777" w:rsidR="00B650E5" w:rsidRDefault="00B650E5">
            <w:pPr>
              <w:rPr>
                <w:color w:val="000000"/>
              </w:rPr>
            </w:pPr>
            <w:r>
              <w:rPr>
                <w:color w:val="000000"/>
              </w:rPr>
              <w:t>Nezávislý monitorovací subjekt</w:t>
            </w:r>
          </w:p>
        </w:tc>
      </w:tr>
      <w:tr w:rsidR="00B650E5" w14:paraId="1549A6D1" w14:textId="77777777" w:rsidTr="00227685">
        <w:trPr>
          <w:trHeight w:val="315"/>
        </w:trPr>
        <w:tc>
          <w:tcPr>
            <w:tcW w:w="1977" w:type="dxa"/>
            <w:vAlign w:val="center"/>
          </w:tcPr>
          <w:p w14:paraId="7C948FB4" w14:textId="77777777" w:rsidR="00B650E5" w:rsidRDefault="00B650E5">
            <w:pPr>
              <w:rPr>
                <w:color w:val="000000"/>
              </w:rPr>
            </w:pPr>
            <w:r>
              <w:rPr>
                <w:color w:val="000000"/>
              </w:rPr>
              <w:t>NMV</w:t>
            </w:r>
          </w:p>
        </w:tc>
        <w:tc>
          <w:tcPr>
            <w:tcW w:w="7849" w:type="dxa"/>
            <w:vAlign w:val="center"/>
          </w:tcPr>
          <w:p w14:paraId="6A59E240" w14:textId="77777777" w:rsidR="00B650E5" w:rsidRDefault="00B650E5">
            <w:pPr>
              <w:rPr>
                <w:color w:val="000000"/>
              </w:rPr>
            </w:pPr>
            <w:r>
              <w:rPr>
                <w:color w:val="000000"/>
              </w:rPr>
              <w:t>Národný monitorovací výbor</w:t>
            </w:r>
          </w:p>
        </w:tc>
      </w:tr>
      <w:tr w:rsidR="00B650E5" w14:paraId="3187D613" w14:textId="77777777" w:rsidTr="00227685">
        <w:trPr>
          <w:trHeight w:val="315"/>
        </w:trPr>
        <w:tc>
          <w:tcPr>
            <w:tcW w:w="1977" w:type="dxa"/>
            <w:vAlign w:val="center"/>
          </w:tcPr>
          <w:p w14:paraId="4591532D" w14:textId="77777777" w:rsidR="00B650E5" w:rsidRDefault="00B650E5">
            <w:pPr>
              <w:rPr>
                <w:color w:val="000000"/>
              </w:rPr>
            </w:pPr>
            <w:r>
              <w:rPr>
                <w:color w:val="000000"/>
              </w:rPr>
              <w:t>OA</w:t>
            </w:r>
          </w:p>
        </w:tc>
        <w:tc>
          <w:tcPr>
            <w:tcW w:w="7849" w:type="dxa"/>
            <w:vAlign w:val="center"/>
          </w:tcPr>
          <w:p w14:paraId="7330C87A" w14:textId="77777777" w:rsidR="00B650E5" w:rsidRDefault="00B650E5">
            <w:pPr>
              <w:rPr>
                <w:color w:val="000000"/>
              </w:rPr>
            </w:pPr>
            <w:r>
              <w:rPr>
                <w:color w:val="000000"/>
              </w:rPr>
              <w:t>Orgán auditu</w:t>
            </w:r>
          </w:p>
        </w:tc>
      </w:tr>
      <w:tr w:rsidR="00B650E5" w14:paraId="5881DA6C" w14:textId="77777777" w:rsidTr="00227685">
        <w:trPr>
          <w:trHeight w:val="315"/>
        </w:trPr>
        <w:tc>
          <w:tcPr>
            <w:tcW w:w="1977" w:type="dxa"/>
            <w:vAlign w:val="center"/>
          </w:tcPr>
          <w:p w14:paraId="432C6427" w14:textId="77777777" w:rsidR="00B650E5" w:rsidRDefault="00B650E5">
            <w:pPr>
              <w:rPr>
                <w:color w:val="000000"/>
              </w:rPr>
            </w:pPr>
            <w:r>
              <w:rPr>
                <w:color w:val="000000"/>
              </w:rPr>
              <w:t>OCKÚ OLAF</w:t>
            </w:r>
          </w:p>
        </w:tc>
        <w:tc>
          <w:tcPr>
            <w:tcW w:w="7849" w:type="dxa"/>
            <w:vAlign w:val="center"/>
          </w:tcPr>
          <w:p w14:paraId="190B106D" w14:textId="77777777" w:rsidR="00B650E5" w:rsidRDefault="00B650E5">
            <w:pPr>
              <w:rPr>
                <w:color w:val="000000"/>
              </w:rPr>
            </w:pPr>
            <w:r>
              <w:rPr>
                <w:color w:val="000000"/>
              </w:rPr>
              <w:t>Odbor Centrálny kontaktný útvar pre OLAF</w:t>
            </w:r>
          </w:p>
        </w:tc>
      </w:tr>
      <w:tr w:rsidR="00B650E5" w14:paraId="0C53F4A0" w14:textId="77777777" w:rsidTr="00227685">
        <w:trPr>
          <w:trHeight w:val="315"/>
        </w:trPr>
        <w:tc>
          <w:tcPr>
            <w:tcW w:w="1977" w:type="dxa"/>
            <w:vAlign w:val="center"/>
          </w:tcPr>
          <w:p w14:paraId="08A53D40" w14:textId="77777777" w:rsidR="00B650E5" w:rsidRPr="009078F6" w:rsidRDefault="00B650E5">
            <w:pPr>
              <w:rPr>
                <w:color w:val="000000"/>
              </w:rPr>
            </w:pPr>
            <w:r w:rsidRPr="009078F6">
              <w:rPr>
                <w:color w:val="000000"/>
              </w:rPr>
              <w:t>OH</w:t>
            </w:r>
          </w:p>
        </w:tc>
        <w:tc>
          <w:tcPr>
            <w:tcW w:w="7849" w:type="dxa"/>
            <w:vAlign w:val="center"/>
          </w:tcPr>
          <w:p w14:paraId="462B75D3" w14:textId="77777777" w:rsidR="00B650E5" w:rsidRDefault="00B650E5">
            <w:pPr>
              <w:rPr>
                <w:color w:val="000000"/>
              </w:rPr>
            </w:pPr>
            <w:r w:rsidRPr="009078F6">
              <w:rPr>
                <w:color w:val="000000"/>
              </w:rPr>
              <w:t>odborné hodnotenie</w:t>
            </w:r>
          </w:p>
        </w:tc>
      </w:tr>
      <w:tr w:rsidR="00B650E5" w14:paraId="63352DE1" w14:textId="77777777" w:rsidTr="00227685">
        <w:trPr>
          <w:trHeight w:val="315"/>
        </w:trPr>
        <w:tc>
          <w:tcPr>
            <w:tcW w:w="1977" w:type="dxa"/>
            <w:vAlign w:val="center"/>
          </w:tcPr>
          <w:p w14:paraId="0BDC50DB" w14:textId="77777777" w:rsidR="00B650E5" w:rsidRPr="009078F6" w:rsidRDefault="00B650E5">
            <w:pPr>
              <w:rPr>
                <w:color w:val="000000"/>
              </w:rPr>
            </w:pPr>
            <w:r w:rsidRPr="00893512">
              <w:rPr>
                <w:color w:val="000000"/>
              </w:rPr>
              <w:t>OLAF</w:t>
            </w:r>
          </w:p>
        </w:tc>
        <w:tc>
          <w:tcPr>
            <w:tcW w:w="7849" w:type="dxa"/>
            <w:vAlign w:val="center"/>
          </w:tcPr>
          <w:p w14:paraId="1E1693EA" w14:textId="77777777" w:rsidR="00B650E5" w:rsidRPr="009078F6" w:rsidRDefault="00B650E5">
            <w:pPr>
              <w:rPr>
                <w:color w:val="000000"/>
              </w:rPr>
            </w:pPr>
            <w:r w:rsidRPr="00893512">
              <w:rPr>
                <w:color w:val="000000"/>
              </w:rPr>
              <w:t>Európsky úrad pre boj proti podvodom</w:t>
            </w:r>
          </w:p>
        </w:tc>
      </w:tr>
      <w:tr w:rsidR="00B650E5" w14:paraId="60EDFB82" w14:textId="77777777" w:rsidTr="00227685">
        <w:trPr>
          <w:trHeight w:val="945"/>
        </w:trPr>
        <w:tc>
          <w:tcPr>
            <w:tcW w:w="1977" w:type="dxa"/>
            <w:vAlign w:val="center"/>
          </w:tcPr>
          <w:p w14:paraId="0A2E0195" w14:textId="77777777" w:rsidR="00B650E5" w:rsidRDefault="00B650E5">
            <w:pPr>
              <w:rPr>
                <w:color w:val="000000"/>
              </w:rPr>
            </w:pPr>
            <w:r>
              <w:rPr>
                <w:color w:val="000000"/>
              </w:rPr>
              <w:t>OP</w:t>
            </w:r>
          </w:p>
        </w:tc>
        <w:tc>
          <w:tcPr>
            <w:tcW w:w="7849" w:type="dxa"/>
            <w:vAlign w:val="center"/>
          </w:tcPr>
          <w:p w14:paraId="21FF79BD" w14:textId="77777777" w:rsidR="00B650E5" w:rsidRDefault="00B650E5">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B650E5" w14:paraId="595D0C4C" w14:textId="77777777" w:rsidTr="00227685">
        <w:trPr>
          <w:trHeight w:val="315"/>
        </w:trPr>
        <w:tc>
          <w:tcPr>
            <w:tcW w:w="1977" w:type="dxa"/>
            <w:vAlign w:val="center"/>
          </w:tcPr>
          <w:p w14:paraId="24D69EBE" w14:textId="77777777" w:rsidR="00B650E5" w:rsidRDefault="00B650E5">
            <w:pPr>
              <w:rPr>
                <w:color w:val="000000"/>
              </w:rPr>
            </w:pPr>
            <w:r>
              <w:rPr>
                <w:color w:val="000000"/>
              </w:rPr>
              <w:t>OP RH</w:t>
            </w:r>
          </w:p>
        </w:tc>
        <w:tc>
          <w:tcPr>
            <w:tcW w:w="7849" w:type="dxa"/>
            <w:vAlign w:val="center"/>
          </w:tcPr>
          <w:p w14:paraId="5894A3CE" w14:textId="77777777" w:rsidR="00B650E5" w:rsidRDefault="00B650E5">
            <w:pPr>
              <w:rPr>
                <w:color w:val="000000"/>
              </w:rPr>
            </w:pPr>
            <w:r>
              <w:rPr>
                <w:color w:val="000000"/>
              </w:rPr>
              <w:t>operačný program Rybné hospodárstvo</w:t>
            </w:r>
          </w:p>
        </w:tc>
      </w:tr>
      <w:tr w:rsidR="00B650E5" w14:paraId="43B3BF70" w14:textId="77777777" w:rsidTr="00227685">
        <w:trPr>
          <w:trHeight w:val="315"/>
        </w:trPr>
        <w:tc>
          <w:tcPr>
            <w:tcW w:w="1977" w:type="dxa"/>
            <w:vAlign w:val="center"/>
          </w:tcPr>
          <w:p w14:paraId="61ADA01E" w14:textId="77777777" w:rsidR="00B650E5" w:rsidRDefault="00B650E5">
            <w:pPr>
              <w:rPr>
                <w:color w:val="000000"/>
              </w:rPr>
            </w:pPr>
            <w:r>
              <w:rPr>
                <w:color w:val="000000"/>
              </w:rPr>
              <w:t>PD</w:t>
            </w:r>
          </w:p>
        </w:tc>
        <w:tc>
          <w:tcPr>
            <w:tcW w:w="7849" w:type="dxa"/>
            <w:vAlign w:val="center"/>
          </w:tcPr>
          <w:p w14:paraId="5CE476F0" w14:textId="77777777" w:rsidR="00B650E5" w:rsidRDefault="00B650E5">
            <w:pPr>
              <w:rPr>
                <w:color w:val="000000"/>
              </w:rPr>
            </w:pPr>
            <w:r>
              <w:rPr>
                <w:color w:val="000000"/>
              </w:rPr>
              <w:t>partnerská dohoda</w:t>
            </w:r>
          </w:p>
        </w:tc>
      </w:tr>
      <w:tr w:rsidR="00B650E5" w14:paraId="727ABB24" w14:textId="77777777" w:rsidTr="00227685">
        <w:trPr>
          <w:trHeight w:val="315"/>
        </w:trPr>
        <w:tc>
          <w:tcPr>
            <w:tcW w:w="1977" w:type="dxa"/>
            <w:vAlign w:val="center"/>
          </w:tcPr>
          <w:p w14:paraId="61C3F4E4" w14:textId="77777777" w:rsidR="00B650E5" w:rsidRDefault="00B650E5">
            <w:pPr>
              <w:rPr>
                <w:color w:val="000000"/>
              </w:rPr>
            </w:pPr>
            <w:r>
              <w:rPr>
                <w:color w:val="000000"/>
              </w:rPr>
              <w:t>PJ</w:t>
            </w:r>
          </w:p>
        </w:tc>
        <w:tc>
          <w:tcPr>
            <w:tcW w:w="7849" w:type="dxa"/>
            <w:vAlign w:val="center"/>
          </w:tcPr>
          <w:p w14:paraId="3596BA6D" w14:textId="77777777" w:rsidR="00B650E5" w:rsidRDefault="00B650E5">
            <w:pPr>
              <w:rPr>
                <w:color w:val="000000"/>
              </w:rPr>
            </w:pPr>
            <w:r>
              <w:rPr>
                <w:color w:val="000000"/>
              </w:rPr>
              <w:t>platobná jednotka</w:t>
            </w:r>
          </w:p>
        </w:tc>
      </w:tr>
      <w:tr w:rsidR="00B650E5" w14:paraId="13FDF180" w14:textId="77777777" w:rsidTr="00227685">
        <w:trPr>
          <w:trHeight w:val="315"/>
        </w:trPr>
        <w:tc>
          <w:tcPr>
            <w:tcW w:w="1977" w:type="dxa"/>
            <w:vAlign w:val="center"/>
          </w:tcPr>
          <w:p w14:paraId="696A4238" w14:textId="77777777" w:rsidR="00B650E5" w:rsidRDefault="00B650E5">
            <w:pPr>
              <w:rPr>
                <w:color w:val="000000"/>
              </w:rPr>
            </w:pPr>
            <w:r>
              <w:rPr>
                <w:color w:val="000000"/>
              </w:rPr>
              <w:t>PMÚ</w:t>
            </w:r>
          </w:p>
        </w:tc>
        <w:tc>
          <w:tcPr>
            <w:tcW w:w="7849" w:type="dxa"/>
            <w:vAlign w:val="center"/>
          </w:tcPr>
          <w:p w14:paraId="2C7B5F26" w14:textId="77777777" w:rsidR="00B650E5" w:rsidRDefault="00B650E5">
            <w:pPr>
              <w:rPr>
                <w:color w:val="000000"/>
              </w:rPr>
            </w:pPr>
            <w:r>
              <w:rPr>
                <w:color w:val="000000"/>
              </w:rPr>
              <w:t>Protimonopolný úrad</w:t>
            </w:r>
            <w:r w:rsidR="00841464">
              <w:rPr>
                <w:color w:val="000000"/>
              </w:rPr>
              <w:t xml:space="preserve"> Slovenskej republiky</w:t>
            </w:r>
          </w:p>
        </w:tc>
      </w:tr>
      <w:tr w:rsidR="00B650E5" w14:paraId="009D8DF3" w14:textId="77777777" w:rsidTr="00227685">
        <w:trPr>
          <w:trHeight w:val="315"/>
        </w:trPr>
        <w:tc>
          <w:tcPr>
            <w:tcW w:w="1977" w:type="dxa"/>
            <w:vAlign w:val="center"/>
          </w:tcPr>
          <w:p w14:paraId="102673ED" w14:textId="77777777" w:rsidR="00B650E5" w:rsidRDefault="00B650E5">
            <w:pPr>
              <w:rPr>
                <w:color w:val="000000"/>
              </w:rPr>
            </w:pPr>
            <w:r>
              <w:rPr>
                <w:color w:val="000000"/>
              </w:rPr>
              <w:t>PO</w:t>
            </w:r>
          </w:p>
        </w:tc>
        <w:tc>
          <w:tcPr>
            <w:tcW w:w="7849" w:type="dxa"/>
            <w:vAlign w:val="center"/>
          </w:tcPr>
          <w:p w14:paraId="2E39F5F5" w14:textId="77777777" w:rsidR="00B650E5" w:rsidRDefault="00B650E5">
            <w:pPr>
              <w:rPr>
                <w:color w:val="000000"/>
              </w:rPr>
            </w:pPr>
            <w:r>
              <w:rPr>
                <w:color w:val="000000"/>
              </w:rPr>
              <w:t>prioritná os</w:t>
            </w:r>
          </w:p>
        </w:tc>
      </w:tr>
      <w:tr w:rsidR="00B650E5" w14:paraId="1CB995BE" w14:textId="77777777" w:rsidTr="00227685">
        <w:trPr>
          <w:trHeight w:val="315"/>
        </w:trPr>
        <w:tc>
          <w:tcPr>
            <w:tcW w:w="1977" w:type="dxa"/>
            <w:vAlign w:val="center"/>
          </w:tcPr>
          <w:p w14:paraId="375B63DE" w14:textId="77777777" w:rsidR="00B650E5" w:rsidRPr="009078F6" w:rsidRDefault="00B650E5">
            <w:pPr>
              <w:rPr>
                <w:color w:val="000000"/>
              </w:rPr>
            </w:pPr>
            <w:r w:rsidRPr="009078F6">
              <w:rPr>
                <w:color w:val="000000"/>
              </w:rPr>
              <w:t>PRV</w:t>
            </w:r>
          </w:p>
        </w:tc>
        <w:tc>
          <w:tcPr>
            <w:tcW w:w="7849" w:type="dxa"/>
            <w:vAlign w:val="center"/>
          </w:tcPr>
          <w:p w14:paraId="48130527" w14:textId="77777777" w:rsidR="00B650E5" w:rsidRDefault="00B650E5">
            <w:pPr>
              <w:rPr>
                <w:color w:val="000000"/>
              </w:rPr>
            </w:pPr>
            <w:r w:rsidRPr="009078F6">
              <w:rPr>
                <w:color w:val="000000"/>
              </w:rPr>
              <w:t>Program rozvoja vidieka</w:t>
            </w:r>
          </w:p>
        </w:tc>
      </w:tr>
      <w:tr w:rsidR="00B650E5" w14:paraId="1F52AD55" w14:textId="77777777" w:rsidTr="00227685">
        <w:trPr>
          <w:trHeight w:val="315"/>
        </w:trPr>
        <w:tc>
          <w:tcPr>
            <w:tcW w:w="1977" w:type="dxa"/>
            <w:vAlign w:val="center"/>
          </w:tcPr>
          <w:p w14:paraId="16B25512" w14:textId="77777777" w:rsidR="00B650E5" w:rsidRDefault="00B650E5">
            <w:pPr>
              <w:rPr>
                <w:color w:val="000000"/>
              </w:rPr>
            </w:pPr>
            <w:r>
              <w:rPr>
                <w:color w:val="000000"/>
              </w:rPr>
              <w:t>RIÚS</w:t>
            </w:r>
          </w:p>
        </w:tc>
        <w:tc>
          <w:tcPr>
            <w:tcW w:w="7849" w:type="dxa"/>
            <w:vAlign w:val="bottom"/>
          </w:tcPr>
          <w:p w14:paraId="52764C1C" w14:textId="77777777" w:rsidR="00B650E5" w:rsidRDefault="00B650E5">
            <w:pPr>
              <w:rPr>
                <w:color w:val="000000"/>
              </w:rPr>
            </w:pPr>
            <w:r>
              <w:rPr>
                <w:color w:val="000000"/>
              </w:rPr>
              <w:t>Regionálna integrovaná územná stratégia</w:t>
            </w:r>
          </w:p>
        </w:tc>
      </w:tr>
      <w:tr w:rsidR="00B650E5" w14:paraId="0EB01A0F" w14:textId="77777777" w:rsidTr="00227685">
        <w:trPr>
          <w:trHeight w:val="315"/>
        </w:trPr>
        <w:tc>
          <w:tcPr>
            <w:tcW w:w="1977" w:type="dxa"/>
            <w:vAlign w:val="center"/>
          </w:tcPr>
          <w:p w14:paraId="41D06394" w14:textId="77777777" w:rsidR="00B650E5" w:rsidRDefault="00B650E5">
            <w:pPr>
              <w:rPr>
                <w:color w:val="000000"/>
              </w:rPr>
            </w:pPr>
            <w:r>
              <w:rPr>
                <w:color w:val="000000"/>
              </w:rPr>
              <w:t>RO</w:t>
            </w:r>
          </w:p>
        </w:tc>
        <w:tc>
          <w:tcPr>
            <w:tcW w:w="7849" w:type="dxa"/>
            <w:vAlign w:val="center"/>
          </w:tcPr>
          <w:p w14:paraId="72890C77" w14:textId="77777777" w:rsidR="00B650E5" w:rsidRDefault="00B650E5">
            <w:pPr>
              <w:rPr>
                <w:color w:val="000000"/>
              </w:rPr>
            </w:pPr>
            <w:r>
              <w:rPr>
                <w:color w:val="000000"/>
              </w:rPr>
              <w:t>riadiaci orgán</w:t>
            </w:r>
          </w:p>
        </w:tc>
      </w:tr>
      <w:tr w:rsidR="00B650E5" w14:paraId="21FE9566" w14:textId="77777777" w:rsidTr="00227685">
        <w:trPr>
          <w:trHeight w:val="315"/>
        </w:trPr>
        <w:tc>
          <w:tcPr>
            <w:tcW w:w="1977" w:type="dxa"/>
            <w:vAlign w:val="center"/>
          </w:tcPr>
          <w:p w14:paraId="14E4696C" w14:textId="77777777" w:rsidR="00B650E5" w:rsidRDefault="00B650E5">
            <w:pPr>
              <w:rPr>
                <w:color w:val="000000"/>
              </w:rPr>
            </w:pPr>
            <w:r>
              <w:rPr>
                <w:color w:val="000000"/>
              </w:rPr>
              <w:t>SAP</w:t>
            </w:r>
          </w:p>
        </w:tc>
        <w:tc>
          <w:tcPr>
            <w:tcW w:w="7849" w:type="dxa"/>
            <w:vAlign w:val="center"/>
          </w:tcPr>
          <w:p w14:paraId="19AD2203" w14:textId="77777777" w:rsidR="00B650E5" w:rsidRDefault="00B650E5">
            <w:pPr>
              <w:rPr>
                <w:color w:val="000000"/>
              </w:rPr>
            </w:pPr>
            <w:r>
              <w:rPr>
                <w:color w:val="000000"/>
              </w:rPr>
              <w:t>spoločný akčný plán</w:t>
            </w:r>
          </w:p>
        </w:tc>
      </w:tr>
      <w:tr w:rsidR="00B650E5" w14:paraId="2CF91ECE" w14:textId="77777777" w:rsidTr="00227685">
        <w:trPr>
          <w:trHeight w:val="315"/>
        </w:trPr>
        <w:tc>
          <w:tcPr>
            <w:tcW w:w="1977" w:type="dxa"/>
            <w:vAlign w:val="center"/>
          </w:tcPr>
          <w:p w14:paraId="3EB62865" w14:textId="77777777" w:rsidR="00B650E5" w:rsidRDefault="00B650E5">
            <w:pPr>
              <w:rPr>
                <w:color w:val="000000"/>
              </w:rPr>
            </w:pPr>
            <w:r>
              <w:rPr>
                <w:color w:val="000000"/>
              </w:rPr>
              <w:t>SI HP</w:t>
            </w:r>
          </w:p>
        </w:tc>
        <w:tc>
          <w:tcPr>
            <w:tcW w:w="7849" w:type="dxa"/>
            <w:vAlign w:val="center"/>
          </w:tcPr>
          <w:p w14:paraId="6D388953" w14:textId="77777777" w:rsidR="00B650E5" w:rsidRDefault="00B650E5">
            <w:pPr>
              <w:rPr>
                <w:color w:val="000000"/>
              </w:rPr>
            </w:pPr>
            <w:r>
              <w:rPr>
                <w:color w:val="000000"/>
              </w:rPr>
              <w:t>Systém implementácie horizontálneho princípu</w:t>
            </w:r>
          </w:p>
        </w:tc>
      </w:tr>
      <w:tr w:rsidR="00B650E5" w14:paraId="228DE547" w14:textId="77777777" w:rsidTr="00227685">
        <w:trPr>
          <w:trHeight w:val="315"/>
        </w:trPr>
        <w:tc>
          <w:tcPr>
            <w:tcW w:w="1977" w:type="dxa"/>
            <w:vAlign w:val="center"/>
          </w:tcPr>
          <w:p w14:paraId="6C1F7CCE" w14:textId="77777777" w:rsidR="00B650E5" w:rsidRDefault="00B650E5">
            <w:pPr>
              <w:rPr>
                <w:color w:val="000000"/>
              </w:rPr>
            </w:pPr>
            <w:r>
              <w:rPr>
                <w:color w:val="000000"/>
              </w:rPr>
              <w:t>SO</w:t>
            </w:r>
          </w:p>
        </w:tc>
        <w:tc>
          <w:tcPr>
            <w:tcW w:w="7849" w:type="dxa"/>
            <w:vAlign w:val="center"/>
          </w:tcPr>
          <w:p w14:paraId="0F03DEFA" w14:textId="77777777" w:rsidR="00B650E5" w:rsidRDefault="00B650E5">
            <w:pPr>
              <w:rPr>
                <w:color w:val="000000"/>
              </w:rPr>
            </w:pPr>
            <w:r>
              <w:rPr>
                <w:color w:val="000000"/>
              </w:rPr>
              <w:t>sprostredkovateľský orgán</w:t>
            </w:r>
          </w:p>
        </w:tc>
      </w:tr>
      <w:tr w:rsidR="00B650E5" w14:paraId="27C965DC" w14:textId="77777777" w:rsidTr="00227685">
        <w:trPr>
          <w:trHeight w:val="315"/>
        </w:trPr>
        <w:tc>
          <w:tcPr>
            <w:tcW w:w="1977" w:type="dxa"/>
            <w:vAlign w:val="center"/>
          </w:tcPr>
          <w:p w14:paraId="38A1A112" w14:textId="77777777" w:rsidR="00B650E5" w:rsidRDefault="00B650E5">
            <w:pPr>
              <w:rPr>
                <w:color w:val="000000"/>
              </w:rPr>
            </w:pPr>
            <w:r>
              <w:rPr>
                <w:color w:val="000000"/>
              </w:rPr>
              <w:t>SSR</w:t>
            </w:r>
          </w:p>
        </w:tc>
        <w:tc>
          <w:tcPr>
            <w:tcW w:w="7849" w:type="dxa"/>
            <w:vAlign w:val="center"/>
          </w:tcPr>
          <w:p w14:paraId="2BAD05EF" w14:textId="77777777" w:rsidR="00B650E5" w:rsidRDefault="00B650E5">
            <w:pPr>
              <w:rPr>
                <w:color w:val="000000"/>
              </w:rPr>
            </w:pPr>
            <w:r>
              <w:rPr>
                <w:color w:val="000000"/>
              </w:rPr>
              <w:t>Spoločný strategický rámec</w:t>
            </w:r>
          </w:p>
        </w:tc>
      </w:tr>
      <w:tr w:rsidR="00B650E5" w14:paraId="2B184B11" w14:textId="77777777" w:rsidTr="00227685">
        <w:trPr>
          <w:trHeight w:val="315"/>
        </w:trPr>
        <w:tc>
          <w:tcPr>
            <w:tcW w:w="1977" w:type="dxa"/>
            <w:vAlign w:val="center"/>
          </w:tcPr>
          <w:p w14:paraId="74558010" w14:textId="77777777" w:rsidR="00B650E5" w:rsidRDefault="00B650E5">
            <w:pPr>
              <w:rPr>
                <w:color w:val="000000"/>
              </w:rPr>
            </w:pPr>
            <w:r>
              <w:rPr>
                <w:color w:val="000000"/>
              </w:rPr>
              <w:t>SVHZ</w:t>
            </w:r>
          </w:p>
        </w:tc>
        <w:tc>
          <w:tcPr>
            <w:tcW w:w="7849" w:type="dxa"/>
            <w:vAlign w:val="center"/>
          </w:tcPr>
          <w:p w14:paraId="0F1EC92C" w14:textId="77777777" w:rsidR="00B650E5" w:rsidRDefault="00B650E5">
            <w:pPr>
              <w:rPr>
                <w:color w:val="000000"/>
              </w:rPr>
            </w:pPr>
            <w:r>
              <w:rPr>
                <w:color w:val="000000"/>
              </w:rPr>
              <w:t>služby všeobecného hospodárskeho záujmu</w:t>
            </w:r>
          </w:p>
        </w:tc>
      </w:tr>
      <w:tr w:rsidR="00B650E5" w14:paraId="184E6F4F" w14:textId="77777777" w:rsidTr="00227685">
        <w:trPr>
          <w:trHeight w:val="630"/>
        </w:trPr>
        <w:tc>
          <w:tcPr>
            <w:tcW w:w="1977" w:type="dxa"/>
            <w:vAlign w:val="center"/>
          </w:tcPr>
          <w:p w14:paraId="5E0499D9" w14:textId="77777777" w:rsidR="00B650E5" w:rsidRDefault="00B650E5">
            <w:pPr>
              <w:rPr>
                <w:color w:val="000000"/>
              </w:rPr>
            </w:pPr>
            <w:r>
              <w:rPr>
                <w:color w:val="000000"/>
              </w:rPr>
              <w:t>Systém finančného riadenia</w:t>
            </w:r>
          </w:p>
        </w:tc>
        <w:tc>
          <w:tcPr>
            <w:tcW w:w="7849" w:type="dxa"/>
            <w:vAlign w:val="center"/>
          </w:tcPr>
          <w:p w14:paraId="718F0F64" w14:textId="77777777" w:rsidR="00B650E5" w:rsidRDefault="00B650E5">
            <w:pPr>
              <w:rPr>
                <w:color w:val="000000"/>
              </w:rPr>
            </w:pPr>
            <w:r>
              <w:rPr>
                <w:color w:val="000000"/>
              </w:rPr>
              <w:t>Systém finančného riadenia štrukturálnych fondov, Kohézneho fondu a Európskeho námorného a rybárskeho fondu na programové obdobie 2014</w:t>
            </w:r>
            <w:r w:rsidR="0023261D">
              <w:rPr>
                <w:color w:val="000000"/>
              </w:rPr>
              <w:t xml:space="preserve"> </w:t>
            </w:r>
            <w:r>
              <w:rPr>
                <w:color w:val="000000"/>
              </w:rPr>
              <w:t>-</w:t>
            </w:r>
            <w:r w:rsidR="0023261D">
              <w:rPr>
                <w:color w:val="000000"/>
              </w:rPr>
              <w:t xml:space="preserve"> </w:t>
            </w:r>
            <w:r>
              <w:rPr>
                <w:color w:val="000000"/>
              </w:rPr>
              <w:t>2020</w:t>
            </w:r>
          </w:p>
        </w:tc>
      </w:tr>
      <w:tr w:rsidR="00B650E5" w14:paraId="5A0AB8A6" w14:textId="77777777" w:rsidTr="00227685">
        <w:trPr>
          <w:trHeight w:val="315"/>
        </w:trPr>
        <w:tc>
          <w:tcPr>
            <w:tcW w:w="1977" w:type="dxa"/>
            <w:vAlign w:val="center"/>
          </w:tcPr>
          <w:p w14:paraId="1410E678" w14:textId="77777777" w:rsidR="00B650E5" w:rsidRDefault="00B650E5">
            <w:pPr>
              <w:rPr>
                <w:color w:val="000000"/>
              </w:rPr>
            </w:pPr>
            <w:r>
              <w:rPr>
                <w:color w:val="000000"/>
              </w:rPr>
              <w:t>UMR</w:t>
            </w:r>
          </w:p>
        </w:tc>
        <w:tc>
          <w:tcPr>
            <w:tcW w:w="7849" w:type="dxa"/>
            <w:vAlign w:val="center"/>
          </w:tcPr>
          <w:p w14:paraId="676648FB" w14:textId="77777777" w:rsidR="00B650E5" w:rsidRDefault="00B650E5">
            <w:pPr>
              <w:rPr>
                <w:color w:val="000000"/>
              </w:rPr>
            </w:pPr>
            <w:r>
              <w:rPr>
                <w:color w:val="000000"/>
              </w:rPr>
              <w:t>udržateľný mestský rozvoj</w:t>
            </w:r>
          </w:p>
        </w:tc>
      </w:tr>
      <w:tr w:rsidR="00B650E5" w14:paraId="26842C11" w14:textId="77777777" w:rsidTr="00227685">
        <w:trPr>
          <w:trHeight w:val="315"/>
        </w:trPr>
        <w:tc>
          <w:tcPr>
            <w:tcW w:w="1977" w:type="dxa"/>
            <w:vAlign w:val="center"/>
          </w:tcPr>
          <w:p w14:paraId="685A8E9F" w14:textId="77777777" w:rsidR="00B650E5" w:rsidRDefault="00B650E5">
            <w:pPr>
              <w:rPr>
                <w:color w:val="000000"/>
              </w:rPr>
            </w:pPr>
            <w:r>
              <w:rPr>
                <w:color w:val="000000"/>
              </w:rPr>
              <w:t>ÚOŠS</w:t>
            </w:r>
          </w:p>
        </w:tc>
        <w:tc>
          <w:tcPr>
            <w:tcW w:w="7849" w:type="dxa"/>
            <w:vAlign w:val="center"/>
          </w:tcPr>
          <w:p w14:paraId="751E4D30" w14:textId="77777777" w:rsidR="00B650E5" w:rsidRDefault="00B650E5" w:rsidP="00AB2E95">
            <w:pPr>
              <w:rPr>
                <w:color w:val="000000"/>
              </w:rPr>
            </w:pPr>
            <w:r>
              <w:rPr>
                <w:color w:val="000000"/>
              </w:rPr>
              <w:t>ústredné orgány štátnej správy</w:t>
            </w:r>
          </w:p>
        </w:tc>
      </w:tr>
      <w:tr w:rsidR="00B650E5" w14:paraId="4874F870" w14:textId="77777777" w:rsidTr="00227685">
        <w:trPr>
          <w:trHeight w:val="315"/>
        </w:trPr>
        <w:tc>
          <w:tcPr>
            <w:tcW w:w="1977" w:type="dxa"/>
            <w:vAlign w:val="center"/>
          </w:tcPr>
          <w:p w14:paraId="379B44F2" w14:textId="77777777" w:rsidR="00B650E5" w:rsidRDefault="00B650E5">
            <w:pPr>
              <w:rPr>
                <w:color w:val="000000"/>
              </w:rPr>
            </w:pPr>
            <w:r>
              <w:rPr>
                <w:color w:val="000000"/>
              </w:rPr>
              <w:t>ÚPPVII</w:t>
            </w:r>
          </w:p>
        </w:tc>
        <w:tc>
          <w:tcPr>
            <w:tcW w:w="7849" w:type="dxa"/>
            <w:vAlign w:val="center"/>
          </w:tcPr>
          <w:p w14:paraId="5AB0B74D" w14:textId="77777777" w:rsidR="00B650E5" w:rsidRDefault="00B650E5">
            <w:pPr>
              <w:rPr>
                <w:color w:val="000000"/>
              </w:rPr>
            </w:pPr>
            <w:r>
              <w:rPr>
                <w:color w:val="000000"/>
              </w:rPr>
              <w:t>Úrad podpredsedu vlády Slovenskej republiky pre investície a informatizáciu</w:t>
            </w:r>
          </w:p>
        </w:tc>
      </w:tr>
      <w:tr w:rsidR="00B650E5" w14:paraId="5BEB3B02" w14:textId="77777777" w:rsidTr="00227685">
        <w:trPr>
          <w:trHeight w:val="315"/>
        </w:trPr>
        <w:tc>
          <w:tcPr>
            <w:tcW w:w="1977" w:type="dxa"/>
            <w:vAlign w:val="center"/>
          </w:tcPr>
          <w:p w14:paraId="4A6BB701" w14:textId="77777777" w:rsidR="00B650E5" w:rsidRDefault="00B650E5">
            <w:pPr>
              <w:rPr>
                <w:color w:val="000000"/>
              </w:rPr>
            </w:pPr>
            <w:r w:rsidRPr="00893512">
              <w:rPr>
                <w:color w:val="000000"/>
              </w:rPr>
              <w:t>ÚVA</w:t>
            </w:r>
          </w:p>
        </w:tc>
        <w:tc>
          <w:tcPr>
            <w:tcW w:w="7849" w:type="dxa"/>
            <w:vAlign w:val="center"/>
          </w:tcPr>
          <w:p w14:paraId="215884CC" w14:textId="77777777" w:rsidR="00B650E5" w:rsidRDefault="00B650E5">
            <w:pPr>
              <w:rPr>
                <w:color w:val="000000"/>
              </w:rPr>
            </w:pPr>
            <w:r w:rsidRPr="00893512">
              <w:rPr>
                <w:color w:val="000000"/>
              </w:rPr>
              <w:t>Úrad vládneho auditu</w:t>
            </w:r>
          </w:p>
        </w:tc>
      </w:tr>
      <w:tr w:rsidR="00B650E5" w14:paraId="240E7F62" w14:textId="77777777" w:rsidTr="00227685">
        <w:trPr>
          <w:trHeight w:val="315"/>
        </w:trPr>
        <w:tc>
          <w:tcPr>
            <w:tcW w:w="1977" w:type="dxa"/>
            <w:vAlign w:val="center"/>
          </w:tcPr>
          <w:p w14:paraId="6A439EB4" w14:textId="77777777" w:rsidR="00B650E5" w:rsidRDefault="00B650E5">
            <w:pPr>
              <w:rPr>
                <w:color w:val="000000"/>
              </w:rPr>
            </w:pPr>
            <w:r>
              <w:rPr>
                <w:color w:val="000000"/>
              </w:rPr>
              <w:t>ÚVO</w:t>
            </w:r>
          </w:p>
        </w:tc>
        <w:tc>
          <w:tcPr>
            <w:tcW w:w="7849" w:type="dxa"/>
            <w:vAlign w:val="center"/>
          </w:tcPr>
          <w:p w14:paraId="3F2C5D92" w14:textId="77777777" w:rsidR="00B650E5" w:rsidRDefault="00B650E5">
            <w:pPr>
              <w:rPr>
                <w:color w:val="000000"/>
              </w:rPr>
            </w:pPr>
            <w:r>
              <w:rPr>
                <w:color w:val="000000"/>
              </w:rPr>
              <w:t>Úrad pre verejné obstarávanie</w:t>
            </w:r>
          </w:p>
        </w:tc>
      </w:tr>
      <w:tr w:rsidR="00B650E5" w14:paraId="5A0DCAD4" w14:textId="77777777" w:rsidTr="00227685">
        <w:trPr>
          <w:trHeight w:val="315"/>
        </w:trPr>
        <w:tc>
          <w:tcPr>
            <w:tcW w:w="1977" w:type="dxa"/>
            <w:vAlign w:val="center"/>
          </w:tcPr>
          <w:p w14:paraId="5B39A82B" w14:textId="77777777" w:rsidR="00B650E5" w:rsidRPr="009078F6" w:rsidRDefault="00B650E5">
            <w:pPr>
              <w:rPr>
                <w:color w:val="000000"/>
              </w:rPr>
            </w:pPr>
            <w:r w:rsidRPr="009078F6">
              <w:rPr>
                <w:color w:val="000000"/>
              </w:rPr>
              <w:t>ÚV SR</w:t>
            </w:r>
          </w:p>
        </w:tc>
        <w:tc>
          <w:tcPr>
            <w:tcW w:w="7849" w:type="dxa"/>
            <w:vAlign w:val="center"/>
          </w:tcPr>
          <w:p w14:paraId="4DF56418" w14:textId="77777777" w:rsidR="00B650E5" w:rsidRDefault="00B650E5">
            <w:pPr>
              <w:rPr>
                <w:color w:val="000000"/>
              </w:rPr>
            </w:pPr>
            <w:r w:rsidRPr="009078F6">
              <w:rPr>
                <w:color w:val="000000"/>
              </w:rPr>
              <w:t>Úrad vlády Slovenskej republiky</w:t>
            </w:r>
          </w:p>
        </w:tc>
      </w:tr>
      <w:tr w:rsidR="00B650E5" w14:paraId="736CAFF3" w14:textId="77777777" w:rsidTr="00227685">
        <w:trPr>
          <w:trHeight w:val="315"/>
        </w:trPr>
        <w:tc>
          <w:tcPr>
            <w:tcW w:w="1977" w:type="dxa"/>
            <w:vAlign w:val="center"/>
          </w:tcPr>
          <w:p w14:paraId="5E2B063F" w14:textId="77777777" w:rsidR="00B650E5" w:rsidRPr="009078F6" w:rsidRDefault="00B650E5">
            <w:pPr>
              <w:rPr>
                <w:color w:val="000000"/>
              </w:rPr>
            </w:pPr>
            <w:r w:rsidRPr="00893512">
              <w:rPr>
                <w:color w:val="000000"/>
              </w:rPr>
              <w:lastRenderedPageBreak/>
              <w:t>VK</w:t>
            </w:r>
          </w:p>
        </w:tc>
        <w:tc>
          <w:tcPr>
            <w:tcW w:w="7849" w:type="dxa"/>
            <w:vAlign w:val="center"/>
          </w:tcPr>
          <w:p w14:paraId="339B99EC" w14:textId="77777777" w:rsidR="00B650E5" w:rsidRPr="009078F6" w:rsidRDefault="00B650E5">
            <w:pPr>
              <w:rPr>
                <w:color w:val="000000"/>
              </w:rPr>
            </w:pPr>
            <w:r w:rsidRPr="00893512">
              <w:rPr>
                <w:color w:val="000000"/>
              </w:rPr>
              <w:t>výberové kritériá</w:t>
            </w:r>
          </w:p>
        </w:tc>
      </w:tr>
      <w:tr w:rsidR="00B650E5" w14:paraId="2C696504" w14:textId="77777777" w:rsidTr="00227685">
        <w:trPr>
          <w:trHeight w:val="315"/>
        </w:trPr>
        <w:tc>
          <w:tcPr>
            <w:tcW w:w="1977" w:type="dxa"/>
            <w:vAlign w:val="center"/>
          </w:tcPr>
          <w:p w14:paraId="2BA6E67A" w14:textId="77777777" w:rsidR="00B650E5" w:rsidRPr="009078F6" w:rsidRDefault="00B650E5">
            <w:pPr>
              <w:rPr>
                <w:color w:val="000000"/>
              </w:rPr>
            </w:pPr>
            <w:r w:rsidRPr="00893512">
              <w:rPr>
                <w:color w:val="000000"/>
              </w:rPr>
              <w:t>VO</w:t>
            </w:r>
          </w:p>
        </w:tc>
        <w:tc>
          <w:tcPr>
            <w:tcW w:w="7849" w:type="dxa"/>
            <w:vAlign w:val="center"/>
          </w:tcPr>
          <w:p w14:paraId="3CE4B10F" w14:textId="77777777" w:rsidR="00B650E5" w:rsidRPr="009078F6" w:rsidRDefault="00B650E5">
            <w:pPr>
              <w:rPr>
                <w:color w:val="000000"/>
              </w:rPr>
            </w:pPr>
            <w:r w:rsidRPr="00893512">
              <w:rPr>
                <w:color w:val="000000"/>
              </w:rPr>
              <w:t>verejné obstarávanie</w:t>
            </w:r>
          </w:p>
        </w:tc>
      </w:tr>
      <w:tr w:rsidR="00B650E5" w14:paraId="1B12B79A" w14:textId="77777777" w:rsidTr="00227685">
        <w:trPr>
          <w:trHeight w:val="315"/>
        </w:trPr>
        <w:tc>
          <w:tcPr>
            <w:tcW w:w="1977" w:type="dxa"/>
            <w:vAlign w:val="center"/>
          </w:tcPr>
          <w:p w14:paraId="625518C0" w14:textId="77777777" w:rsidR="00B650E5" w:rsidRDefault="00B650E5">
            <w:pPr>
              <w:rPr>
                <w:color w:val="000000"/>
              </w:rPr>
            </w:pPr>
            <w:r>
              <w:rPr>
                <w:color w:val="000000"/>
              </w:rPr>
              <w:t>Výzvy</w:t>
            </w:r>
          </w:p>
        </w:tc>
        <w:tc>
          <w:tcPr>
            <w:tcW w:w="7849" w:type="dxa"/>
            <w:vAlign w:val="center"/>
          </w:tcPr>
          <w:p w14:paraId="75A376D5" w14:textId="77777777" w:rsidR="00B650E5" w:rsidRDefault="00B650E5">
            <w:pPr>
              <w:rPr>
                <w:color w:val="000000"/>
              </w:rPr>
            </w:pPr>
            <w:r>
              <w:rPr>
                <w:color w:val="000000"/>
              </w:rPr>
              <w:t>výzva na predkladanie projektových zámerov a výzva na predkladanie ŽoNFP</w:t>
            </w:r>
          </w:p>
        </w:tc>
      </w:tr>
      <w:tr w:rsidR="00B650E5" w14:paraId="0391CCBE" w14:textId="77777777" w:rsidTr="00227685">
        <w:trPr>
          <w:trHeight w:val="1890"/>
        </w:trPr>
        <w:tc>
          <w:tcPr>
            <w:tcW w:w="1977" w:type="dxa"/>
            <w:vAlign w:val="center"/>
          </w:tcPr>
          <w:p w14:paraId="381A49EA" w14:textId="77777777" w:rsidR="00B650E5" w:rsidRDefault="00B650E5">
            <w:pPr>
              <w:rPr>
                <w:color w:val="000000"/>
              </w:rPr>
            </w:pPr>
            <w:r>
              <w:rPr>
                <w:color w:val="000000"/>
              </w:rPr>
              <w:t>zmluva o NFP</w:t>
            </w:r>
          </w:p>
        </w:tc>
        <w:tc>
          <w:tcPr>
            <w:tcW w:w="7849" w:type="dxa"/>
            <w:vAlign w:val="center"/>
          </w:tcPr>
          <w:p w14:paraId="63926DF9" w14:textId="1D746FA8" w:rsidR="00B650E5" w:rsidRDefault="00B650E5" w:rsidP="006B2B6A">
            <w:pPr>
              <w:jc w:val="both"/>
              <w:rPr>
                <w:color w:val="000000"/>
              </w:rPr>
            </w:pPr>
            <w:r>
              <w:rPr>
                <w:color w:val="000000"/>
              </w:rPr>
              <w:t>zmluva o poskytnutí nenávratného finančného príspevku (</w:t>
            </w:r>
            <w:r>
              <w:rPr>
                <w:i/>
                <w:iCs/>
                <w:color w:val="000000"/>
              </w:rPr>
              <w:t>v prípade, ak pri</w:t>
            </w:r>
            <w:r w:rsidR="00E2080D">
              <w:rPr>
                <w:i/>
                <w:iCs/>
                <w:color w:val="000000"/>
              </w:rPr>
              <w:t> </w:t>
            </w:r>
            <w:r>
              <w:rPr>
                <w:i/>
                <w:iCs/>
                <w:color w:val="000000"/>
              </w:rPr>
              <w:t>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B650E5" w14:paraId="6FCCE5A1" w14:textId="77777777" w:rsidTr="00227685">
        <w:trPr>
          <w:trHeight w:val="630"/>
        </w:trPr>
        <w:tc>
          <w:tcPr>
            <w:tcW w:w="1977" w:type="dxa"/>
            <w:vAlign w:val="center"/>
          </w:tcPr>
          <w:p w14:paraId="0B683BFD" w14:textId="77777777" w:rsidR="00B650E5" w:rsidRDefault="00B650E5">
            <w:pPr>
              <w:rPr>
                <w:color w:val="000000"/>
              </w:rPr>
            </w:pPr>
            <w:r>
              <w:rPr>
                <w:color w:val="000000"/>
              </w:rPr>
              <w:t>ZVO</w:t>
            </w:r>
          </w:p>
        </w:tc>
        <w:tc>
          <w:tcPr>
            <w:tcW w:w="7849" w:type="dxa"/>
            <w:vAlign w:val="center"/>
          </w:tcPr>
          <w:p w14:paraId="38D21DC5" w14:textId="77777777" w:rsidR="00B650E5" w:rsidRDefault="00B650E5" w:rsidP="000E286B">
            <w:pPr>
              <w:jc w:val="both"/>
              <w:rPr>
                <w:color w:val="000000"/>
              </w:rPr>
            </w:pPr>
            <w:r>
              <w:rPr>
                <w:color w:val="000000"/>
              </w:rPr>
              <w:t>zákon č. 343/2015 Z. z. o verejnom obstarávaní a o zmene a doplnení niektorých zákonov v znení neskorších predpisov</w:t>
            </w:r>
          </w:p>
        </w:tc>
      </w:tr>
      <w:tr w:rsidR="00B650E5" w14:paraId="0E724E01" w14:textId="77777777" w:rsidTr="00227685">
        <w:trPr>
          <w:trHeight w:val="315"/>
        </w:trPr>
        <w:tc>
          <w:tcPr>
            <w:tcW w:w="1977" w:type="dxa"/>
            <w:vAlign w:val="center"/>
          </w:tcPr>
          <w:p w14:paraId="2292543E" w14:textId="77777777" w:rsidR="00B650E5" w:rsidRDefault="00B650E5">
            <w:pPr>
              <w:rPr>
                <w:color w:val="000000"/>
              </w:rPr>
            </w:pPr>
            <w:r>
              <w:rPr>
                <w:color w:val="000000"/>
              </w:rPr>
              <w:t>ŽoNFP</w:t>
            </w:r>
          </w:p>
        </w:tc>
        <w:tc>
          <w:tcPr>
            <w:tcW w:w="7849" w:type="dxa"/>
            <w:vAlign w:val="center"/>
          </w:tcPr>
          <w:p w14:paraId="62B680A6" w14:textId="77777777" w:rsidR="00B650E5" w:rsidRDefault="00B650E5">
            <w:pPr>
              <w:rPr>
                <w:color w:val="000000"/>
              </w:rPr>
            </w:pPr>
            <w:r>
              <w:rPr>
                <w:color w:val="000000"/>
              </w:rPr>
              <w:t>žiadosť o poskytnutie nenávratného finančného príspevku</w:t>
            </w:r>
          </w:p>
        </w:tc>
      </w:tr>
      <w:tr w:rsidR="00B650E5" w14:paraId="6E534C0E" w14:textId="77777777" w:rsidTr="00227685">
        <w:trPr>
          <w:trHeight w:val="315"/>
        </w:trPr>
        <w:tc>
          <w:tcPr>
            <w:tcW w:w="1977" w:type="dxa"/>
            <w:vAlign w:val="center"/>
          </w:tcPr>
          <w:p w14:paraId="52272CD7" w14:textId="77777777" w:rsidR="00B650E5" w:rsidRDefault="00B650E5">
            <w:pPr>
              <w:rPr>
                <w:color w:val="000000"/>
              </w:rPr>
            </w:pPr>
            <w:r>
              <w:rPr>
                <w:color w:val="000000"/>
              </w:rPr>
              <w:t>ŽoP</w:t>
            </w:r>
          </w:p>
        </w:tc>
        <w:tc>
          <w:tcPr>
            <w:tcW w:w="7849" w:type="dxa"/>
            <w:vAlign w:val="center"/>
          </w:tcPr>
          <w:p w14:paraId="43F021F3" w14:textId="77777777" w:rsidR="00B650E5" w:rsidRDefault="00B650E5">
            <w:pPr>
              <w:rPr>
                <w:color w:val="000000"/>
              </w:rPr>
            </w:pPr>
            <w:r>
              <w:rPr>
                <w:color w:val="000000"/>
              </w:rPr>
              <w:t>žiadosť o platbu</w:t>
            </w:r>
          </w:p>
        </w:tc>
      </w:tr>
    </w:tbl>
    <w:p w14:paraId="0C999AB1" w14:textId="77777777" w:rsidR="00B650E5" w:rsidRDefault="00B650E5">
      <w:pPr>
        <w:spacing w:after="200" w:line="276" w:lineRule="auto"/>
        <w:rPr>
          <w:b/>
          <w:bCs/>
          <w:color w:val="365F91"/>
          <w:spacing w:val="5"/>
          <w:kern w:val="28"/>
          <w:sz w:val="36"/>
          <w:szCs w:val="26"/>
        </w:rPr>
      </w:pPr>
      <w:r>
        <w:br w:type="page"/>
      </w:r>
    </w:p>
    <w:p w14:paraId="7BD03776" w14:textId="77777777" w:rsidR="00B650E5" w:rsidRDefault="00B650E5">
      <w:pPr>
        <w:pStyle w:val="SRK2"/>
      </w:pPr>
      <w:bookmarkStart w:id="24" w:name="_Toc453233939"/>
      <w:bookmarkStart w:id="25" w:name="_Toc495649297"/>
      <w:bookmarkStart w:id="26" w:name="kapitola_13"/>
      <w:r>
        <w:lastRenderedPageBreak/>
        <w:t>1.3 Subjekty zapojené do riadenia a kontroly EŠIF</w:t>
      </w:r>
      <w:bookmarkEnd w:id="19"/>
      <w:bookmarkEnd w:id="24"/>
      <w:bookmarkEnd w:id="25"/>
    </w:p>
    <w:p w14:paraId="7DECAEC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27" w:name="_Toc378947473"/>
      <w:bookmarkEnd w:id="26"/>
      <w:r>
        <w:rPr>
          <w:u w:val="single"/>
        </w:rPr>
        <w:t>Relevantná úprava v legislatíve EÚ:</w:t>
      </w:r>
    </w:p>
    <w:p w14:paraId="7BFA5E3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117, 123 až 127 všeobecného nariadenia</w:t>
      </w:r>
    </w:p>
    <w:p w14:paraId="4EFD2DE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1D80E7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až § 15 zákona o príspevku z EŠIF</w:t>
      </w:r>
    </w:p>
    <w:p w14:paraId="38AF4FC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24 kompetenčného zákona</w:t>
      </w:r>
    </w:p>
    <w:p w14:paraId="38957F9B" w14:textId="77777777" w:rsidR="00B650E5" w:rsidRDefault="00B650E5">
      <w:pPr>
        <w:pStyle w:val="SRK3"/>
      </w:pPr>
      <w:bookmarkStart w:id="28" w:name="_Toc453233940"/>
      <w:bookmarkStart w:id="29" w:name="_Toc495649298"/>
      <w:r>
        <w:t>1.3.1 Subjekty zapojené do riadenia a kontroly na strategickej úrovni</w:t>
      </w:r>
      <w:bookmarkEnd w:id="27"/>
      <w:bookmarkEnd w:id="28"/>
      <w:bookmarkEnd w:id="29"/>
    </w:p>
    <w:p w14:paraId="5A4D3B1E" w14:textId="77777777" w:rsidR="00B650E5" w:rsidRDefault="00B650E5" w:rsidP="0045286B">
      <w:pPr>
        <w:pStyle w:val="SRK4"/>
      </w:pPr>
      <w:bookmarkStart w:id="30" w:name="_Toc453233941"/>
      <w:bookmarkStart w:id="31" w:name="_Toc495649299"/>
      <w:r>
        <w:t>1.3.1.1 Podpredseda vlády SR pre investície a informatizáciu</w:t>
      </w:r>
      <w:bookmarkEnd w:id="30"/>
      <w:bookmarkEnd w:id="31"/>
    </w:p>
    <w:p w14:paraId="5FE1D79F" w14:textId="77777777" w:rsidR="00B650E5" w:rsidRDefault="00B650E5" w:rsidP="00DE5D89">
      <w:pPr>
        <w:pStyle w:val="Odsekzoznamu"/>
        <w:numPr>
          <w:ilvl w:val="0"/>
          <w:numId w:val="387"/>
        </w:numPr>
        <w:spacing w:before="120" w:after="120"/>
        <w:ind w:left="426" w:hanging="426"/>
        <w:contextualSpacing w:val="0"/>
        <w:jc w:val="both"/>
      </w:pPr>
      <w:r>
        <w:t>Podpredseda vlády SR pre investície a informatizáciu vo vzťahu k implementácii EŠIF plní úlohy v súlade so schváleným Štatútom podpredsedu vlády SR pre investície a informatizáciu.</w:t>
      </w:r>
    </w:p>
    <w:p w14:paraId="7619D3E9" w14:textId="77777777" w:rsidR="00B650E5" w:rsidRDefault="00B650E5" w:rsidP="0045286B">
      <w:pPr>
        <w:pStyle w:val="SRK4"/>
      </w:pPr>
      <w:bookmarkStart w:id="32" w:name="_Toc453233942"/>
      <w:bookmarkStart w:id="33" w:name="_Toc495649300"/>
      <w:r>
        <w:t>1.3.1.2 Centrálny koordinačný orgán</w:t>
      </w:r>
      <w:bookmarkEnd w:id="32"/>
      <w:bookmarkEnd w:id="33"/>
    </w:p>
    <w:p w14:paraId="57E39A16" w14:textId="77777777" w:rsidR="00B650E5" w:rsidRDefault="00B650E5">
      <w:pPr>
        <w:pStyle w:val="Odsekzoznamu"/>
        <w:numPr>
          <w:ilvl w:val="0"/>
          <w:numId w:val="341"/>
        </w:numPr>
        <w:spacing w:before="120" w:after="120"/>
        <w:contextualSpacing w:val="0"/>
        <w:jc w:val="both"/>
      </w:pPr>
      <w:r>
        <w:t xml:space="preserve">Úlohy CKO v súlade s § 6 ods. 1 zákona o príspevku z EŠIF plní od 1. 6. 2016 </w:t>
      </w:r>
      <w:r w:rsidRPr="009D7275">
        <w:t>ÚP</w:t>
      </w:r>
      <w:r>
        <w:t>P</w:t>
      </w:r>
      <w:r w:rsidRPr="009D7275">
        <w:t>VII</w:t>
      </w:r>
      <w:r>
        <w:t xml:space="preserve">. Vzťahy medzi CKO a podpredsedom vlády SR pre investície </w:t>
      </w:r>
      <w:r w:rsidRPr="00B210B9">
        <w:t xml:space="preserve">a informatizáciu </w:t>
      </w:r>
      <w:r>
        <w:t>sú určené organizačným poriadkom Ú</w:t>
      </w:r>
      <w:r w:rsidRPr="009D7275">
        <w:t>P</w:t>
      </w:r>
      <w:r>
        <w:t>P</w:t>
      </w:r>
      <w:r w:rsidRPr="009D7275">
        <w:t>VII a štatútmi podpredsedu vlády SR pre investície a informatizáciu a Ú</w:t>
      </w:r>
      <w:r>
        <w:t>P</w:t>
      </w:r>
      <w:r w:rsidRPr="009D7275">
        <w:t>PVII</w:t>
      </w:r>
      <w:r>
        <w:t>.</w:t>
      </w:r>
    </w:p>
    <w:p w14:paraId="519B355A" w14:textId="77777777" w:rsidR="00B650E5" w:rsidRDefault="00B650E5">
      <w:pPr>
        <w:pStyle w:val="Odsekzoznamu"/>
        <w:numPr>
          <w:ilvl w:val="0"/>
          <w:numId w:val="341"/>
        </w:numPr>
        <w:spacing w:before="120" w:after="120"/>
        <w:ind w:left="426" w:hanging="426"/>
        <w:contextualSpacing w:val="0"/>
        <w:jc w:val="both"/>
      </w:pPr>
      <w:r>
        <w:t>CKO v súvislosti s realizáciou PD, OP a PRV najmä:</w:t>
      </w:r>
    </w:p>
    <w:p w14:paraId="4A5AA519" w14:textId="77777777" w:rsidR="00B650E5" w:rsidRDefault="00B650E5">
      <w:pPr>
        <w:pStyle w:val="Odsekzoznamu"/>
        <w:numPr>
          <w:ilvl w:val="0"/>
          <w:numId w:val="18"/>
        </w:numPr>
        <w:spacing w:before="120" w:after="120"/>
        <w:ind w:left="850" w:hanging="425"/>
        <w:contextualSpacing w:val="0"/>
        <w:jc w:val="both"/>
      </w:pPr>
      <w:r>
        <w:t>zabezpečuje vypracovanie PD a plní akékoľvek činnosti spojené s jej zmenami;</w:t>
      </w:r>
    </w:p>
    <w:p w14:paraId="127C7D09" w14:textId="5F015436" w:rsidR="00B650E5" w:rsidRDefault="00B650E5">
      <w:pPr>
        <w:pStyle w:val="Odsekzoznamu"/>
        <w:numPr>
          <w:ilvl w:val="0"/>
          <w:numId w:val="18"/>
        </w:numPr>
        <w:spacing w:before="120" w:after="120"/>
        <w:ind w:left="850" w:hanging="425"/>
        <w:contextualSpacing w:val="0"/>
        <w:jc w:val="both"/>
      </w:pPr>
      <w:r>
        <w:t xml:space="preserve">koordinuje a usmerňuje subjekty v oblasti Systému riadenia EŠIF, okrem osobitných častí systému riadenia EPFRV a oblasti komunikácie a informovanosti a oblasti vzdelávania administratívnych kapacít </w:t>
      </w:r>
      <w:r w:rsidRPr="00823788">
        <w:t xml:space="preserve"> </w:t>
      </w:r>
      <w:r>
        <w:t>zamest</w:t>
      </w:r>
      <w:r w:rsidRPr="00823788">
        <w:t>nancov pôsobiacich v systéme riadenia, kontroly a auditu EŠIF</w:t>
      </w:r>
      <w:r>
        <w:t>;</w:t>
      </w:r>
    </w:p>
    <w:p w14:paraId="4CD58AA6" w14:textId="77777777" w:rsidR="00B650E5" w:rsidRPr="009078F6" w:rsidRDefault="00B650E5">
      <w:pPr>
        <w:pStyle w:val="Odsekzoznamu"/>
        <w:numPr>
          <w:ilvl w:val="0"/>
          <w:numId w:val="18"/>
        </w:numPr>
        <w:spacing w:before="120" w:after="120"/>
        <w:ind w:left="850" w:hanging="425"/>
        <w:contextualSpacing w:val="0"/>
        <w:jc w:val="both"/>
      </w:pPr>
      <w:bookmarkStart w:id="34" w:name="kapitola_1312_ods_2c"/>
      <w:r>
        <w:t xml:space="preserve">vypracúva Systém riadenia EŠIF a jeho zmeny, okrem Systému riadenia EPFRV, vydáva vzory formulárov, výstupov a vstupov v rámci jednotlivých procesov, metodické pokyny, </w:t>
      </w:r>
      <w:r w:rsidRPr="009078F6">
        <w:t>metodické výklady a výnimky zo Systému riadenia EŠIF;</w:t>
      </w:r>
    </w:p>
    <w:bookmarkEnd w:id="34"/>
    <w:p w14:paraId="3734EDFA" w14:textId="75D6D9E5" w:rsidR="00B650E5" w:rsidRPr="009078F6" w:rsidRDefault="00B650E5">
      <w:pPr>
        <w:pStyle w:val="Odsekzoznamu"/>
        <w:numPr>
          <w:ilvl w:val="0"/>
          <w:numId w:val="18"/>
        </w:numPr>
        <w:spacing w:before="120" w:after="120"/>
        <w:ind w:left="850" w:hanging="425"/>
        <w:contextualSpacing w:val="0"/>
        <w:jc w:val="both"/>
      </w:pPr>
      <w:r w:rsidRPr="009078F6">
        <w:t>vydáva vzor</w:t>
      </w:r>
      <w:r w:rsidRPr="009078F6">
        <w:rPr>
          <w:rStyle w:val="Odkaznapoznmkupodiarou"/>
        </w:rPr>
        <w:footnoteReference w:id="4"/>
      </w:r>
      <w:r w:rsidRPr="009078F6">
        <w:t xml:space="preserve"> zmluvy o NFP v spolupráci s CO;</w:t>
      </w:r>
    </w:p>
    <w:p w14:paraId="049A6A56" w14:textId="4E722E1C" w:rsidR="00B650E5" w:rsidRPr="009078F6" w:rsidRDefault="00B650E5">
      <w:pPr>
        <w:pStyle w:val="Odsekzoznamu"/>
        <w:numPr>
          <w:ilvl w:val="0"/>
          <w:numId w:val="18"/>
        </w:numPr>
        <w:spacing w:before="120" w:after="120"/>
        <w:ind w:left="851" w:hanging="425"/>
        <w:contextualSpacing w:val="0"/>
        <w:jc w:val="both"/>
      </w:pPr>
      <w:r w:rsidRPr="009078F6">
        <w:t>vydáva vzor</w:t>
      </w:r>
      <w:r w:rsidRPr="009078F6">
        <w:rPr>
          <w:rStyle w:val="Odkaznapoznmkupodiarou"/>
        </w:rPr>
        <w:footnoteReference w:id="5"/>
      </w:r>
      <w:r w:rsidRPr="009078F6">
        <w:t xml:space="preserve"> písomnej zmluvy medzi riadiacim orgánom a sprostredkovateľským orgánom;</w:t>
      </w:r>
    </w:p>
    <w:p w14:paraId="32EE28E7" w14:textId="0D5FD532" w:rsidR="00B650E5" w:rsidRDefault="00B650E5">
      <w:pPr>
        <w:pStyle w:val="Odsekzoznamu"/>
        <w:numPr>
          <w:ilvl w:val="0"/>
          <w:numId w:val="18"/>
        </w:numPr>
        <w:spacing w:before="120" w:after="120"/>
        <w:ind w:left="851" w:hanging="425"/>
        <w:contextualSpacing w:val="0"/>
        <w:jc w:val="both"/>
      </w:pPr>
      <w:r>
        <w:t>zabezpečuje tvorbu ITMS 2014+ a plní úlohy súvisiace s jeho prevádzkou, okrem informačného systému pre EPFRV a informačného systému pre operačný program Interact; V súlade s § 9 zákona o príspevku z EŠIF certifikačný orgán spolupracuje pri tvorbe ITMS 2014+ za oblasť finančného riadenia, zabezpečuje definovanie požiadaviek a testovanie aplikačného programového vybavenia ITMS 2014+ za oblasť finančného riadenia, vrátenia finančných prostriedkov a nezrovnalostí a spolupracuje pri definovaní požiadaviek a testovaní programového aplikačného vybavenia ITMS 2014+ pre ostatné oblasti v súlade s</w:t>
      </w:r>
      <w:r w:rsidR="006B2B6A">
        <w:t> </w:t>
      </w:r>
      <w:r>
        <w:t xml:space="preserve">platnou legislatívnou EÚ a SR a v zmysle usmernení a špecifických požiadaviek CKO; </w:t>
      </w:r>
    </w:p>
    <w:p w14:paraId="75A40094" w14:textId="77777777" w:rsidR="00B650E5" w:rsidRDefault="00B650E5">
      <w:pPr>
        <w:pStyle w:val="Odsekzoznamu"/>
        <w:numPr>
          <w:ilvl w:val="0"/>
          <w:numId w:val="18"/>
        </w:numPr>
        <w:spacing w:before="120" w:after="120"/>
        <w:ind w:left="851" w:hanging="425"/>
        <w:contextualSpacing w:val="0"/>
        <w:jc w:val="both"/>
      </w:pPr>
      <w:r>
        <w:t>zriaďuje Riadiaci výbor ITMS 2014+ a pripravuje jeho štatút a rokovací poriadok, usmerňuje jeho prácu a zabezpečuje jeho zasadnutia minimálne za účasti CO a DataCentra;</w:t>
      </w:r>
    </w:p>
    <w:p w14:paraId="2FB725BA" w14:textId="77777777" w:rsidR="00B650E5" w:rsidRDefault="00B650E5">
      <w:pPr>
        <w:pStyle w:val="Odsekzoznamu"/>
        <w:numPr>
          <w:ilvl w:val="0"/>
          <w:numId w:val="18"/>
        </w:numPr>
        <w:spacing w:before="120" w:after="120"/>
        <w:ind w:left="850" w:hanging="425"/>
        <w:contextualSpacing w:val="0"/>
        <w:jc w:val="both"/>
      </w:pPr>
      <w:r>
        <w:lastRenderedPageBreak/>
        <w:t>monitoruje a hodnotí výsledky implementácie EŠIF;</w:t>
      </w:r>
    </w:p>
    <w:p w14:paraId="202F2312" w14:textId="77777777" w:rsidR="00B650E5" w:rsidRDefault="00B650E5">
      <w:pPr>
        <w:pStyle w:val="Odsekzoznamu"/>
        <w:numPr>
          <w:ilvl w:val="0"/>
          <w:numId w:val="18"/>
        </w:numPr>
        <w:spacing w:before="120" w:after="120"/>
        <w:ind w:left="851" w:hanging="425"/>
        <w:contextualSpacing w:val="0"/>
        <w:jc w:val="both"/>
      </w:pPr>
      <w:r>
        <w:t>je gestorom Integrovanej siete informačno-poradenských centier;</w:t>
      </w:r>
    </w:p>
    <w:p w14:paraId="4B611C7D" w14:textId="77777777" w:rsidR="00B650E5" w:rsidRDefault="00B650E5">
      <w:pPr>
        <w:pStyle w:val="Odsekzoznamu"/>
        <w:numPr>
          <w:ilvl w:val="0"/>
          <w:numId w:val="18"/>
        </w:numPr>
        <w:spacing w:before="120" w:after="120"/>
        <w:ind w:left="851" w:hanging="425"/>
        <w:contextualSpacing w:val="0"/>
        <w:jc w:val="both"/>
      </w:pPr>
      <w:r>
        <w:t>zabezpečuje prípravu stanovísk a pozícií SR k legislatívnym a strategickým dokumentom EÚ pre politiku súdržnosti a koordinuje a zabezpečuje prípravu legislatívnych, strategických a koncepčných dokumentov politiky súdržnosti v SR;</w:t>
      </w:r>
    </w:p>
    <w:p w14:paraId="678ED507" w14:textId="77777777" w:rsidR="00B650E5" w:rsidRDefault="00B650E5">
      <w:pPr>
        <w:pStyle w:val="Odsekzoznamu"/>
        <w:numPr>
          <w:ilvl w:val="0"/>
          <w:numId w:val="18"/>
        </w:numPr>
        <w:spacing w:before="120" w:after="120"/>
        <w:ind w:left="851" w:hanging="425"/>
        <w:contextualSpacing w:val="0"/>
        <w:jc w:val="both"/>
      </w:pPr>
      <w:r>
        <w:t>je príslušným orgánom podľa osobitného predpisu v oblasti EZÚS;</w:t>
      </w:r>
    </w:p>
    <w:p w14:paraId="6D8F63C7" w14:textId="77777777" w:rsidR="00B650E5" w:rsidRDefault="00B650E5">
      <w:pPr>
        <w:pStyle w:val="Odsekzoznamu"/>
        <w:numPr>
          <w:ilvl w:val="0"/>
          <w:numId w:val="18"/>
        </w:numPr>
        <w:spacing w:before="120" w:after="120"/>
        <w:ind w:left="851" w:hanging="425"/>
        <w:contextualSpacing w:val="0"/>
        <w:jc w:val="both"/>
      </w:pPr>
      <w:r>
        <w:t>zriaďuje Radu CKO, ktorej postavenie, zloženie a úlohy upraví štatút a rokovací poriadok vydaný CKO;</w:t>
      </w:r>
    </w:p>
    <w:p w14:paraId="30F3BB43" w14:textId="77777777" w:rsidR="00B650E5" w:rsidRDefault="00B650E5">
      <w:pPr>
        <w:pStyle w:val="Odsekzoznamu"/>
        <w:numPr>
          <w:ilvl w:val="0"/>
          <w:numId w:val="18"/>
        </w:numPr>
        <w:spacing w:before="120" w:after="120"/>
        <w:ind w:left="851" w:hanging="425"/>
        <w:contextualSpacing w:val="0"/>
        <w:jc w:val="both"/>
      </w:pPr>
      <w:r>
        <w:t>zodpovedá za oznámenie dátumu a spôsobu určenia RO a certifikačného orgánu (ďalej len ,,CO“) EK pred predložením prvej žiadosti o priebežnú platbu v zmysle čl. 124 ods. 1 nariadenia č. 1303/2013;</w:t>
      </w:r>
    </w:p>
    <w:p w14:paraId="1163B775" w14:textId="1DE6FC3E" w:rsidR="00B650E5" w:rsidRDefault="00B650E5">
      <w:pPr>
        <w:pStyle w:val="Odsekzoznamu"/>
        <w:numPr>
          <w:ilvl w:val="0"/>
          <w:numId w:val="18"/>
        </w:numPr>
        <w:spacing w:before="120" w:after="120"/>
        <w:ind w:left="851" w:hanging="425"/>
        <w:contextualSpacing w:val="0"/>
        <w:jc w:val="both"/>
      </w:pPr>
      <w:r>
        <w:t>monitoruje dodržiavanie kritérií určenia RO a CO</w:t>
      </w:r>
      <w:r w:rsidR="00D23AF3">
        <w:rPr>
          <w:rStyle w:val="Odkaznapoznmkupodiarou"/>
        </w:rPr>
        <w:footnoteReference w:id="6"/>
      </w:r>
      <w:r>
        <w:t xml:space="preserve">; </w:t>
      </w:r>
    </w:p>
    <w:p w14:paraId="3981CD3C" w14:textId="18C9ADD5" w:rsidR="00B650E5" w:rsidRDefault="00B650E5">
      <w:pPr>
        <w:pStyle w:val="Odsekzoznamu"/>
        <w:numPr>
          <w:ilvl w:val="0"/>
          <w:numId w:val="18"/>
        </w:numPr>
        <w:spacing w:before="120" w:after="120"/>
        <w:ind w:left="851" w:hanging="425"/>
        <w:contextualSpacing w:val="0"/>
        <w:jc w:val="both"/>
      </w:pPr>
      <w:bookmarkStart w:id="35" w:name="kapitola_1312_ods_2_p"/>
      <w:r w:rsidRPr="00487880">
        <w:t>schvaľuje pre operačný program záväzný plán vypracovaný riadiacim orgánom, ktorý obsahuje časový harmonogram a finančný harmonogram poskytovania finančných prostriedkov určených pre operačný program</w:t>
      </w:r>
      <w:r>
        <w:t xml:space="preserve">, program rozvoja vidieka, program spolupráce </w:t>
      </w:r>
      <w:r w:rsidR="00DE270A">
        <w:t xml:space="preserve">Interreg V-A </w:t>
      </w:r>
      <w:r>
        <w:t xml:space="preserve">Slovenská republika – Česká republika, program spolupráce </w:t>
      </w:r>
      <w:r w:rsidR="00DE270A">
        <w:t xml:space="preserve">Interreg V-A </w:t>
      </w:r>
      <w:r>
        <w:t xml:space="preserve">Slovenská republika </w:t>
      </w:r>
      <w:r w:rsidR="00DE270A">
        <w:t>–</w:t>
      </w:r>
      <w:r>
        <w:t xml:space="preserve"> Rakúsko</w:t>
      </w:r>
      <w:r w:rsidR="00DE270A">
        <w:t xml:space="preserve"> (ďalej aj „programy cezhraničnej spolupráce“)</w:t>
      </w:r>
      <w:r w:rsidRPr="00487880">
        <w:t xml:space="preserve"> a plán napĺňania cieľov operačného programu</w:t>
      </w:r>
      <w:r>
        <w:t>;</w:t>
      </w:r>
    </w:p>
    <w:bookmarkEnd w:id="35"/>
    <w:p w14:paraId="43AB4672" w14:textId="77777777" w:rsidR="00B650E5" w:rsidRPr="00B80C21" w:rsidRDefault="00B650E5">
      <w:pPr>
        <w:pStyle w:val="Odsekzoznamu"/>
        <w:numPr>
          <w:ilvl w:val="0"/>
          <w:numId w:val="18"/>
        </w:numPr>
        <w:spacing w:before="120" w:after="120"/>
        <w:ind w:left="851" w:hanging="425"/>
        <w:contextualSpacing w:val="0"/>
        <w:jc w:val="both"/>
      </w:pPr>
      <w:r w:rsidRPr="00B80C21">
        <w:t>schva</w:t>
      </w:r>
      <w:r w:rsidRPr="00AE34F1">
        <w:t>ľ</w:t>
      </w:r>
      <w:r w:rsidRPr="00B5005C">
        <w:t>uje výzvy</w:t>
      </w:r>
      <w:r w:rsidRPr="00B80C21">
        <w:t xml:space="preserve"> vrátane výziev v rámci operačných programov cezhraničnej spolupráce, výzvy na predkladanie projektových zámerov a vyzvania na predloženie národných projektov, na predloženie veľkých projektov a na predloženie projektov technickej pomoci pred ich vyhlásením;</w:t>
      </w:r>
    </w:p>
    <w:p w14:paraId="1CBA607A" w14:textId="10436FD6" w:rsidR="00B650E5" w:rsidRDefault="00B650E5" w:rsidP="000E286B">
      <w:pPr>
        <w:pStyle w:val="Odsekzoznamu"/>
        <w:numPr>
          <w:ilvl w:val="0"/>
          <w:numId w:val="18"/>
        </w:numPr>
        <w:spacing w:before="120" w:after="120"/>
        <w:ind w:left="851" w:hanging="425"/>
        <w:contextualSpacing w:val="0"/>
        <w:jc w:val="both"/>
      </w:pPr>
      <w:r w:rsidRPr="000E286B">
        <w:t xml:space="preserve">je oprávnený vykonávať krízové riadenie operačného programu </w:t>
      </w:r>
      <w:r w:rsidRPr="001C792C">
        <w:t>v zmysle § 3 Nariadenia vlády SR č. 247/2016 Z.</w:t>
      </w:r>
      <w:r w:rsidR="00A4267B">
        <w:t xml:space="preserve"> </w:t>
      </w:r>
      <w:r w:rsidRPr="001C792C">
        <w:t xml:space="preserve">z. zo 17. augusta 2016 </w:t>
      </w:r>
      <w:r w:rsidRPr="000E286B">
        <w:t xml:space="preserve">v prípade, ak záväzný plán podľa </w:t>
      </w:r>
      <w:hyperlink w:anchor="kapitola_1312_ods_2_p" w:tooltip="písm. p) tohto odseku" w:history="1">
        <w:r w:rsidRPr="000E286B">
          <w:rPr>
            <w:rStyle w:val="Hypertextovprepojenie"/>
          </w:rPr>
          <w:t>písm</w:t>
        </w:r>
        <w:r>
          <w:rPr>
            <w:rStyle w:val="Hypertextovprepojenie"/>
          </w:rPr>
          <w:t>.</w:t>
        </w:r>
        <w:r w:rsidRPr="000E286B">
          <w:rPr>
            <w:rStyle w:val="Hypertextovprepojenie"/>
          </w:rPr>
          <w:t xml:space="preserve"> </w:t>
        </w:r>
        <w:r w:rsidR="00721F46">
          <w:rPr>
            <w:rStyle w:val="Hypertextovprepojenie"/>
          </w:rPr>
          <w:t>o</w:t>
        </w:r>
        <w:r w:rsidRPr="000E286B">
          <w:rPr>
            <w:rStyle w:val="Hypertextovprepojenie"/>
          </w:rPr>
          <w:t>)</w:t>
        </w:r>
        <w:r w:rsidRPr="001C792C">
          <w:rPr>
            <w:rStyle w:val="Hypertextovprepojenie"/>
          </w:rPr>
          <w:t xml:space="preserve"> tohto odseku</w:t>
        </w:r>
      </w:hyperlink>
      <w:r w:rsidRPr="000E286B">
        <w:t xml:space="preserve"> nie je predložený alebo plnenie záväzného plánu príslušného operačného programu nedosahuje aspoň 80 % a ak o tom rozhodne vláda Slovenskej republiky na návrh predsedu vlády Slovenskej republiky</w:t>
      </w:r>
      <w:r>
        <w:t>. Krízovým riadením sa rozumie súbor opatrení vrátane časového harmonogramu ich zavedenia, ktoré navrhne CKO v spolupráci s RO a schváli vláda Slovenskej republiky. CKO</w:t>
      </w:r>
      <w:r w:rsidRPr="00E550D6">
        <w:t xml:space="preserve"> odporučí</w:t>
      </w:r>
      <w:r>
        <w:t xml:space="preserve"> predsedovi vlády Slovenskej republiky, aby predložil vláde Slovenskej republiky návrh na zavedenie krízového riadenia po konzultácii s riadiacim orgánom, pričom z konzultácie sa vyhotovuje písomná zápisnica. CKO poskytuje RO súčinnosť pri implementácii opatrení krízového riadenia operačného programu </w:t>
      </w:r>
      <w:r>
        <w:br/>
        <w:t>podľa § 38, ods. 1 kompetenčného zákona. CKO</w:t>
      </w:r>
      <w:r w:rsidRPr="00CA06A4">
        <w:t xml:space="preserve"> neodporučí predsedovi vlády Slovenskej republiky, aby predložil vláde Slovenskej republiky návrh na zavedenie krízového riadenia, ak dôvody pre jeho zavedenie spočívajú výlučne v okolnostiach spôsobených vyššou mocou</w:t>
      </w:r>
      <w:r>
        <w:t>;</w:t>
      </w:r>
    </w:p>
    <w:p w14:paraId="3513F2BA" w14:textId="77777777" w:rsidR="00B650E5" w:rsidRDefault="00B650E5" w:rsidP="00CC7ABC">
      <w:pPr>
        <w:pStyle w:val="Odsekzoznamu"/>
        <w:numPr>
          <w:ilvl w:val="0"/>
          <w:numId w:val="18"/>
        </w:numPr>
        <w:spacing w:before="120" w:after="120"/>
        <w:ind w:left="851" w:hanging="425"/>
        <w:contextualSpacing w:val="0"/>
        <w:jc w:val="both"/>
      </w:pPr>
      <w:r>
        <w:t xml:space="preserve">ak CKO na základe podkladov predložených RO na účel vyhodnotenia ročného záväzného plánu OP podľa §1 ods. 6 </w:t>
      </w:r>
      <w:r w:rsidR="008452CB" w:rsidRPr="001C792C">
        <w:t>Nariadenia vlády SR č. 247/2016 Z.</w:t>
      </w:r>
      <w:r w:rsidR="008452CB">
        <w:t xml:space="preserve"> </w:t>
      </w:r>
      <w:r w:rsidR="008452CB" w:rsidRPr="001C792C">
        <w:t xml:space="preserve">z. zo 17. augusta 2016 </w:t>
      </w:r>
      <w:r>
        <w:t>dospeje k záveru, že dôvody na zavedenie krízového riadenia OP pominuli, odporučí predsedovi vlády SR, aby predložil vláde SR návrh na zrušenie krízového riadenia OP;</w:t>
      </w:r>
    </w:p>
    <w:p w14:paraId="75104E96" w14:textId="77777777" w:rsidR="00B650E5" w:rsidRPr="00172982" w:rsidRDefault="00B650E5">
      <w:pPr>
        <w:pStyle w:val="Odsekzoznamu"/>
        <w:numPr>
          <w:ilvl w:val="0"/>
          <w:numId w:val="18"/>
        </w:numPr>
        <w:spacing w:before="120" w:after="120"/>
        <w:ind w:left="851" w:hanging="425"/>
        <w:contextualSpacing w:val="0"/>
        <w:jc w:val="both"/>
      </w:pPr>
      <w:r w:rsidRPr="009078F6">
        <w:t>vypracováva číselník oprávnených výdavkov a číselník merateľných ukazovateľov, vrátane projektových ukazovateľov ako súčasť príslušných metodických pokynov CKO a zabezpečuje ich aktualizáciu</w:t>
      </w:r>
      <w:r w:rsidRPr="00172982">
        <w:t xml:space="preserve">; </w:t>
      </w:r>
    </w:p>
    <w:p w14:paraId="0DA3C4A2" w14:textId="6D54E554" w:rsidR="00B650E5" w:rsidRDefault="00B650E5">
      <w:pPr>
        <w:pStyle w:val="Odsekzoznamu"/>
        <w:numPr>
          <w:ilvl w:val="0"/>
          <w:numId w:val="18"/>
        </w:numPr>
        <w:spacing w:before="120" w:after="120"/>
        <w:ind w:left="851" w:hanging="425"/>
        <w:contextualSpacing w:val="0"/>
        <w:jc w:val="both"/>
      </w:pPr>
      <w:r>
        <w:lastRenderedPageBreak/>
        <w:t>vypracováva metodické výklady k jednotlivým ustanoveniam Systému riadenia EŠIF a v</w:t>
      </w:r>
      <w:r w:rsidR="006B2B6A">
        <w:t> </w:t>
      </w:r>
      <w:r>
        <w:t>prípade potreby zabezpečuje ich aktualizáciu;</w:t>
      </w:r>
    </w:p>
    <w:p w14:paraId="5EBB434E" w14:textId="1CD5CD99" w:rsidR="00B650E5" w:rsidRDefault="00B650E5">
      <w:pPr>
        <w:pStyle w:val="Odsekzoznamu"/>
        <w:numPr>
          <w:ilvl w:val="0"/>
          <w:numId w:val="18"/>
        </w:numPr>
        <w:spacing w:before="120" w:after="120"/>
        <w:ind w:left="851" w:hanging="425"/>
        <w:contextualSpacing w:val="0"/>
        <w:jc w:val="both"/>
      </w:pPr>
      <w:r>
        <w:t xml:space="preserve">vydáva výnimky zo Systému riadenia EŠIF na základe oprávnených a riadne odôvodnených žiadostí subjektov zapojených do procesu implementácie a zabezpečuje bezodkladné informovanie CO, </w:t>
      </w:r>
      <w:r>
        <w:rPr>
          <w:color w:val="000000"/>
        </w:rPr>
        <w:t>Centráln</w:t>
      </w:r>
      <w:r w:rsidR="006B2B6A">
        <w:rPr>
          <w:color w:val="000000"/>
        </w:rPr>
        <w:t>eho</w:t>
      </w:r>
      <w:r>
        <w:rPr>
          <w:color w:val="000000"/>
        </w:rPr>
        <w:t xml:space="preserve"> kontaktn</w:t>
      </w:r>
      <w:r w:rsidR="006B2B6A">
        <w:rPr>
          <w:color w:val="000000"/>
        </w:rPr>
        <w:t>ého</w:t>
      </w:r>
      <w:r>
        <w:rPr>
          <w:color w:val="000000"/>
        </w:rPr>
        <w:t xml:space="preserve"> útvar</w:t>
      </w:r>
      <w:r w:rsidR="006B2B6A">
        <w:rPr>
          <w:color w:val="000000"/>
        </w:rPr>
        <w:t>u</w:t>
      </w:r>
      <w:r>
        <w:rPr>
          <w:color w:val="000000"/>
        </w:rPr>
        <w:t xml:space="preserve"> pre OLAF (ďalej len „OCKÚ OLAF“)</w:t>
      </w:r>
      <w:r>
        <w:t xml:space="preserve"> a orgánu auditu (ďalej len ,,OA“) o takto udelených výnimkách; </w:t>
      </w:r>
    </w:p>
    <w:p w14:paraId="5111F9FA" w14:textId="77777777" w:rsidR="00B650E5" w:rsidRDefault="00B650E5">
      <w:pPr>
        <w:pStyle w:val="Odsekzoznamu"/>
        <w:numPr>
          <w:ilvl w:val="0"/>
          <w:numId w:val="18"/>
        </w:numPr>
        <w:spacing w:before="120" w:after="120"/>
        <w:ind w:left="851" w:hanging="425"/>
        <w:contextualSpacing w:val="0"/>
        <w:jc w:val="both"/>
      </w:pPr>
      <w:r>
        <w:t xml:space="preserve">organizuje a koordinuje pravidelné koordinačné porady subjektov zapojených do procesu implementácie EŠIF; </w:t>
      </w:r>
    </w:p>
    <w:p w14:paraId="39AFC237" w14:textId="77777777" w:rsidR="00B650E5" w:rsidRDefault="00B650E5">
      <w:pPr>
        <w:pStyle w:val="Odsekzoznamu"/>
        <w:numPr>
          <w:ilvl w:val="0"/>
          <w:numId w:val="18"/>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v prípade potreby organizuje výročné hodnotiace zasadnutie EK s RO, za účasti CO a OA ako nezávislého pozorovateľa; </w:t>
      </w:r>
    </w:p>
    <w:p w14:paraId="26BA7C04" w14:textId="77777777" w:rsidR="00B650E5" w:rsidRDefault="00B650E5">
      <w:pPr>
        <w:pStyle w:val="Odsekzoznamu"/>
        <w:numPr>
          <w:ilvl w:val="0"/>
          <w:numId w:val="18"/>
        </w:numPr>
        <w:spacing w:before="120" w:after="120"/>
        <w:ind w:left="851" w:hanging="425"/>
        <w:contextualSpacing w:val="0"/>
        <w:jc w:val="both"/>
      </w:pPr>
      <w:r>
        <w:t xml:space="preserve">zabezpečuje účasť na zasadnutiach poradných výborov EK a zabezpečuje informovanosť o výsledkoch a záveroch týchto rokovaní; </w:t>
      </w:r>
    </w:p>
    <w:p w14:paraId="5B347C98" w14:textId="77777777" w:rsidR="00B650E5" w:rsidRDefault="00B650E5">
      <w:pPr>
        <w:pStyle w:val="Odsekzoznamu"/>
        <w:numPr>
          <w:ilvl w:val="0"/>
          <w:numId w:val="18"/>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14:paraId="079CB694" w14:textId="513D1DA7" w:rsidR="00B650E5" w:rsidRDefault="00B650E5">
      <w:pPr>
        <w:pStyle w:val="Odsekzoznamu"/>
        <w:numPr>
          <w:ilvl w:val="0"/>
          <w:numId w:val="18"/>
        </w:numPr>
        <w:spacing w:before="120" w:after="120"/>
        <w:ind w:left="851" w:hanging="425"/>
        <w:contextualSpacing w:val="0"/>
        <w:jc w:val="both"/>
      </w:pPr>
      <w:r>
        <w:t>predkladá manuál procedúr CKO, vrátane jeho akýchkoľvek zmien s označením čísla verzie a dátumu platnosti OA (</w:t>
      </w:r>
      <w:hyperlink r:id="rId12" w:history="1">
        <w:r>
          <w:rPr>
            <w:rStyle w:val="Hypertextovprepojenie"/>
          </w:rPr>
          <w:t>manualy@mfsr.sk</w:t>
        </w:r>
      </w:hyperlink>
      <w:r>
        <w:t xml:space="preserve">) v elektronickej forme s naskenovanou stranou obsahujúcou podpis zodpovednej osoby, a to najneskôr </w:t>
      </w:r>
      <w:r>
        <w:rPr>
          <w:rFonts w:cs="Arial"/>
          <w:szCs w:val="16"/>
        </w:rPr>
        <w:t xml:space="preserve">do 10 pracovných dní od schválenia zodpovedným vedúcim. </w:t>
      </w:r>
      <w:r>
        <w:t xml:space="preserve">Maximálna veľkosť odosielaných dokumentov je 5 MB. Ak </w:t>
      </w:r>
      <w:r w:rsidR="006B2B6A">
        <w:t xml:space="preserve">je </w:t>
      </w:r>
      <w:r>
        <w:t>odosielaný manuál procedúr rozsiahlejší, je potrebné ho rozdeliť a zaslať po častiach;</w:t>
      </w:r>
    </w:p>
    <w:p w14:paraId="2214F9B3" w14:textId="77777777" w:rsidR="00B650E5" w:rsidRDefault="00B650E5">
      <w:pPr>
        <w:pStyle w:val="Odsekzoznamu"/>
        <w:numPr>
          <w:ilvl w:val="0"/>
          <w:numId w:val="18"/>
        </w:numPr>
        <w:spacing w:before="120" w:after="120"/>
        <w:ind w:left="851" w:hanging="425"/>
        <w:contextualSpacing w:val="0"/>
        <w:jc w:val="both"/>
      </w:pPr>
      <w:r w:rsidRPr="009078F6">
        <w:t>zabezpečuje v spolupráci s riadiacimi orgánmi navrhovanie realokácií prostriedkov medzi</w:t>
      </w:r>
      <w:r>
        <w:t xml:space="preserve"> programami, ich predkladanie na posúdenie CO a koordináciu komunikácie s EK na základe žiadosti RO;</w:t>
      </w:r>
    </w:p>
    <w:p w14:paraId="19BC08C5" w14:textId="30A77CEA" w:rsidR="00B650E5" w:rsidRDefault="00B650E5">
      <w:pPr>
        <w:pStyle w:val="Odsekzoznamu"/>
        <w:numPr>
          <w:ilvl w:val="0"/>
          <w:numId w:val="18"/>
        </w:numPr>
        <w:spacing w:before="120" w:after="120"/>
        <w:ind w:left="851" w:hanging="425"/>
        <w:contextualSpacing w:val="0"/>
        <w:jc w:val="both"/>
      </w:pPr>
      <w:r>
        <w:t>posudzuje súlad návrhov revízie OP predložených príslušnými RO so stratégiou PD v</w:t>
      </w:r>
      <w:r w:rsidR="006B2B6A">
        <w:t> </w:t>
      </w:r>
      <w:r>
        <w:t xml:space="preserve">prípade, ak sú navrhované revízie OP viazané na revíziu iného/iných OP (napr. v prípade presunu finančných prostriedkov medzi OP); </w:t>
      </w:r>
    </w:p>
    <w:p w14:paraId="5DA91EA5" w14:textId="77777777" w:rsidR="00B75B6A" w:rsidRDefault="00B75B6A" w:rsidP="00B75B6A">
      <w:pPr>
        <w:pStyle w:val="Odsekzoznamu"/>
        <w:numPr>
          <w:ilvl w:val="0"/>
          <w:numId w:val="18"/>
        </w:numPr>
        <w:spacing w:before="120" w:after="120"/>
        <w:ind w:left="851" w:hanging="425"/>
        <w:contextualSpacing w:val="0"/>
        <w:jc w:val="both"/>
      </w:pPr>
      <w:r>
        <w:t xml:space="preserve">zriaďuje Interný výbor pre predchádzanie vzniku neoprávnených záväzkov; pôsobnosť a kompetencie upraví štatút; </w:t>
      </w:r>
    </w:p>
    <w:p w14:paraId="3C0978CF" w14:textId="77777777" w:rsidR="00B650E5" w:rsidRDefault="00B650E5">
      <w:pPr>
        <w:pStyle w:val="Odsekzoznamu"/>
        <w:numPr>
          <w:ilvl w:val="0"/>
          <w:numId w:val="18"/>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p>
    <w:p w14:paraId="526C6102" w14:textId="4EB7A7B5" w:rsidR="00B650E5" w:rsidRDefault="00B650E5">
      <w:pPr>
        <w:pStyle w:val="Odsekzoznamu"/>
        <w:numPr>
          <w:ilvl w:val="0"/>
          <w:numId w:val="341"/>
        </w:numPr>
        <w:spacing w:before="120" w:after="120"/>
        <w:ind w:left="426" w:hanging="426"/>
        <w:contextualSpacing w:val="0"/>
        <w:jc w:val="both"/>
      </w:pPr>
      <w:bookmarkStart w:id="36" w:name="kapitola_1312_ods_3"/>
      <w:r>
        <w:t xml:space="preserve">CKO je v súvislosti s plnením kompetencie podľa </w:t>
      </w:r>
      <w:hyperlink w:anchor="kapitola_1312_ods_2c" w:tooltip="ods. 2 písm. c) tejto kapitoly" w:history="1">
        <w:r w:rsidRPr="00803B7E">
          <w:rPr>
            <w:rStyle w:val="Hypertextovprepojenie"/>
          </w:rPr>
          <w:t>ods. 2 písm. c) tejto kapitoly</w:t>
        </w:r>
      </w:hyperlink>
      <w:r w:rsidR="006F3B93">
        <w:rPr>
          <w:rStyle w:val="Hypertextovprepojenie"/>
        </w:rPr>
        <w:t>,</w:t>
      </w:r>
      <w:r>
        <w:t xml:space="preserve"> ako aj pri</w:t>
      </w:r>
      <w:r w:rsidR="006B2B6A">
        <w:t> </w:t>
      </w:r>
      <w:r>
        <w:t>vydaných vzoroch formulárov, výstupov a vstupov v rámci jednotlivých procesov, metodických výkladoch a metodických pokynoch povinný vykonať aktualizáciu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w:t>
      </w:r>
      <w:r w:rsidR="006B2B6A">
        <w:t> </w:t>
      </w:r>
      <w:r>
        <w:t>tohto procesu. CKO postupuje spôsobom upraveným v predošlej vete aj v prípade, ak dôjde k</w:t>
      </w:r>
      <w:r w:rsidR="006B2B6A">
        <w:t> </w:t>
      </w:r>
      <w:r>
        <w:t>zmene Systému finančného riadenia, alebo zmene podzákonného právneho predpisu, s</w:t>
      </w:r>
      <w:r w:rsidR="006B2B6A">
        <w:t> </w:t>
      </w:r>
      <w:r>
        <w:t xml:space="preserve">priamym vplyvom na ustanovenia Systému riadenia EŠIF. CKO vykoná aktualizáciu za účelom odstránenia potenciálnych rozporov medzi úpravou obsiahnutou v Systéme riadenia EŠIF a úpravou v 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w:t>
      </w:r>
      <w:r>
        <w:lastRenderedPageBreak/>
        <w:t>vydaných na jeho základe na pripomienkovanie subjektom zapojeným do riadenia a kontroly EŠIF. CKO si vyhradzuje právo nezaslať na pripomienkovanie aktualizované verzie Systému riadenia EŠIF alebo dokumentov vydaných na jeho základe, ktorých predmetom je výhradne úprava vyplývajúca zo zmien právnych predpisov SR a EÚ, Systému finančného riadenia, ďalších dokumentov upravujúcich oblasť systému riadenia, resp. zmien vyplývajúcich z</w:t>
      </w:r>
      <w:r w:rsidR="006B2B6A">
        <w:t> </w:t>
      </w:r>
      <w:r>
        <w:t xml:space="preserve">nastavenia ITMS 2014+ a SFC2014, usmernení a manuálov k týmto informačným systémom,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Pr="009078F6">
        <w:rPr>
          <w:rStyle w:val="Odkaznapoznmkupodiarou"/>
        </w:rPr>
        <w:footnoteReference w:id="7"/>
      </w:r>
      <w:r w:rsidRPr="009078F6">
        <w:t>). Uvedené oprávnenie sa vzťahuje</w:t>
      </w:r>
      <w:r>
        <w:t xml:space="preserve"> výlučne na zmeny, ktoré vychádzajú z potreby transpozície vyššie citovaných dokumentov (vrátane zmien v ITMS 2014+) do Systému riadenia EŠIF alebo dokumentov vydaných na jeho základe a ktoré nevyžadujú podrobnejšiu úpravu (bližšiu špecifikáciu práv a povinností subjektov zapojených do implementácie EŠIF nad rámec ich vymedzenia v predmetných dokumentoch, resp. ITMS 2014+) zo strany CKO. CKO v súvislosti s každou aktualizáciou Systému riadenia EŠIF alebo dokumentov vydaných na jeho základe informuje subjekty zapojené do procesu riadenia a kontroly o vykonaných zmenách</w:t>
      </w:r>
      <w:r w:rsidR="007324D5">
        <w:t>,</w:t>
      </w:r>
      <w:r>
        <w:t xml:space="preserve"> a to buď formou sledovania zmien v dokumente alebo formou samostatného zoznamu vykonaných podstatných zmien.</w:t>
      </w:r>
    </w:p>
    <w:bookmarkEnd w:id="36"/>
    <w:p w14:paraId="22D27254" w14:textId="77777777" w:rsidR="00B650E5" w:rsidRDefault="00B650E5">
      <w:pPr>
        <w:pStyle w:val="Odsekzoznamu"/>
        <w:numPr>
          <w:ilvl w:val="0"/>
          <w:numId w:val="341"/>
        </w:numPr>
        <w:spacing w:before="120" w:after="120"/>
        <w:ind w:left="426" w:hanging="426"/>
        <w:contextualSpacing w:val="0"/>
        <w:jc w:val="both"/>
      </w:pPr>
      <w:r>
        <w:t xml:space="preserve">CKO je v súlade s § 6 ods. 3 zákona o príspevku z EŠIF oprávnený pri plnení svojich úloh požadovať od RO, platobnej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14:paraId="7E78C9DE" w14:textId="77777777" w:rsidR="00B650E5" w:rsidRDefault="00B650E5" w:rsidP="0045286B">
      <w:pPr>
        <w:pStyle w:val="SRK4"/>
      </w:pPr>
      <w:bookmarkStart w:id="37" w:name="_Toc453233943"/>
      <w:bookmarkStart w:id="38" w:name="_Toc495649301"/>
      <w:r>
        <w:t>1.3.1.3 Orgán auditu</w:t>
      </w:r>
      <w:bookmarkEnd w:id="37"/>
      <w:bookmarkEnd w:id="38"/>
      <w:r>
        <w:t xml:space="preserve"> </w:t>
      </w:r>
    </w:p>
    <w:p w14:paraId="7AE5432E" w14:textId="77777777" w:rsidR="00B650E5" w:rsidRDefault="00B650E5">
      <w:pPr>
        <w:pStyle w:val="Odsekzoznamu"/>
        <w:numPr>
          <w:ilvl w:val="0"/>
          <w:numId w:val="325"/>
        </w:numPr>
        <w:spacing w:before="120" w:after="120"/>
        <w:ind w:left="426" w:hanging="426"/>
        <w:contextualSpacing w:val="0"/>
        <w:jc w:val="both"/>
        <w:rPr>
          <w:lang w:eastAsia="en-US"/>
        </w:rPr>
      </w:pPr>
      <w:r>
        <w:t xml:space="preserve">OA vykonáva úlohy v súlade s ustanovením § 10 zákona o príspevku z EŠIF. </w:t>
      </w:r>
      <w:r>
        <w:rPr>
          <w:lang w:eastAsia="en-US"/>
        </w:rPr>
        <w:t>Bližšia úprava postavenia a úloh OA je upravená v Systéme finančného riadenia.</w:t>
      </w:r>
    </w:p>
    <w:p w14:paraId="484F2D87" w14:textId="77777777" w:rsidR="00B650E5" w:rsidRDefault="00B650E5" w:rsidP="0045286B">
      <w:pPr>
        <w:pStyle w:val="SRK4"/>
      </w:pPr>
      <w:bookmarkStart w:id="39" w:name="_Toc453233944"/>
      <w:bookmarkStart w:id="40" w:name="_Toc495649302"/>
      <w:r>
        <w:t>1.3.1.4 Certifikačný orgán</w:t>
      </w:r>
      <w:bookmarkEnd w:id="39"/>
      <w:bookmarkEnd w:id="40"/>
    </w:p>
    <w:p w14:paraId="20926A96" w14:textId="77777777" w:rsidR="00B650E5" w:rsidRDefault="00B650E5">
      <w:pPr>
        <w:pStyle w:val="Odsekzoznamu"/>
        <w:numPr>
          <w:ilvl w:val="0"/>
          <w:numId w:val="327"/>
        </w:numPr>
        <w:spacing w:before="120" w:after="120"/>
        <w:ind w:left="426" w:hanging="426"/>
        <w:contextualSpacing w:val="0"/>
        <w:jc w:val="both"/>
        <w:rPr>
          <w:lang w:eastAsia="en-US"/>
        </w:rPr>
      </w:pPr>
      <w:r>
        <w:rPr>
          <w:lang w:eastAsia="en-US"/>
        </w:rPr>
        <w:t>CO vykonáva úlohy v súlade s ustanovením § 9 zákona o príspevku z EŠIF. Bližšia úprava postavenia a úloh CO je upravená v Systéme finančného riadenia.</w:t>
      </w:r>
    </w:p>
    <w:p w14:paraId="2C0FCE77" w14:textId="77777777" w:rsidR="00B650E5" w:rsidRDefault="00B650E5" w:rsidP="0045286B">
      <w:pPr>
        <w:pStyle w:val="SRK4"/>
      </w:pPr>
      <w:bookmarkStart w:id="41" w:name="_Toc453233945"/>
      <w:bookmarkStart w:id="42" w:name="_Toc495649303"/>
      <w:r>
        <w:t>1.3.1.5 Gestori horizontálnych princípov</w:t>
      </w:r>
      <w:bookmarkEnd w:id="41"/>
      <w:bookmarkEnd w:id="42"/>
    </w:p>
    <w:p w14:paraId="75707A21"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S cieľom zabezpečiť dodržiavanie efektívneho systému uplatňovania horizontálnych princípov (ďalej len ,,HP“) v rámci EŠIF v podmienkach Systému riadenia EŠIF zabezpečujú túto úlohu gestori HP. Úlohy gestora HP udržateľný rozvoj plní ÚPPVII, úlohy gestora HP rovnosť medzi mužmi a ženami a nediskriminácia plní Ministerstvo práce, sociálnych vecí a rodiny SR.</w:t>
      </w:r>
    </w:p>
    <w:p w14:paraId="770A2817"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Gestor HP v rámci Systému riadenia EŠIF najmä:</w:t>
      </w:r>
    </w:p>
    <w:p w14:paraId="5BB0EDF8"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vypracúva a aktualizuje systém implementácie HP (ďalej len ,,SI HP“), ktorý upravuje spôsob implementácie HP v  PO 2014 – 2020 a predkladá ho na schválenie RO a CKO v rámci pracovnej skupiny zriadenej gestorom HP; </w:t>
      </w:r>
    </w:p>
    <w:p w14:paraId="2DA6276D" w14:textId="77777777" w:rsidR="00B650E5" w:rsidRPr="009078F6" w:rsidRDefault="00B650E5">
      <w:pPr>
        <w:widowControl w:val="0"/>
        <w:numPr>
          <w:ilvl w:val="1"/>
          <w:numId w:val="55"/>
        </w:numPr>
        <w:tabs>
          <w:tab w:val="clear" w:pos="720"/>
        </w:tabs>
        <w:spacing w:before="120" w:after="120"/>
        <w:ind w:left="851" w:hanging="425"/>
        <w:jc w:val="both"/>
        <w:rPr>
          <w:lang w:eastAsia="en-US"/>
        </w:rPr>
      </w:pPr>
      <w:r>
        <w:rPr>
          <w:lang w:eastAsia="en-US"/>
        </w:rPr>
        <w:t xml:space="preserve">zriaďuje pracovnú skupinu HP v súlade s princípmi partnerstva; jej zloženie a ďalšie podrobnosti upraví štatút, zástupca CO má v rámci pracovnej skupiny štatút pozorovateľa. Pri schvaľovaní SI HP je tento schvaľovaný nadpolovičnou väčšinou hlasov prítomných </w:t>
      </w:r>
      <w:r>
        <w:rPr>
          <w:lang w:eastAsia="en-US"/>
        </w:rPr>
        <w:lastRenderedPageBreak/>
        <w:t xml:space="preserve">členov s hlasovacím právom, pričom hlasovacie právo má iba zástupca CKO a zástupcovia </w:t>
      </w:r>
      <w:r w:rsidRPr="009078F6">
        <w:rPr>
          <w:lang w:eastAsia="en-US"/>
        </w:rPr>
        <w:t>RO</w:t>
      </w:r>
      <w:r w:rsidRPr="009078F6">
        <w:rPr>
          <w:rStyle w:val="Odkaznapoznmkupodiarou"/>
          <w:lang w:eastAsia="en-US"/>
        </w:rPr>
        <w:footnoteReference w:id="8"/>
      </w:r>
      <w:r w:rsidRPr="009078F6">
        <w:rPr>
          <w:lang w:eastAsia="en-US"/>
        </w:rPr>
        <w:t>;</w:t>
      </w:r>
    </w:p>
    <w:p w14:paraId="5A433C64" w14:textId="5C2215B2" w:rsidR="00B650E5" w:rsidRDefault="00B650E5">
      <w:pPr>
        <w:widowControl w:val="0"/>
        <w:numPr>
          <w:ilvl w:val="1"/>
          <w:numId w:val="55"/>
        </w:numPr>
        <w:tabs>
          <w:tab w:val="clear" w:pos="720"/>
        </w:tabs>
        <w:spacing w:before="120" w:after="120"/>
        <w:ind w:left="851" w:hanging="425"/>
        <w:jc w:val="both"/>
        <w:rPr>
          <w:lang w:eastAsia="en-US"/>
        </w:rPr>
      </w:pPr>
      <w:r>
        <w:rPr>
          <w:lang w:eastAsia="en-US"/>
        </w:rPr>
        <w:t>zverejňuje SI HP na webovom sídle gestora HP a zasiela informáciu o zverejnení SI HP do 5 pracovných dní od jeho schválenia na e-mailovú adresu</w:t>
      </w:r>
      <w:r w:rsidR="00C74A64">
        <w:rPr>
          <w:lang w:eastAsia="en-US"/>
        </w:rPr>
        <w:t xml:space="preserve"> </w:t>
      </w:r>
      <w:hyperlink r:id="rId13" w:history="1">
        <w:r w:rsidRPr="00673252">
          <w:rPr>
            <w:rStyle w:val="Hypertextovprepojenie"/>
            <w:lang w:eastAsia="en-US"/>
          </w:rPr>
          <w:t>monitorovanie.cko@vicepremier.gov.sk</w:t>
        </w:r>
      </w:hyperlink>
      <w:r>
        <w:rPr>
          <w:lang w:eastAsia="en-US"/>
        </w:rPr>
        <w:t xml:space="preserve">, CO na e-mailovú adresu </w:t>
      </w:r>
      <w:hyperlink r:id="rId14" w:history="1">
        <w:r>
          <w:rPr>
            <w:rStyle w:val="Hypertextovprepojenie"/>
          </w:rPr>
          <w:t>CO_manual@mfsr.sk</w:t>
        </w:r>
      </w:hyperlink>
      <w:r>
        <w:rPr>
          <w:lang w:eastAsia="en-US"/>
        </w:rPr>
        <w:t xml:space="preserve">, OA na e-mailovú adresu </w:t>
      </w:r>
      <w:hyperlink r:id="rId15" w:history="1">
        <w:r>
          <w:rPr>
            <w:rStyle w:val="Hypertextovprepojenie"/>
            <w:lang w:eastAsia="en-US"/>
          </w:rPr>
          <w:t>manualy@mfsr.sk</w:t>
        </w:r>
      </w:hyperlink>
      <w:r>
        <w:rPr>
          <w:lang w:eastAsia="en-US"/>
        </w:rPr>
        <w:t xml:space="preserve"> a relevantným RO;</w:t>
      </w:r>
    </w:p>
    <w:p w14:paraId="6070A038"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vypracováva manuál procedúr HP, ktorý je záväzný pre postupy zamestnancov gestora HP a predkladá ho vrátane jeho akýchkoľvek zmien s označením čísla verzie a dátumu platnosti CKO na e-mailovú adresu </w:t>
      </w:r>
      <w:hyperlink r:id="rId16" w:history="1">
        <w:r w:rsidRPr="00673252">
          <w:rPr>
            <w:rStyle w:val="Hypertextovprepojenie"/>
            <w:lang w:eastAsia="en-US"/>
          </w:rPr>
          <w:t>monitorovanie.cko@vicepremier.gov.sk</w:t>
        </w:r>
      </w:hyperlink>
      <w:r>
        <w:t xml:space="preserve"> </w:t>
      </w:r>
      <w:r>
        <w:rPr>
          <w:lang w:eastAsia="en-US"/>
        </w:rPr>
        <w:t xml:space="preserve">a OA na e-mailovú adresu </w:t>
      </w:r>
      <w:hyperlink r:id="rId17" w:history="1">
        <w:r>
          <w:rPr>
            <w:rStyle w:val="Hypertextovprepojenie"/>
            <w:lang w:eastAsia="en-US"/>
          </w:rPr>
          <w:t>manualy@mfsr.sk</w:t>
        </w:r>
      </w:hyperlink>
      <w:r>
        <w:t xml:space="preserve"> </w:t>
      </w:r>
      <w:r>
        <w:rPr>
          <w:lang w:eastAsia="en-US"/>
        </w:rPr>
        <w:t>v elektronickej forme s naskenovanou stranou obsahujúcou podpis zodpovednej osoby, a to najneskôr do</w:t>
      </w:r>
      <w:r>
        <w:rPr>
          <w:rFonts w:cs="Arial"/>
          <w:szCs w:val="16"/>
        </w:rPr>
        <w:t> 10 pracovných dní od schválenia zodpovedným vedúcim.</w:t>
      </w:r>
      <w:r>
        <w:t xml:space="preserve"> Maximálna veľkosť odosielaných dokumentov je 5 MB. Ak odosielaný manuál procedúr je rozsiahlejší, je potrebné ho rozdeliť a zaslať po častiach;</w:t>
      </w:r>
    </w:p>
    <w:p w14:paraId="5BBF60A7"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definuje podmienku poskytnutia príspevku súvisiacu so zabezpečením uplatňovania HP a spôsob jej overovania, ktoré sú pre RO záväzné; pri tejto úlohe spolupracuje s RO;</w:t>
      </w:r>
    </w:p>
    <w:p w14:paraId="57EBDE7A"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RO pri príprave všetkých dokumentov na programovej a projektovej úrovni s cieľom zabezpečiť správne a včasné zapracovanie potrebných aspektov implementácie HP na úrovni OP;</w:t>
      </w:r>
    </w:p>
    <w:p w14:paraId="0EC2D92C"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ak po dohode s RO nie je HP overované v rámci administratívneho overovania, v spolupráci s RO navrhuje hodnotiace kritériá na vyhodnotenie súladu s HP, vrátane vypracovania relevantnej inštrukcie k ich aplikovaniu;</w:t>
      </w:r>
    </w:p>
    <w:p w14:paraId="64122135" w14:textId="7ECC0A9A"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požiadavky a dohody s RO zabezpečuje administratívne kapacity na vyhodnotenie hodnotiacich kritérií HP, ktoré sa zúčastňujú procesu odborného hodnotenia ŽoNFP;</w:t>
      </w:r>
    </w:p>
    <w:p w14:paraId="2690DF3F"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poskytuje metodickú podporu, poradenstvo a konzultácie v oblasti uplatňovania HP;</w:t>
      </w:r>
    </w:p>
    <w:p w14:paraId="1ED14A6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školiace a vzdelávacie aktivity pre RO a relevantných sociálno-ekonomických partnerov v rámci vzdelávacieho plánu ÚV SR;</w:t>
      </w:r>
    </w:p>
    <w:p w14:paraId="5E212FEE" w14:textId="77777777" w:rsidR="00B650E5" w:rsidRDefault="00B650E5" w:rsidP="006D4930">
      <w:pPr>
        <w:widowControl w:val="0"/>
        <w:numPr>
          <w:ilvl w:val="1"/>
          <w:numId w:val="55"/>
        </w:numPr>
        <w:tabs>
          <w:tab w:val="clear" w:pos="720"/>
          <w:tab w:val="num" w:pos="851"/>
        </w:tabs>
        <w:spacing w:before="120" w:after="120"/>
        <w:ind w:left="851" w:hanging="425"/>
        <w:jc w:val="both"/>
        <w:rPr>
          <w:lang w:eastAsia="en-US"/>
        </w:rPr>
      </w:pPr>
      <w:r w:rsidRPr="006D4930">
        <w:t xml:space="preserve">poskytuje súčinnosť </w:t>
      </w:r>
      <w:r>
        <w:t>ÚV SR</w:t>
      </w:r>
      <w:r w:rsidRPr="006D4930">
        <w:t xml:space="preserve"> pri koordinácii komunikačných</w:t>
      </w:r>
      <w:r>
        <w:t xml:space="preserve"> aktivít, školiacich a vzdelávacích aktivít pre AK EŠIF</w:t>
      </w:r>
      <w:r w:rsidRPr="006D4930">
        <w:t xml:space="preserve"> v rámci procesu programovania, implementácie, monitorovania a hodnotenia HP</w:t>
      </w:r>
      <w:r>
        <w:t>;</w:t>
      </w:r>
    </w:p>
    <w:p w14:paraId="3A38B2B9" w14:textId="74BFBC37" w:rsidR="00B650E5" w:rsidRPr="00B441A9" w:rsidRDefault="0083546A">
      <w:pPr>
        <w:widowControl w:val="0"/>
        <w:numPr>
          <w:ilvl w:val="1"/>
          <w:numId w:val="55"/>
        </w:numPr>
        <w:tabs>
          <w:tab w:val="clear" w:pos="720"/>
        </w:tabs>
        <w:spacing w:before="120" w:after="120"/>
        <w:ind w:left="851" w:hanging="425"/>
        <w:jc w:val="both"/>
        <w:rPr>
          <w:lang w:eastAsia="en-US"/>
        </w:rPr>
      </w:pPr>
      <w:r>
        <w:rPr>
          <w:lang w:eastAsia="en-US"/>
        </w:rPr>
        <w:t xml:space="preserve">navrhuje/posudzuje relevanciu HP k merateľným ukazovateľom a iným údajom a </w:t>
      </w:r>
      <w:r w:rsidR="00B650E5" w:rsidRPr="00B441A9">
        <w:rPr>
          <w:lang w:eastAsia="en-US"/>
        </w:rPr>
        <w:t>spolupracuje s RO pri definovaní merateľných ukazovateľov</w:t>
      </w:r>
      <w:r>
        <w:rPr>
          <w:lang w:eastAsia="en-US"/>
        </w:rPr>
        <w:t xml:space="preserve">, gestor HP môže </w:t>
      </w:r>
      <w:r w:rsidRPr="006D194C">
        <w:t xml:space="preserve">RO navrhovať iné údaje, ktoré sú sledované </w:t>
      </w:r>
      <w:r>
        <w:t>za účelom sledovania napĺňania</w:t>
      </w:r>
      <w:r w:rsidR="00B650E5" w:rsidRPr="00B441A9">
        <w:rPr>
          <w:lang w:eastAsia="en-US"/>
        </w:rPr>
        <w:t xml:space="preserve"> HP;</w:t>
      </w:r>
    </w:p>
    <w:p w14:paraId="2C2D4750"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vopred definuje rozsah údajov, ktoré sú potrebné na monitorovanie HP a ktoré je RO povinný získavať v rámci údajov z podporených projektov;</w:t>
      </w:r>
    </w:p>
    <w:p w14:paraId="60159550" w14:textId="7AA476FF"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CKO pri vývoji a úprave ITMS</w:t>
      </w:r>
      <w:r w:rsidR="00341477">
        <w:rPr>
          <w:lang w:eastAsia="en-US"/>
        </w:rPr>
        <w:t xml:space="preserve"> </w:t>
      </w:r>
      <w:r>
        <w:rPr>
          <w:lang w:eastAsia="en-US"/>
        </w:rPr>
        <w:t>2014+ za účelom uplatňovania HP;</w:t>
      </w:r>
    </w:p>
    <w:p w14:paraId="370E0251"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CKO pri vypracovaní a aktualizácii Systému riadenia EŠIF a vydávaní relevantných metodických dokumentov v rozsahu potrebnom pre korektné zohľadnenie HP v ustanoveniach týchto dokumentov;</w:t>
      </w:r>
    </w:p>
    <w:p w14:paraId="2F7BB89D"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vypracováva správy/informácie o stave uplatňovania HP pre potreby CKO, EK, vlády SR, NMV a ďalších subjektov zapojených do implementácie EŠIF;</w:t>
      </w:r>
    </w:p>
    <w:p w14:paraId="38663B0C"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lastRenderedPageBreak/>
        <w:t>na základe svojich zistení z posudzovania procesov implementácie HP v OP vypracováva odporúčania pre RO, ktoré navrhujú konkrétne opatrenia za účelom správnej implementácie HP;</w:t>
      </w:r>
    </w:p>
    <w:p w14:paraId="44F4174C"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14:paraId="632E9394" w14:textId="77777777" w:rsidR="00B650E5" w:rsidRDefault="00B650E5">
      <w:pPr>
        <w:widowControl w:val="0"/>
        <w:numPr>
          <w:ilvl w:val="1"/>
          <w:numId w:val="55"/>
        </w:numPr>
        <w:tabs>
          <w:tab w:val="clear" w:pos="720"/>
        </w:tabs>
        <w:spacing w:before="120" w:after="120"/>
        <w:ind w:left="851" w:hanging="425"/>
        <w:jc w:val="both"/>
        <w:rPr>
          <w:lang w:eastAsia="en-US"/>
        </w:rPr>
      </w:pPr>
      <w:bookmarkStart w:id="43" w:name="kapitola_1315_ods_2s"/>
      <w:r>
        <w:rPr>
          <w:lang w:eastAsia="en-US"/>
        </w:rPr>
        <w:t xml:space="preserve">spolupracuje s RO pri príprave výziev/vyzvaní v otázkach týkajúcich sa informácií potrebných k aplikácii HP a overuje ich súlad s HP, pričom výsledky overenia poskytuje ako záväzné substanovisko pre CKO pri posudzovaní výziev podľa </w:t>
      </w:r>
      <w:hyperlink w:anchor="kapitola_311_ods_4_d" w:tooltip="kapitoly 3.1.1 ods. 4, písm. d)" w:history="1">
        <w:r w:rsidRPr="00303A2D">
          <w:rPr>
            <w:rStyle w:val="Hypertextovprepojenie"/>
            <w:lang w:eastAsia="en-US"/>
          </w:rPr>
          <w:t>kapitoly 3.1.1 ods. 4, písm. d)</w:t>
        </w:r>
      </w:hyperlink>
      <w:r>
        <w:rPr>
          <w:lang w:eastAsia="en-US"/>
        </w:rPr>
        <w:t>;</w:t>
      </w:r>
    </w:p>
    <w:bookmarkEnd w:id="43"/>
    <w:p w14:paraId="0CE06DDC"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a vykonáva hodnotenie príspevku EŠIF k uplatňovaniu a plneniu cieľov HP;</w:t>
      </w:r>
    </w:p>
    <w:p w14:paraId="18E34347"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plní ďalšie úlohy v súlade s platnou právnou úpravou a SI HP;</w:t>
      </w:r>
    </w:p>
    <w:p w14:paraId="6198B0AA" w14:textId="58B3BAB6" w:rsidR="00B650E5" w:rsidRPr="00DE72DC" w:rsidRDefault="00B650E5" w:rsidP="00DE5D89">
      <w:pPr>
        <w:pStyle w:val="Odsekzoznamu"/>
        <w:numPr>
          <w:ilvl w:val="1"/>
          <w:numId w:val="55"/>
        </w:numPr>
        <w:tabs>
          <w:tab w:val="clear" w:pos="720"/>
          <w:tab w:val="num" w:pos="851"/>
        </w:tabs>
        <w:ind w:left="851" w:hanging="425"/>
        <w:jc w:val="both"/>
        <w:rPr>
          <w:lang w:eastAsia="en-US"/>
        </w:rPr>
      </w:pPr>
      <w:r w:rsidRPr="00DE72DC">
        <w:rPr>
          <w:lang w:eastAsia="en-US"/>
        </w:rPr>
        <w:t>je povinný nastaviť postupy na zabezpečenie vykonávania riadenia rizika primerane v</w:t>
      </w:r>
      <w:r w:rsidR="00C74A64">
        <w:rPr>
          <w:lang w:eastAsia="en-US"/>
        </w:rPr>
        <w:t> </w:t>
      </w:r>
      <w:r w:rsidRPr="00DE72DC">
        <w:rPr>
          <w:lang w:eastAsia="en-US"/>
        </w:rPr>
        <w:t xml:space="preserve">zmysle </w:t>
      </w:r>
      <w:hyperlink w:anchor="kapitola_1321_ods_3_n" w:tooltip="kapitoly 1.3.2.1, ods. 3, písm. n)" w:history="1">
        <w:r w:rsidRPr="00C91B32">
          <w:rPr>
            <w:rStyle w:val="Hypertextovprepojenie"/>
            <w:lang w:eastAsia="en-US"/>
          </w:rPr>
          <w:t xml:space="preserve">kapitoly 1.3.2.1, ods. 3, písm. </w:t>
        </w:r>
        <w:r w:rsidR="00F94DD3">
          <w:rPr>
            <w:rStyle w:val="Hypertextovprepojenie"/>
            <w:lang w:eastAsia="en-US"/>
          </w:rPr>
          <w:t>o</w:t>
        </w:r>
        <w:r w:rsidRPr="00C91B32">
          <w:rPr>
            <w:rStyle w:val="Hypertextovprepojenie"/>
            <w:lang w:eastAsia="en-US"/>
          </w:rPr>
          <w:t>)</w:t>
        </w:r>
      </w:hyperlink>
      <w:r w:rsidRPr="00DE72DC">
        <w:rPr>
          <w:lang w:eastAsia="en-US"/>
        </w:rPr>
        <w:t>.</w:t>
      </w:r>
    </w:p>
    <w:p w14:paraId="39BE5A9A" w14:textId="77777777" w:rsidR="00B650E5" w:rsidRDefault="00B650E5" w:rsidP="0045286B">
      <w:pPr>
        <w:pStyle w:val="SRK4"/>
      </w:pPr>
      <w:bookmarkStart w:id="44" w:name="_Toc453233946"/>
      <w:bookmarkStart w:id="45" w:name="_Toc495649304"/>
      <w:r>
        <w:t>1.3.1.6 Orgán zabezpečujúci ochranu finančných záujmov</w:t>
      </w:r>
      <w:bookmarkEnd w:id="44"/>
      <w:bookmarkEnd w:id="45"/>
    </w:p>
    <w:p w14:paraId="56A68E8D" w14:textId="77777777" w:rsidR="00B650E5" w:rsidRDefault="00B650E5">
      <w:pPr>
        <w:pStyle w:val="Odsekzoznamu"/>
        <w:numPr>
          <w:ilvl w:val="0"/>
          <w:numId w:val="64"/>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14:paraId="4EB79170"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14:paraId="735343D6" w14:textId="77777777" w:rsidR="00B650E5" w:rsidRDefault="00B650E5">
      <w:pPr>
        <w:numPr>
          <w:ilvl w:val="0"/>
          <w:numId w:val="57"/>
        </w:numPr>
        <w:spacing w:before="120" w:after="120"/>
        <w:ind w:left="851" w:hanging="425"/>
        <w:jc w:val="both"/>
      </w:pPr>
      <w:r>
        <w:t>koordinuje a usmerňuje činnosti subjektov verejnej správy,</w:t>
      </w:r>
    </w:p>
    <w:p w14:paraId="5C5E53E3" w14:textId="77777777" w:rsidR="00B650E5" w:rsidRDefault="00B650E5">
      <w:pPr>
        <w:numPr>
          <w:ilvl w:val="0"/>
          <w:numId w:val="57"/>
        </w:numPr>
        <w:spacing w:before="120" w:after="120"/>
        <w:ind w:left="851" w:hanging="425"/>
        <w:jc w:val="both"/>
      </w:pPr>
      <w:r>
        <w:t>zhromažďuje údaje o nezrovnalostiach od subjektov verejnej správy,</w:t>
      </w:r>
    </w:p>
    <w:p w14:paraId="29C52214" w14:textId="77777777" w:rsidR="00B650E5" w:rsidRDefault="00B650E5">
      <w:pPr>
        <w:numPr>
          <w:ilvl w:val="0"/>
          <w:numId w:val="57"/>
        </w:numPr>
        <w:spacing w:before="120" w:after="120"/>
        <w:ind w:left="851" w:hanging="425"/>
        <w:jc w:val="both"/>
      </w:pPr>
      <w:r>
        <w:t>plní ďalšie úlohy v oblasti ochrany finančných záujmov v súlade s platnou právnou úpravou EÚ a SR.</w:t>
      </w:r>
      <w:r>
        <w:rPr>
          <w:vertAlign w:val="superscript"/>
        </w:rPr>
        <w:t xml:space="preserve"> </w:t>
      </w:r>
    </w:p>
    <w:p w14:paraId="0AB9215A"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je koordinačným útvarom pre boj proti podvodom podľa čl. 3 ods. 4 nariadenia č. 883/2013, ktorý</w:t>
      </w:r>
    </w:p>
    <w:p w14:paraId="7B412321" w14:textId="77777777" w:rsidR="00B650E5" w:rsidRDefault="00B650E5">
      <w:pPr>
        <w:numPr>
          <w:ilvl w:val="0"/>
          <w:numId w:val="210"/>
        </w:numPr>
        <w:spacing w:before="120" w:after="120"/>
        <w:ind w:left="851" w:hanging="425"/>
        <w:jc w:val="both"/>
      </w:pPr>
      <w:r>
        <w:t>poskytuje súčinnosť pri administratívnom vyšetrovaní,</w:t>
      </w:r>
    </w:p>
    <w:p w14:paraId="0CED93FD" w14:textId="77777777" w:rsidR="00B650E5" w:rsidRDefault="00B650E5">
      <w:pPr>
        <w:numPr>
          <w:ilvl w:val="0"/>
          <w:numId w:val="210"/>
        </w:numPr>
        <w:spacing w:before="120" w:after="120"/>
        <w:ind w:left="851" w:hanging="425"/>
        <w:jc w:val="both"/>
      </w:pPr>
      <w:r>
        <w:t>oznamuje nezrovnalosti EK podľa osobitných predpisov,</w:t>
      </w:r>
    </w:p>
    <w:p w14:paraId="11531313" w14:textId="77777777" w:rsidR="00B650E5" w:rsidRDefault="00B650E5">
      <w:pPr>
        <w:numPr>
          <w:ilvl w:val="0"/>
          <w:numId w:val="210"/>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14:paraId="3B0F824A"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plní úlohy styčného miesta podľa čl. 7 nariadenia č. 1302/2008.</w:t>
      </w:r>
    </w:p>
    <w:p w14:paraId="5D06282C" w14:textId="77777777" w:rsidR="00B650E5" w:rsidRDefault="00B650E5">
      <w:pPr>
        <w:pStyle w:val="Odsekzoznamu"/>
        <w:numPr>
          <w:ilvl w:val="0"/>
          <w:numId w:val="64"/>
        </w:numPr>
        <w:spacing w:before="120" w:after="120"/>
        <w:ind w:left="426" w:hanging="426"/>
        <w:contextualSpacing w:val="0"/>
        <w:jc w:val="both"/>
      </w:pPr>
      <w:r>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14:paraId="50401146" w14:textId="020EBC60" w:rsidR="00B650E5" w:rsidRDefault="00B650E5">
      <w:pPr>
        <w:pStyle w:val="Odsekzoznamu"/>
        <w:numPr>
          <w:ilvl w:val="0"/>
          <w:numId w:val="64"/>
        </w:numPr>
        <w:spacing w:before="120" w:after="120"/>
        <w:ind w:left="426" w:hanging="426"/>
        <w:contextualSpacing w:val="0"/>
        <w:jc w:val="both"/>
      </w:pPr>
      <w:r>
        <w:t>Orgán zabezpečujúci ochranu finančných záujmov informuje CKO o podozreniach z podvodov a ďalších protiprávnych konaní pri poskytovaní príspevku (</w:t>
      </w:r>
      <w:hyperlink r:id="rId18" w:history="1">
        <w:r>
          <w:rPr>
            <w:rStyle w:val="Hypertextovprepojenie"/>
            <w:lang w:eastAsia="en-US"/>
          </w:rPr>
          <w:t>nms</w:t>
        </w:r>
        <w:r w:rsidRPr="00673252">
          <w:rPr>
            <w:rStyle w:val="Hypertextovprepojenie"/>
            <w:lang w:eastAsia="en-US"/>
          </w:rPr>
          <w:t>@vicepremier.gov.sk</w:t>
        </w:r>
      </w:hyperlink>
      <w:r>
        <w:t>).</w:t>
      </w:r>
    </w:p>
    <w:p w14:paraId="44E39CD8" w14:textId="77777777" w:rsidR="00B650E5" w:rsidRDefault="00B650E5" w:rsidP="0045286B">
      <w:pPr>
        <w:pStyle w:val="SRK4"/>
      </w:pPr>
      <w:bookmarkStart w:id="46" w:name="_Toc453233947"/>
      <w:bookmarkStart w:id="47" w:name="_Toc495649305"/>
      <w:r>
        <w:t>1.3.1.7 Ministerstvo zahraničných vecí a európskych záležitostí SR</w:t>
      </w:r>
      <w:bookmarkEnd w:id="46"/>
      <w:bookmarkEnd w:id="47"/>
    </w:p>
    <w:p w14:paraId="6B04F251" w14:textId="77777777" w:rsidR="00B650E5" w:rsidRDefault="00B650E5">
      <w:pPr>
        <w:pStyle w:val="Odsekzoznamu"/>
        <w:numPr>
          <w:ilvl w:val="0"/>
          <w:numId w:val="359"/>
        </w:numPr>
        <w:spacing w:before="120" w:after="120"/>
        <w:contextualSpacing w:val="0"/>
        <w:jc w:val="both"/>
      </w:pPr>
      <w:r>
        <w:t xml:space="preserve">Ministerstvo zahraničných vecí a európskych záležitostí SR (ďalej len „MZVaEZ SR“) je v súlade s kompetenčným zákonom ústredným orgánom štátnej správy SR pre oblasť koordinácie realizácie politík EÚ. </w:t>
      </w:r>
    </w:p>
    <w:p w14:paraId="37D10430" w14:textId="77777777" w:rsidR="00B650E5" w:rsidRDefault="00B650E5">
      <w:pPr>
        <w:pStyle w:val="Odsekzoznamu"/>
        <w:numPr>
          <w:ilvl w:val="0"/>
          <w:numId w:val="359"/>
        </w:numPr>
        <w:spacing w:before="120" w:after="120"/>
        <w:contextualSpacing w:val="0"/>
        <w:jc w:val="both"/>
      </w:pPr>
      <w:r>
        <w:lastRenderedPageBreak/>
        <w:t>MZVaEZ SR plní vo vzťahu k realizácii politiky súdržnosti EÚ v SR najmä tieto úlohy:</w:t>
      </w:r>
    </w:p>
    <w:p w14:paraId="689A7B87" w14:textId="0A5D63B4" w:rsidR="00B650E5" w:rsidRDefault="00B650E5">
      <w:pPr>
        <w:numPr>
          <w:ilvl w:val="0"/>
          <w:numId w:val="360"/>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w:t>
      </w:r>
      <w:r w:rsidR="00C22FD5">
        <w:t> </w:t>
      </w:r>
      <w:r>
        <w:t>štrukturálne opatrenia, Výbor Komisie pre koordináciu EŠIF, Expertná skupina pre EŠIF, ad hoc pracovné skupiny priateľov Predsedníctva Rady k makro regionálnym stratégiám, Výbor Stálych predstaviteľov COREPER II, Rada pre všeobecné záležitosti),</w:t>
      </w:r>
    </w:p>
    <w:p w14:paraId="0981DEEF" w14:textId="3BC6A60B" w:rsidR="00B650E5" w:rsidRDefault="00B650E5">
      <w:pPr>
        <w:numPr>
          <w:ilvl w:val="0"/>
          <w:numId w:val="360"/>
        </w:numPr>
        <w:spacing w:before="120" w:after="120"/>
        <w:jc w:val="both"/>
      </w:pPr>
      <w:r>
        <w:t>spolupracuje s ministerstvami a ostatnými ústrednými orgánmi štátnej správy pri</w:t>
      </w:r>
      <w:r w:rsidR="00C22FD5">
        <w:t> </w:t>
      </w:r>
      <w:r>
        <w:t xml:space="preserve">formulovaní, tvorbe a presadzovaní záujmov a pozícií SR v oblasti politiky súdržnosti a informuje ministerstvá a ostatné štátne orgány SR o činnosti EÚ v oblasti realizácie politiky súdržnosti,  </w:t>
      </w:r>
    </w:p>
    <w:p w14:paraId="56523816" w14:textId="4EDCC090" w:rsidR="00B650E5" w:rsidRDefault="00B650E5">
      <w:pPr>
        <w:numPr>
          <w:ilvl w:val="0"/>
          <w:numId w:val="360"/>
        </w:numPr>
        <w:spacing w:before="120" w:after="120"/>
        <w:jc w:val="both"/>
      </w:pPr>
      <w:r>
        <w:t>spolupodieľa sa na príprave rokovaní predstaviteľov SR v inštitúciách a orgánoch EÚ so</w:t>
      </w:r>
      <w:r w:rsidR="00C22FD5">
        <w:t> </w:t>
      </w:r>
      <w:r>
        <w:t>zástupcami iných členských štátov EÚ vo vzťahu k politike súdržnosti, </w:t>
      </w:r>
    </w:p>
    <w:p w14:paraId="2B3E85DA" w14:textId="77777777" w:rsidR="00B650E5" w:rsidRDefault="00B650E5">
      <w:pPr>
        <w:numPr>
          <w:ilvl w:val="0"/>
          <w:numId w:val="360"/>
        </w:numPr>
        <w:spacing w:before="120" w:after="120"/>
        <w:jc w:val="both"/>
      </w:pPr>
      <w:r>
        <w:t>spolupodieľa sa na výmene skúseností a informácií s ostatnými členskými štátmi EÚ a regiónmi EÚ vo vzťahu k realizácii politiky súdržnosti EÚ (najmä koordinácia aktivít krajín V4),</w:t>
      </w:r>
    </w:p>
    <w:p w14:paraId="18A1B837" w14:textId="77777777" w:rsidR="00B650E5" w:rsidRDefault="00B650E5">
      <w:pPr>
        <w:numPr>
          <w:ilvl w:val="0"/>
          <w:numId w:val="360"/>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14:paraId="0F24DC6B" w14:textId="77777777" w:rsidR="00B650E5" w:rsidRDefault="00B650E5">
      <w:pPr>
        <w:numPr>
          <w:ilvl w:val="0"/>
          <w:numId w:val="360"/>
        </w:numPr>
        <w:spacing w:before="120" w:after="120"/>
        <w:jc w:val="both"/>
      </w:pPr>
      <w:r>
        <w:t xml:space="preserve">prostredníctvom poradných orgánov vlády SR sa podieľa na riešení hlavných otázok týkajúcich sa  cieľov, priorít, ako aj implementácie politiky súdržnosti v SR.  </w:t>
      </w:r>
    </w:p>
    <w:p w14:paraId="14289E76" w14:textId="77777777" w:rsidR="00B650E5" w:rsidRDefault="00B650E5">
      <w:pPr>
        <w:pStyle w:val="Odsekzoznamu"/>
        <w:numPr>
          <w:ilvl w:val="0"/>
          <w:numId w:val="359"/>
        </w:numPr>
        <w:spacing w:before="120" w:after="120"/>
        <w:contextualSpacing w:val="0"/>
        <w:jc w:val="both"/>
      </w:pPr>
      <w:r>
        <w:t xml:space="preserve">Úlohy MZVaEZ SR vo vzťahu k využívaniu EŠIF vykonávajú aj zamestnanci MZVaEZ SR pôsobiaci na Stálom zastúpení SR pri EÚ v Bruseli na úseku regionálnej politiky EÚ, ktorí sú zároveň súčasťou koordinačných mechanizmov CKO, CO a OA. </w:t>
      </w:r>
    </w:p>
    <w:p w14:paraId="7553C112" w14:textId="77777777" w:rsidR="00B650E5" w:rsidRDefault="00B650E5">
      <w:pPr>
        <w:pStyle w:val="Odsekzoznamu"/>
        <w:numPr>
          <w:ilvl w:val="0"/>
          <w:numId w:val="359"/>
        </w:numPr>
        <w:spacing w:before="120" w:after="120"/>
        <w:contextualSpacing w:val="0"/>
        <w:jc w:val="both"/>
      </w:pPr>
      <w:r>
        <w:t>Cieľom činností vykonávaných MZVaEZ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14:paraId="2922D630" w14:textId="77777777" w:rsidR="00B650E5" w:rsidRDefault="00B650E5" w:rsidP="0045286B">
      <w:pPr>
        <w:pStyle w:val="SRK4"/>
      </w:pPr>
      <w:bookmarkStart w:id="48" w:name="_Toc453233948"/>
      <w:bookmarkStart w:id="49" w:name="_Toc495649306"/>
      <w:bookmarkStart w:id="50" w:name="kapitola_1318"/>
      <w:r>
        <w:t>1.3.1.8 Národný monitorovací výbor</w:t>
      </w:r>
      <w:bookmarkEnd w:id="48"/>
      <w:bookmarkEnd w:id="49"/>
      <w:r>
        <w:t xml:space="preserve"> </w:t>
      </w:r>
    </w:p>
    <w:bookmarkEnd w:id="50"/>
    <w:p w14:paraId="387FB2A6" w14:textId="77777777" w:rsidR="00B650E5" w:rsidRDefault="00B650E5">
      <w:pPr>
        <w:pStyle w:val="Odsekzoznamu"/>
        <w:numPr>
          <w:ilvl w:val="0"/>
          <w:numId w:val="65"/>
        </w:numPr>
        <w:spacing w:before="120" w:after="120"/>
        <w:ind w:left="426" w:hanging="426"/>
        <w:contextualSpacing w:val="0"/>
        <w:jc w:val="both"/>
      </w:pPr>
      <w:r>
        <w:t>NMV je orgán zriadený CKO.</w:t>
      </w:r>
    </w:p>
    <w:p w14:paraId="15F56186" w14:textId="77777777" w:rsidR="00B650E5" w:rsidRDefault="00B650E5">
      <w:pPr>
        <w:pStyle w:val="Odsekzoznamu"/>
        <w:numPr>
          <w:ilvl w:val="0"/>
          <w:numId w:val="65"/>
        </w:numPr>
        <w:spacing w:before="120" w:after="120"/>
        <w:ind w:left="426" w:hanging="426"/>
        <w:contextualSpacing w:val="0"/>
        <w:jc w:val="both"/>
      </w:pPr>
      <w:r>
        <w:t>Hlavnou úlohou NMV je pravidelné sledovanie a vyhodnocovanie realizácie cieľov politiky súdržnosti v programovom období 2014 - 2020 a vyhodnocovanie účinnosti vykonávania činností spojených s poskytovaním príspevku z EŠIF.</w:t>
      </w:r>
    </w:p>
    <w:p w14:paraId="01AB15A5" w14:textId="05D4374C" w:rsidR="00B650E5" w:rsidRDefault="00B650E5" w:rsidP="00625864">
      <w:pPr>
        <w:pStyle w:val="Odsekzoznamu"/>
        <w:numPr>
          <w:ilvl w:val="0"/>
          <w:numId w:val="65"/>
        </w:numPr>
        <w:spacing w:before="120" w:after="120"/>
        <w:contextualSpacing w:val="0"/>
        <w:jc w:val="both"/>
      </w:pPr>
      <w:r w:rsidRPr="00625864">
        <w:t>NMV pozostáva z predsedu, podpredsedu, ostatných členov NMV a pozorovateľov NMV. Predsedom NMV je člen vlády SR zodpovedný za plnenie úloh v rámci spolupráce pri využívaní finančných prostriedkov z Európskej únie v  programovom období 2014 – 2020. Predseda NMV menuje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p>
    <w:p w14:paraId="1B6A04C1" w14:textId="395A1010" w:rsidR="00B650E5" w:rsidRDefault="00B650E5">
      <w:pPr>
        <w:pStyle w:val="Odsekzoznamu"/>
        <w:numPr>
          <w:ilvl w:val="0"/>
          <w:numId w:val="65"/>
        </w:numPr>
        <w:spacing w:before="120" w:after="120"/>
        <w:ind w:left="426" w:hanging="426"/>
        <w:contextualSpacing w:val="0"/>
        <w:jc w:val="both"/>
      </w:pPr>
      <w:r>
        <w:t xml:space="preserve">Okrem členov uvedených v odseku 3 sú v rámci NMV v súlade s čl. 5 všeobecného nariadenia a uplatňovaní Etického kódexu správania pre partnerstvo zastúpení aj zástupcovia regionálnej </w:t>
      </w:r>
      <w:r>
        <w:lastRenderedPageBreak/>
        <w:t>a miestnej samosprávy, resp. združení samospráv, hospodárski a sociálni partneri, mimovládne organizácie zastupujúce občiansku spoločnosť.</w:t>
      </w:r>
    </w:p>
    <w:p w14:paraId="4D45213A" w14:textId="77777777" w:rsidR="00B650E5" w:rsidRDefault="00B650E5">
      <w:pPr>
        <w:pStyle w:val="Odsekzoznamu"/>
        <w:numPr>
          <w:ilvl w:val="0"/>
          <w:numId w:val="65"/>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14:paraId="701898FE" w14:textId="77777777" w:rsidR="00B650E5" w:rsidRDefault="00B650E5">
      <w:pPr>
        <w:pStyle w:val="Odsekzoznamu"/>
        <w:numPr>
          <w:ilvl w:val="0"/>
          <w:numId w:val="65"/>
        </w:numPr>
        <w:spacing w:before="120" w:after="120"/>
        <w:ind w:left="426" w:hanging="426"/>
        <w:contextualSpacing w:val="0"/>
        <w:jc w:val="both"/>
      </w:pPr>
      <w:r>
        <w:t>Postavenie, pôsobnosť a zloženie NMV určuje jeho štatút. Štatút a Rokovací poriadok schvaľuje NMV na svojom prvom zasadnutí. Pravidlá činnosti NMV sú uvedené v rokovacom poriadku.</w:t>
      </w:r>
    </w:p>
    <w:p w14:paraId="7AB229D4" w14:textId="77777777" w:rsidR="00B650E5" w:rsidRDefault="00B650E5">
      <w:pPr>
        <w:pStyle w:val="Odsekzoznamu"/>
        <w:numPr>
          <w:ilvl w:val="0"/>
          <w:numId w:val="65"/>
        </w:numPr>
        <w:spacing w:before="120" w:after="120"/>
        <w:ind w:left="426" w:hanging="426"/>
        <w:contextualSpacing w:val="0"/>
        <w:jc w:val="both"/>
      </w:pPr>
      <w:r>
        <w:t>NMV zasadá podľa potreby, minimálne však jedenkrát ročne.</w:t>
      </w:r>
    </w:p>
    <w:p w14:paraId="1FFB970A" w14:textId="77777777" w:rsidR="00B650E5" w:rsidRDefault="00B650E5">
      <w:pPr>
        <w:pStyle w:val="Odsekzoznamu"/>
        <w:numPr>
          <w:ilvl w:val="0"/>
          <w:numId w:val="65"/>
        </w:numPr>
        <w:spacing w:before="120" w:after="120"/>
        <w:ind w:left="426" w:hanging="426"/>
        <w:contextualSpacing w:val="0"/>
        <w:jc w:val="both"/>
      </w:pPr>
      <w:r>
        <w:t>NMV plní najmä nasledovné úlohy:</w:t>
      </w:r>
    </w:p>
    <w:p w14:paraId="11DE1933" w14:textId="77777777" w:rsidR="00B650E5" w:rsidRPr="00B66F49" w:rsidRDefault="00B650E5" w:rsidP="00DE5D89">
      <w:pPr>
        <w:numPr>
          <w:ilvl w:val="0"/>
          <w:numId w:val="318"/>
        </w:numPr>
        <w:spacing w:before="120" w:after="120"/>
        <w:ind w:left="851" w:hanging="425"/>
        <w:jc w:val="both"/>
        <w:rPr>
          <w:lang w:eastAsia="cs-CZ"/>
        </w:rPr>
      </w:pPr>
      <w:r>
        <w:t xml:space="preserve">monitoruje stav v dosahovaní cieľových hodnôt merateľných ukazovateľov, vrátane čiastkových cieľov určených v rámci výkonnostného rámca k 31.12.2018 a navrhuje </w:t>
      </w:r>
      <w:r w:rsidRPr="00B66F49">
        <w:t>opatrenia na zvýšenie efektívnosti a účinnosti implementácie EŠIF;</w:t>
      </w:r>
    </w:p>
    <w:p w14:paraId="107986B5" w14:textId="5AED35B2" w:rsidR="00B650E5" w:rsidRPr="00B66F49" w:rsidRDefault="00B650E5" w:rsidP="00DE5D89">
      <w:pPr>
        <w:numPr>
          <w:ilvl w:val="0"/>
          <w:numId w:val="318"/>
        </w:numPr>
        <w:spacing w:before="120" w:after="120"/>
        <w:ind w:left="851" w:hanging="425"/>
        <w:jc w:val="both"/>
        <w:rPr>
          <w:lang w:eastAsia="cs-CZ"/>
        </w:rPr>
      </w:pPr>
      <w:r w:rsidRPr="00997CB0">
        <w:rPr>
          <w:lang w:eastAsia="cs-CZ"/>
        </w:rPr>
        <w:t xml:space="preserve">monitoruje stav </w:t>
      </w:r>
      <w:r w:rsidRPr="00B66F49">
        <w:rPr>
          <w:lang w:eastAsia="cs-CZ"/>
        </w:rPr>
        <w:t>implementácie EŠIF</w:t>
      </w:r>
      <w:r w:rsidR="00C22FD5">
        <w:rPr>
          <w:lang w:eastAsia="cs-CZ"/>
        </w:rPr>
        <w:t>;</w:t>
      </w:r>
      <w:r w:rsidRPr="00B66F49">
        <w:rPr>
          <w:lang w:eastAsia="cs-CZ"/>
        </w:rPr>
        <w:t xml:space="preserve"> </w:t>
      </w:r>
    </w:p>
    <w:p w14:paraId="213184AE" w14:textId="5931CCE6" w:rsidR="00B650E5" w:rsidRDefault="00B650E5">
      <w:pPr>
        <w:numPr>
          <w:ilvl w:val="0"/>
          <w:numId w:val="318"/>
        </w:numPr>
        <w:spacing w:before="120" w:after="120"/>
        <w:ind w:left="851" w:hanging="425"/>
        <w:jc w:val="both"/>
      </w:pPr>
      <w:r>
        <w:t>schvaľuje</w:t>
      </w:r>
      <w:r w:rsidDel="009B0A5A">
        <w:t xml:space="preserve"> </w:t>
      </w:r>
      <w:r>
        <w:t>Správu o pokroku pri vykonávaní PD k 31. decembru 2016, ktorú CKO predloží EK do 31. augusta 2017 a správu o pokroku pri vykonávaní PD k 31. decembru 2018, ktorú CKO predloží EK do 31. augusta 2019;</w:t>
      </w:r>
    </w:p>
    <w:p w14:paraId="03BBC029" w14:textId="77777777" w:rsidR="00B650E5" w:rsidRDefault="00B650E5" w:rsidP="00DE5D89">
      <w:pPr>
        <w:numPr>
          <w:ilvl w:val="0"/>
          <w:numId w:val="318"/>
        </w:numPr>
        <w:autoSpaceDE w:val="0"/>
        <w:autoSpaceDN w:val="0"/>
        <w:adjustRightInd w:val="0"/>
        <w:spacing w:before="120" w:after="120"/>
        <w:ind w:left="851" w:hanging="425"/>
        <w:jc w:val="both"/>
      </w:pPr>
      <w:r>
        <w:t xml:space="preserve">schvaľuje Plán hodnotení EŠIF na  programové obdobie 2014 – 2020, </w:t>
      </w:r>
      <w:r w:rsidRPr="00D23823">
        <w:t>vypracovaný CKO  a každú jeho aktualizovanú verziu</w:t>
      </w:r>
      <w:r>
        <w:t>;</w:t>
      </w:r>
    </w:p>
    <w:p w14:paraId="54C79A2B" w14:textId="668E6839" w:rsidR="00B650E5" w:rsidRDefault="00B650E5">
      <w:pPr>
        <w:numPr>
          <w:ilvl w:val="0"/>
          <w:numId w:val="318"/>
        </w:numPr>
        <w:spacing w:before="120" w:after="120"/>
        <w:ind w:left="851" w:hanging="425"/>
        <w:jc w:val="both"/>
      </w:pPr>
      <w:r w:rsidRPr="00BE42CF">
        <w:t>berie na vedomie Súhrnnú správu o aktivitách hodnotenia a výsledkoch hodnotení EŠIF za</w:t>
      </w:r>
      <w:r w:rsidR="00C22FD5">
        <w:t> </w:t>
      </w:r>
      <w:r w:rsidRPr="00BE42CF">
        <w:t>predchádzajúci kalendárny rok vypracovanú CKO v termíne do 31. mája kalendárneho roka</w:t>
      </w:r>
      <w:r>
        <w:t>;</w:t>
      </w:r>
    </w:p>
    <w:p w14:paraId="08724315" w14:textId="77777777" w:rsidR="00B650E5" w:rsidRDefault="00B650E5">
      <w:pPr>
        <w:numPr>
          <w:ilvl w:val="0"/>
          <w:numId w:val="318"/>
        </w:numPr>
        <w:spacing w:before="120" w:after="120"/>
        <w:ind w:left="851" w:hanging="425"/>
        <w:jc w:val="both"/>
      </w:pPr>
      <w:r>
        <w:t>berie na vedomie navrhnuté realokácie finančných prostriedkov a následnú revíziu PD a príslušných OP;</w:t>
      </w:r>
    </w:p>
    <w:p w14:paraId="22843FD7" w14:textId="0041364A" w:rsidR="00B650E5" w:rsidRDefault="00B650E5">
      <w:pPr>
        <w:numPr>
          <w:ilvl w:val="0"/>
          <w:numId w:val="318"/>
        </w:numPr>
        <w:spacing w:before="120" w:after="120"/>
        <w:ind w:left="851" w:hanging="425"/>
        <w:jc w:val="both"/>
      </w:pPr>
      <w:r>
        <w:t>berie na vedomie správu o činnosti Koordinačného výboru pre spoluprácu pri kontrole verejného obstarávania.</w:t>
      </w:r>
    </w:p>
    <w:p w14:paraId="4691F252" w14:textId="77777777" w:rsidR="00B650E5" w:rsidRDefault="00B650E5">
      <w:pPr>
        <w:pStyle w:val="Odsekzoznamu"/>
        <w:numPr>
          <w:ilvl w:val="0"/>
          <w:numId w:val="65"/>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14:paraId="680A1E1C" w14:textId="77777777" w:rsidR="00B650E5" w:rsidRPr="00F30094" w:rsidRDefault="00B650E5" w:rsidP="0045286B">
      <w:pPr>
        <w:pStyle w:val="SRK4"/>
      </w:pPr>
      <w:bookmarkStart w:id="51" w:name="_Toc453233949"/>
      <w:bookmarkStart w:id="52" w:name="_Toc495649307"/>
      <w:bookmarkStart w:id="53" w:name="kapitola_1319"/>
      <w:r w:rsidRPr="00F30094">
        <w:t>1.3.1.9 Koordinačný výbor pre spoluprácu pri kontrole verejného obstarávania</w:t>
      </w:r>
      <w:bookmarkEnd w:id="51"/>
      <w:bookmarkEnd w:id="52"/>
    </w:p>
    <w:bookmarkEnd w:id="53"/>
    <w:p w14:paraId="67320EB5" w14:textId="424E6775" w:rsidR="00B650E5" w:rsidRDefault="00B650E5">
      <w:pPr>
        <w:numPr>
          <w:ilvl w:val="0"/>
          <w:numId w:val="75"/>
        </w:numPr>
        <w:spacing w:before="120" w:after="120"/>
        <w:ind w:left="426" w:hanging="426"/>
        <w:jc w:val="both"/>
        <w:rPr>
          <w:bCs/>
          <w:iCs/>
        </w:rPr>
      </w:pPr>
      <w:r>
        <w:rPr>
          <w:bCs/>
          <w:iCs/>
        </w:rPr>
        <w:t>Koordinačný výbor pre spoluprácu pri kontrole verejného obstarávania (ďalej len „výbor“) je odborným fórom zriadeným pre účely koordinácie spolupráce a výmeny skúseností v oblasti VO. Zriaďovateľom výboru je ÚVO, pričom jeho členmi sú zástupcovia RO, SO, CKO. Zástupcovia OA, CO sa zúčastňujú zasadnutia výboru ako nezávislí pozorovatelia bez</w:t>
      </w:r>
      <w:r w:rsidR="00C22FD5">
        <w:rPr>
          <w:bCs/>
          <w:iCs/>
        </w:rPr>
        <w:t> </w:t>
      </w:r>
      <w:r>
        <w:rPr>
          <w:bCs/>
          <w:iCs/>
        </w:rPr>
        <w:t xml:space="preserve">hlasovacieho práva. V prípade potreby je výbor oprávnený prizvať k spolupráci aj iné orgány štátnej správy. </w:t>
      </w:r>
    </w:p>
    <w:p w14:paraId="066B1D3C" w14:textId="77777777" w:rsidR="00B650E5" w:rsidRDefault="00B650E5">
      <w:pPr>
        <w:numPr>
          <w:ilvl w:val="0"/>
          <w:numId w:val="75"/>
        </w:numPr>
        <w:spacing w:before="120" w:after="120"/>
        <w:ind w:left="426" w:hanging="426"/>
        <w:jc w:val="both"/>
        <w:rPr>
          <w:bCs/>
          <w:iCs/>
        </w:rPr>
      </w:pPr>
      <w:r>
        <w:rPr>
          <w:bCs/>
          <w:iCs/>
        </w:rPr>
        <w:t>Podrobnosti o zložení, pôsobnosti a organizácii výboru upraví štatút, za ktorého vypracovanie a následné aktualizácie zodpovedá ÚVO.</w:t>
      </w:r>
    </w:p>
    <w:p w14:paraId="564D345A" w14:textId="54E3DCED" w:rsidR="00B650E5" w:rsidRDefault="00B650E5">
      <w:pPr>
        <w:numPr>
          <w:ilvl w:val="0"/>
          <w:numId w:val="75"/>
        </w:numPr>
        <w:spacing w:before="120" w:after="120"/>
        <w:ind w:left="426" w:hanging="426"/>
        <w:jc w:val="both"/>
        <w:rPr>
          <w:bCs/>
          <w:iCs/>
        </w:rPr>
      </w:pPr>
      <w:r>
        <w:rPr>
          <w:bCs/>
          <w:iCs/>
        </w:rPr>
        <w:t>Zasadnutia výboru sa uskutočňujú v dvojmesačných intervaloch. V prípade potreby je ÚVO na</w:t>
      </w:r>
      <w:r w:rsidR="00C22FD5">
        <w:rPr>
          <w:bCs/>
          <w:iCs/>
        </w:rPr>
        <w:t> </w:t>
      </w:r>
      <w:r>
        <w:rPr>
          <w:bCs/>
          <w:iCs/>
        </w:rPr>
        <w:t xml:space="preserve">základe vlastného podnetu alebo podnetu niektorého z členov, oprávnené zvolať zasadnutie výboru aj mimo tohto intervalu. </w:t>
      </w:r>
    </w:p>
    <w:p w14:paraId="6ADE4B51" w14:textId="77777777" w:rsidR="00B650E5" w:rsidRDefault="00B650E5">
      <w:pPr>
        <w:numPr>
          <w:ilvl w:val="0"/>
          <w:numId w:val="75"/>
        </w:numPr>
        <w:spacing w:before="120" w:after="120"/>
        <w:ind w:left="426" w:hanging="426"/>
        <w:jc w:val="both"/>
        <w:rPr>
          <w:bCs/>
          <w:iCs/>
        </w:rPr>
      </w:pPr>
      <w:r>
        <w:rPr>
          <w:bCs/>
          <w:iCs/>
        </w:rPr>
        <w:t>Úlohou výboru je najmä:</w:t>
      </w:r>
    </w:p>
    <w:p w14:paraId="6CFC4E78" w14:textId="77777777" w:rsidR="00B650E5" w:rsidRDefault="00B650E5">
      <w:pPr>
        <w:pStyle w:val="Odsekzoznamu"/>
        <w:numPr>
          <w:ilvl w:val="0"/>
          <w:numId w:val="67"/>
        </w:numPr>
        <w:spacing w:before="120" w:after="120"/>
        <w:ind w:left="851" w:hanging="425"/>
        <w:contextualSpacing w:val="0"/>
        <w:jc w:val="both"/>
      </w:pPr>
      <w:r>
        <w:t>spolupráca pri tvorbe jednotných systémových a metodických materiálov na úrovni Systému riadenia EŠIF v oblasti VO,</w:t>
      </w:r>
    </w:p>
    <w:p w14:paraId="265B4F1A" w14:textId="77777777" w:rsidR="00B650E5" w:rsidRDefault="00B650E5">
      <w:pPr>
        <w:pStyle w:val="Odsekzoznamu"/>
        <w:numPr>
          <w:ilvl w:val="0"/>
          <w:numId w:val="67"/>
        </w:numPr>
        <w:spacing w:before="120" w:after="120"/>
        <w:ind w:left="851" w:hanging="425"/>
        <w:contextualSpacing w:val="0"/>
        <w:jc w:val="both"/>
      </w:pPr>
      <w:r>
        <w:lastRenderedPageBreak/>
        <w:t>informovanie o závažných nedostatkoch zistených pri auditoch a kontrolách, ktoré môžu byť systémového charakteru,</w:t>
      </w:r>
    </w:p>
    <w:p w14:paraId="17F65584" w14:textId="77777777" w:rsidR="00B650E5" w:rsidRDefault="00B650E5">
      <w:pPr>
        <w:pStyle w:val="Odsekzoznamu"/>
        <w:numPr>
          <w:ilvl w:val="0"/>
          <w:numId w:val="67"/>
        </w:numPr>
        <w:spacing w:before="120" w:after="120"/>
        <w:ind w:left="851" w:hanging="425"/>
        <w:contextualSpacing w:val="0"/>
        <w:jc w:val="both"/>
      </w:pPr>
      <w:r>
        <w:t>identifikácia a hľadanie riešenia pre problematické oblasti procesov VO a jeho kontroly,</w:t>
      </w:r>
    </w:p>
    <w:p w14:paraId="603B5DDA" w14:textId="77777777" w:rsidR="00B650E5" w:rsidRDefault="00B650E5">
      <w:pPr>
        <w:pStyle w:val="Odsekzoznamu"/>
        <w:numPr>
          <w:ilvl w:val="0"/>
          <w:numId w:val="67"/>
        </w:numPr>
        <w:spacing w:before="120" w:after="120"/>
        <w:ind w:left="851" w:hanging="425"/>
        <w:contextualSpacing w:val="0"/>
        <w:jc w:val="both"/>
      </w:pPr>
      <w:r>
        <w:t>určovanie ad-hoc úloh pre pracovné skupiny a následné vyhodnocovanie ich činností,</w:t>
      </w:r>
    </w:p>
    <w:p w14:paraId="608C572D" w14:textId="04962880" w:rsidR="00B650E5" w:rsidRDefault="00B650E5">
      <w:pPr>
        <w:pStyle w:val="Odsekzoznamu"/>
        <w:numPr>
          <w:ilvl w:val="0"/>
          <w:numId w:val="67"/>
        </w:numPr>
        <w:spacing w:before="120" w:after="120"/>
        <w:ind w:left="851" w:hanging="425"/>
        <w:contextualSpacing w:val="0"/>
        <w:jc w:val="both"/>
      </w:pPr>
      <w:r>
        <w:t>jedenkrát do roka vypracovanie súhrnnej správy o činnosti výboru, vrátane odpočtu prijatých opatrení a návrhu úloh pre ďalší rok; správy o činnosti sú predkladané NMV,</w:t>
      </w:r>
    </w:p>
    <w:p w14:paraId="02F9312B" w14:textId="77777777" w:rsidR="00B650E5" w:rsidRDefault="00B650E5">
      <w:pPr>
        <w:pStyle w:val="Odsekzoznamu"/>
        <w:numPr>
          <w:ilvl w:val="0"/>
          <w:numId w:val="67"/>
        </w:numPr>
        <w:spacing w:before="120" w:after="120"/>
        <w:ind w:left="851" w:hanging="425"/>
        <w:contextualSpacing w:val="0"/>
        <w:jc w:val="both"/>
      </w:pPr>
      <w:r>
        <w:t xml:space="preserve">vypracúvať odporúčania a návrhy opatrení na riešenie systémových nedostatkov, ktoré majú prijať zodpovedné subjekty. </w:t>
      </w:r>
    </w:p>
    <w:p w14:paraId="2CDFED9A" w14:textId="77777777" w:rsidR="00B650E5" w:rsidRDefault="00B650E5">
      <w:pPr>
        <w:numPr>
          <w:ilvl w:val="0"/>
          <w:numId w:val="75"/>
        </w:numPr>
        <w:spacing w:before="120" w:after="120"/>
        <w:ind w:left="426" w:hanging="426"/>
        <w:jc w:val="both"/>
        <w:rPr>
          <w:bCs/>
          <w:iCs/>
        </w:rPr>
      </w:pPr>
      <w:r>
        <w:rPr>
          <w:bCs/>
          <w:iCs/>
        </w:rPr>
        <w:t>V prípade, že riešená oblasť VO potrebuje bližšie odborné rozpracovanie, výbor môže zriadiť ad-hoc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14:paraId="25AB0285" w14:textId="77777777" w:rsidR="00B650E5" w:rsidRDefault="00B650E5" w:rsidP="0045286B">
      <w:pPr>
        <w:pStyle w:val="SRK4"/>
      </w:pPr>
      <w:bookmarkStart w:id="54" w:name="_Toc453233950"/>
      <w:bookmarkStart w:id="55" w:name="_Toc495649308"/>
      <w:bookmarkStart w:id="56" w:name="_Toc389595958"/>
      <w:bookmarkStart w:id="57" w:name="kapitola_13110"/>
      <w:bookmarkStart w:id="58" w:name="_Toc378947502"/>
      <w:r>
        <w:t>1.3.1.10 Pracovná komisia pre koordináciu a zabezpečenie synergických účinkov medzi EŠIF a ostatnými nástrojmi podpory Únie a SR</w:t>
      </w:r>
      <w:bookmarkEnd w:id="54"/>
      <w:bookmarkEnd w:id="55"/>
    </w:p>
    <w:bookmarkEnd w:id="56"/>
    <w:bookmarkEnd w:id="57"/>
    <w:p w14:paraId="2C8C5D11" w14:textId="0F9C584C" w:rsidR="00B650E5" w:rsidRPr="00682D0A" w:rsidRDefault="00B650E5" w:rsidP="00682D0A">
      <w:pPr>
        <w:numPr>
          <w:ilvl w:val="0"/>
          <w:numId w:val="74"/>
        </w:numPr>
        <w:spacing w:before="120" w:after="120"/>
        <w:ind w:left="426" w:hanging="426"/>
        <w:jc w:val="both"/>
        <w:rPr>
          <w:bCs/>
          <w:iCs/>
        </w:rPr>
      </w:pPr>
      <w:r w:rsidRPr="00682D0A">
        <w:rPr>
          <w:bCs/>
          <w:iCs/>
        </w:rPr>
        <w:t>V súlade s čl. 4 ods. 6 všeobecného nariadenia sa na národnej úrovni zabezpečí koordinácia medzi EŠIF navzájom a medzi EŠIF a ostatnými príslušnými nástrojmi podpory EÚ a SR tak, ako sú zadefinované v PD a programoch, aby účinne prispievali k cieľom stratégie Únie na</w:t>
      </w:r>
      <w:r w:rsidR="00C22FD5">
        <w:rPr>
          <w:bCs/>
          <w:iCs/>
        </w:rPr>
        <w:t> </w:t>
      </w:r>
      <w:r w:rsidRPr="00682D0A">
        <w:rPr>
          <w:bCs/>
          <w:iCs/>
        </w:rPr>
        <w:t>zabezpečenie inteligentného, udržateľného a inkluzívneho rastu.</w:t>
      </w:r>
    </w:p>
    <w:p w14:paraId="1FDB2A39" w14:textId="7BF40C02" w:rsidR="00B650E5" w:rsidRPr="00682D0A" w:rsidRDefault="00B650E5" w:rsidP="00682D0A">
      <w:pPr>
        <w:numPr>
          <w:ilvl w:val="0"/>
          <w:numId w:val="74"/>
        </w:numPr>
        <w:spacing w:before="120" w:after="120"/>
        <w:ind w:left="426" w:hanging="426"/>
        <w:jc w:val="both"/>
        <w:rPr>
          <w:bCs/>
          <w:iCs/>
        </w:rPr>
      </w:pPr>
      <w:r>
        <w:rPr>
          <w:bCs/>
          <w:iCs/>
        </w:rPr>
        <w:t>Úrad p</w:t>
      </w:r>
      <w:r w:rsidRPr="00682D0A">
        <w:rPr>
          <w:bCs/>
          <w:iCs/>
        </w:rPr>
        <w:t>odpredsed</w:t>
      </w:r>
      <w:r>
        <w:rPr>
          <w:bCs/>
          <w:iCs/>
        </w:rPr>
        <w:t>u</w:t>
      </w:r>
      <w:r w:rsidRPr="00682D0A">
        <w:rPr>
          <w:bCs/>
          <w:iCs/>
        </w:rPr>
        <w:t xml:space="preserve"> vlády SR pre investície</w:t>
      </w:r>
      <w:r>
        <w:rPr>
          <w:bCs/>
          <w:iCs/>
        </w:rPr>
        <w:t xml:space="preserve"> a informatizáciu</w:t>
      </w:r>
      <w:r w:rsidRPr="00682D0A">
        <w:rPr>
          <w:bCs/>
          <w:iCs/>
        </w:rPr>
        <w:t xml:space="preserve"> zriadi pracovnú komisiu </w:t>
      </w:r>
      <w:r w:rsidRPr="00682D0A">
        <w:t>pre</w:t>
      </w:r>
      <w:r w:rsidR="00C22FD5">
        <w:t> </w:t>
      </w:r>
      <w:r w:rsidRPr="00682D0A">
        <w:t>koordináciu a zabezpečenie synergických účinkov medzi EŠIF a ostatnými nástrojmi podpory Únie a SR (ďalej len ,,pracovná komisia“)</w:t>
      </w:r>
      <w:r w:rsidRPr="00682D0A">
        <w:rPr>
          <w:bCs/>
          <w:iCs/>
        </w:rPr>
        <w:t>, ktorá s cieľom spoločného plánovania investícií z EŠIF, zabezpečí koordináciu synergických účinkov a komplementarít medzi EŠIF navzájom a medzi EŠIF a ostatnými nástrojmi podpory EÚ a SR.</w:t>
      </w:r>
    </w:p>
    <w:p w14:paraId="35EF8667" w14:textId="5DBAADB4"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je zložená z predsedu, podpredsedu a ostatných členov. Predseda pracovnej komisie menuje a odvoláva podpredsedu pracovnej komisie. Ostatnými členmi pracovnej komisie sú expertní zástupcovia RO, </w:t>
      </w:r>
      <w:r w:rsidRPr="00E41876">
        <w:t>zástupcovia SR zodpovední za implementáciu programov európskej územnej spolupráce</w:t>
      </w:r>
      <w:r w:rsidRPr="00E41876">
        <w:rPr>
          <w:bCs/>
          <w:iCs/>
        </w:rPr>
        <w:t xml:space="preserve">, CKO a gestorov HP. Každý člen pracovnej komisie má hlasovacie právo. Postavenie, pôsobnosť, zloženie a pravidlá činnosti pracovnej komisie sú upravené v štatúte a rokovacom poriadku. Aktuálny zoznam členov pracovnej komisie je zverejnený na webovom sídle </w:t>
      </w:r>
      <w:hyperlink r:id="rId19" w:history="1">
        <w:r w:rsidRPr="00E41876">
          <w:rPr>
            <w:rStyle w:val="Hypertextovprepojenie"/>
          </w:rPr>
          <w:t>www.partnerskadohoda.gov.sk</w:t>
        </w:r>
      </w:hyperlink>
      <w:r w:rsidRPr="00E41876">
        <w:rPr>
          <w:bCs/>
          <w:iCs/>
        </w:rPr>
        <w:t>.</w:t>
      </w:r>
    </w:p>
    <w:p w14:paraId="4103F203" w14:textId="77777777" w:rsidR="00B650E5" w:rsidRPr="00E41876" w:rsidRDefault="00B650E5" w:rsidP="00682D0A">
      <w:pPr>
        <w:numPr>
          <w:ilvl w:val="0"/>
          <w:numId w:val="74"/>
        </w:numPr>
        <w:spacing w:before="120" w:after="120"/>
        <w:ind w:left="426" w:hanging="426"/>
        <w:jc w:val="both"/>
        <w:rPr>
          <w:bCs/>
          <w:iCs/>
        </w:rPr>
      </w:pPr>
      <w:r w:rsidRPr="00E41876">
        <w:rPr>
          <w:bCs/>
          <w:iCs/>
        </w:rPr>
        <w:t>Pracovná komisia zasadá podľa potreby, a to najmä v nadväznosti na zostavenie harmonogramu výziev, harmonogramu vyzvaní národných projektov, harmonogramu vyzvaní veľkých projektov a harmonogramu vyzvaní projektov technickej pomoci. Medzi hlavné činnosti pracovnej komisie patrí najmä:</w:t>
      </w:r>
    </w:p>
    <w:p w14:paraId="4F6839B3" w14:textId="77777777" w:rsidR="00B650E5" w:rsidRPr="00E41876" w:rsidRDefault="00B650E5" w:rsidP="00682D0A">
      <w:pPr>
        <w:numPr>
          <w:ilvl w:val="0"/>
          <w:numId w:val="73"/>
        </w:numPr>
        <w:spacing w:before="120" w:after="120"/>
        <w:ind w:left="851" w:hanging="425"/>
        <w:jc w:val="both"/>
        <w:rPr>
          <w:bCs/>
          <w:iCs/>
        </w:rPr>
      </w:pPr>
      <w:r w:rsidRPr="00E41876">
        <w:rPr>
          <w:bCs/>
          <w:iCs/>
        </w:rPr>
        <w:t>preskúmať harmonogram výziev, harmonogram vyzvaní národných projektov, harmonogram vyzvaní veľkých projektov a harmonogram vyzvaní projektov technickej pomoci</w:t>
      </w:r>
      <w:r w:rsidR="006F3B93" w:rsidRPr="00E41876">
        <w:rPr>
          <w:bCs/>
          <w:iCs/>
        </w:rPr>
        <w:t>,</w:t>
      </w:r>
      <w:r w:rsidRPr="00E41876">
        <w:rPr>
          <w:bCs/>
          <w:iCs/>
        </w:rPr>
        <w:t xml:space="preserve"> ako aj ich zmeny a v prípade potreby navrhnúť ich úpravy;</w:t>
      </w:r>
    </w:p>
    <w:p w14:paraId="6C7A7558" w14:textId="77777777" w:rsidR="00B650E5" w:rsidRPr="00682D0A" w:rsidRDefault="00B650E5" w:rsidP="00682D0A">
      <w:pPr>
        <w:numPr>
          <w:ilvl w:val="0"/>
          <w:numId w:val="73"/>
        </w:numPr>
        <w:spacing w:before="120" w:after="120"/>
        <w:ind w:left="851" w:hanging="425"/>
        <w:jc w:val="both"/>
        <w:rPr>
          <w:bCs/>
          <w:iCs/>
        </w:rPr>
      </w:pPr>
      <w:r>
        <w:rPr>
          <w:bCs/>
          <w:iCs/>
        </w:rPr>
        <w:t>posúdiť</w:t>
      </w:r>
      <w:r w:rsidRPr="00682D0A">
        <w:rPr>
          <w:bCs/>
          <w:iCs/>
        </w:rPr>
        <w:t xml:space="preserve"> synergie a komplementarity, ktoré RO identifikoval pre jednotlivé výzvy a vyzvania uvedené v harmonogramoch a v prípade potreby navrhnúť ich úpravy alebo doplnenie;</w:t>
      </w:r>
    </w:p>
    <w:p w14:paraId="30F4B1B2" w14:textId="60EA656B" w:rsidR="00B650E5" w:rsidRPr="00682D0A" w:rsidRDefault="00B650E5" w:rsidP="00682D0A">
      <w:pPr>
        <w:numPr>
          <w:ilvl w:val="0"/>
          <w:numId w:val="73"/>
        </w:numPr>
        <w:spacing w:before="120" w:after="120"/>
        <w:ind w:left="851" w:hanging="425"/>
        <w:jc w:val="both"/>
        <w:rPr>
          <w:bCs/>
          <w:iCs/>
        </w:rPr>
      </w:pPr>
      <w:r w:rsidRPr="00682D0A">
        <w:rPr>
          <w:bCs/>
          <w:iCs/>
        </w:rPr>
        <w:t>skúmať konzistentnosť jednotlivých intervencií medzi EŠIF navzájom a EŠIF a ostatnými príslušnými nástrojmi podpory EÚ a</w:t>
      </w:r>
      <w:r w:rsidR="00E41876">
        <w:rPr>
          <w:bCs/>
          <w:iCs/>
        </w:rPr>
        <w:t> </w:t>
      </w:r>
      <w:r w:rsidRPr="00682D0A">
        <w:rPr>
          <w:bCs/>
          <w:iCs/>
        </w:rPr>
        <w:t>SR</w:t>
      </w:r>
      <w:r w:rsidR="00E41876">
        <w:rPr>
          <w:bCs/>
          <w:iCs/>
        </w:rPr>
        <w:t>.</w:t>
      </w:r>
    </w:p>
    <w:p w14:paraId="3651D5E7" w14:textId="77777777" w:rsidR="00B650E5" w:rsidRPr="00682D0A" w:rsidRDefault="00B650E5" w:rsidP="00682D0A">
      <w:pPr>
        <w:numPr>
          <w:ilvl w:val="0"/>
          <w:numId w:val="74"/>
        </w:numPr>
        <w:spacing w:before="120" w:after="120"/>
        <w:ind w:left="426" w:hanging="426"/>
        <w:jc w:val="both"/>
        <w:rPr>
          <w:bCs/>
          <w:iCs/>
        </w:rPr>
      </w:pPr>
      <w:r w:rsidRPr="00682D0A">
        <w:rPr>
          <w:bCs/>
          <w:iCs/>
        </w:rPr>
        <w:t xml:space="preserve">Za účelom zabezpečenia synergií a komplementarít sú RO </w:t>
      </w:r>
      <w:r>
        <w:rPr>
          <w:bCs/>
          <w:iCs/>
        </w:rPr>
        <w:t>povinné</w:t>
      </w:r>
      <w:r w:rsidRPr="00682D0A">
        <w:rPr>
          <w:bCs/>
          <w:iCs/>
        </w:rPr>
        <w:t>:</w:t>
      </w:r>
    </w:p>
    <w:p w14:paraId="7C87C965" w14:textId="4B99C9FF" w:rsidR="00B650E5" w:rsidRPr="00682D0A" w:rsidRDefault="00B650E5" w:rsidP="00682D0A">
      <w:pPr>
        <w:numPr>
          <w:ilvl w:val="0"/>
          <w:numId w:val="386"/>
        </w:numPr>
        <w:spacing w:before="120" w:after="120"/>
        <w:ind w:left="851" w:hanging="425"/>
        <w:jc w:val="both"/>
        <w:rPr>
          <w:bCs/>
          <w:iCs/>
        </w:rPr>
      </w:pPr>
      <w:r w:rsidRPr="00682D0A">
        <w:rPr>
          <w:bCs/>
          <w:iCs/>
        </w:rPr>
        <w:lastRenderedPageBreak/>
        <w:t>každoročne v termíne do 30. septembra</w:t>
      </w:r>
      <w:r w:rsidRPr="00682D0A" w:rsidDel="00077804">
        <w:rPr>
          <w:bCs/>
          <w:iCs/>
        </w:rPr>
        <w:t xml:space="preserve"> </w:t>
      </w:r>
      <w:r w:rsidRPr="00682D0A">
        <w:rPr>
          <w:bCs/>
          <w:iCs/>
        </w:rPr>
        <w:t>za</w:t>
      </w:r>
      <w:r w:rsidR="005D01F4">
        <w:rPr>
          <w:bCs/>
          <w:iCs/>
        </w:rPr>
        <w:t>slať pracovnej komisii elektronicky</w:t>
      </w:r>
      <w:r w:rsidRPr="00682D0A">
        <w:rPr>
          <w:bCs/>
          <w:iCs/>
        </w:rPr>
        <w:t xml:space="preserve"> harmonogram výziev, harmonogram vyzvaní národných projektov, harmonogramu vyzvaní veľkých projektov a harmonogramu vyzvaní projektov technickej pomoci na</w:t>
      </w:r>
      <w:r w:rsidR="00E41876">
        <w:rPr>
          <w:bCs/>
          <w:iCs/>
        </w:rPr>
        <w:t> </w:t>
      </w:r>
      <w:r w:rsidRPr="00682D0A">
        <w:rPr>
          <w:bCs/>
          <w:iCs/>
        </w:rPr>
        <w:t>nasledujúci kalendárny rok. Štruktúru údajov potrebných k zostaveniu harmonogramov stanovuje metodický pokyn vydaný CKO</w:t>
      </w:r>
      <w:r>
        <w:rPr>
          <w:rStyle w:val="Odkaznapoznmkupodiarou"/>
          <w:bCs/>
          <w:iCs/>
        </w:rPr>
        <w:footnoteReference w:id="9"/>
      </w:r>
      <w:r w:rsidRPr="00682D0A">
        <w:rPr>
          <w:bCs/>
          <w:iCs/>
        </w:rPr>
        <w:t>;</w:t>
      </w:r>
    </w:p>
    <w:p w14:paraId="004616AA" w14:textId="1D9AE3AB" w:rsidR="00B650E5" w:rsidRPr="00682D0A" w:rsidRDefault="00B650E5" w:rsidP="00682D0A">
      <w:pPr>
        <w:numPr>
          <w:ilvl w:val="0"/>
          <w:numId w:val="386"/>
        </w:numPr>
        <w:spacing w:before="120" w:after="120"/>
        <w:ind w:left="851" w:hanging="425"/>
        <w:jc w:val="both"/>
        <w:rPr>
          <w:bCs/>
          <w:iCs/>
        </w:rPr>
      </w:pPr>
      <w:r w:rsidRPr="00682D0A">
        <w:rPr>
          <w:bCs/>
          <w:iCs/>
        </w:rPr>
        <w:t xml:space="preserve">predkladať pracovnej komisii aktualizáciu harmonogramov. Aktualizácii podlieha harmonogram </w:t>
      </w:r>
      <w:r>
        <w:rPr>
          <w:bCs/>
          <w:iCs/>
        </w:rPr>
        <w:t xml:space="preserve">výziev, </w:t>
      </w:r>
      <w:r w:rsidRPr="00682D0A">
        <w:rPr>
          <w:bCs/>
          <w:iCs/>
        </w:rPr>
        <w:t>vyzvaní národných projektov, harmonogram vyzvaní veľkých projektov a harmonogram vyzvaní projektov technickej pomoci</w:t>
      </w:r>
      <w:r w:rsidRPr="00682D0A" w:rsidDel="00B02B1E">
        <w:rPr>
          <w:bCs/>
          <w:iCs/>
        </w:rPr>
        <w:t xml:space="preserve"> </w:t>
      </w:r>
      <w:r w:rsidRPr="00682D0A">
        <w:rPr>
          <w:bCs/>
          <w:iCs/>
        </w:rPr>
        <w:t xml:space="preserve">v prípade vecných zmien, ktoré sa týkajú aspektov posudzovaných pracovnou komisiou a tiež v prípade, ak dôjde k posunu plánovaného vyhlásenia </w:t>
      </w:r>
      <w:r>
        <w:rPr>
          <w:bCs/>
          <w:iCs/>
        </w:rPr>
        <w:t xml:space="preserve">výzvy alebo </w:t>
      </w:r>
      <w:r w:rsidRPr="00682D0A">
        <w:rPr>
          <w:bCs/>
          <w:iCs/>
        </w:rPr>
        <w:t xml:space="preserve">vyzvania o viac ako </w:t>
      </w:r>
      <w:r>
        <w:rPr>
          <w:bCs/>
          <w:iCs/>
        </w:rPr>
        <w:t>12</w:t>
      </w:r>
      <w:r w:rsidRPr="00682D0A">
        <w:rPr>
          <w:bCs/>
          <w:iCs/>
        </w:rPr>
        <w:t xml:space="preserve"> mesiacov. Aktualizáciu harmonogramu výziev upravujú príslušné ustanovenia uvedené v </w:t>
      </w:r>
      <w:hyperlink w:anchor="kapitola_31" w:tooltip="kapitole 3.1" w:history="1">
        <w:r w:rsidRPr="00682D0A">
          <w:rPr>
            <w:rStyle w:val="Hypertextovprepojenie"/>
            <w:bCs/>
            <w:iCs/>
          </w:rPr>
          <w:t>kapitole 3.1</w:t>
        </w:r>
      </w:hyperlink>
      <w:r w:rsidRPr="00667E4B">
        <w:rPr>
          <w:bCs/>
          <w:iCs/>
        </w:rPr>
        <w:t>.</w:t>
      </w:r>
      <w:r w:rsidRPr="00667E4B">
        <w:t xml:space="preserve"> </w:t>
      </w:r>
      <w:r w:rsidRPr="00997CB0">
        <w:t>RO predkladá aktualizáciu harmonogramu v priebehu kalendárneho mesiaca.</w:t>
      </w:r>
      <w:r w:rsidRPr="00F12951">
        <w:t> </w:t>
      </w:r>
      <w:r w:rsidRPr="00997CB0">
        <w:t xml:space="preserve"> Sekretariát pracovnej komisie požiadavky na aktualizáciu harmonogramov jednotlivých OP zosumarizuje podľa stavu k</w:t>
      </w:r>
      <w:r w:rsidRPr="00F12951">
        <w:t> </w:t>
      </w:r>
      <w:r w:rsidRPr="00997CB0">
        <w:t>poslednému dňu príslušného kalendárneho mesiaca</w:t>
      </w:r>
      <w:r w:rsidRPr="00EA504D">
        <w:t xml:space="preserve"> a predloží na</w:t>
      </w:r>
      <w:r w:rsidR="00E41876">
        <w:t> </w:t>
      </w:r>
      <w:r>
        <w:t>prerokovanie „per rollam“ pracovnej komisii;</w:t>
      </w:r>
    </w:p>
    <w:p w14:paraId="1BE02BB0" w14:textId="5A1CE259" w:rsidR="00B650E5" w:rsidRPr="00682D0A" w:rsidRDefault="00B650E5" w:rsidP="00682D0A">
      <w:pPr>
        <w:numPr>
          <w:ilvl w:val="0"/>
          <w:numId w:val="386"/>
        </w:numPr>
        <w:spacing w:before="120" w:after="120"/>
        <w:ind w:left="851" w:hanging="425"/>
        <w:jc w:val="both"/>
        <w:rPr>
          <w:bCs/>
          <w:iCs/>
        </w:rPr>
      </w:pPr>
      <w:r w:rsidRPr="00682D0A">
        <w:rPr>
          <w:bCs/>
          <w:iCs/>
        </w:rPr>
        <w:t xml:space="preserve">spolupracovať s inými RO, so zástupcami inštitúcií zodpovednými za implementáciu tematicky príslušných ostatných nástrojov podpory EÚ a SR </w:t>
      </w:r>
      <w:r w:rsidRPr="00682D0A">
        <w:t>pri príprave harmonogramu výziev, harmonogramu vyzvaní národných projektov, harmonogramu vyzvaní veľkých projektov a </w:t>
      </w:r>
      <w:r w:rsidRPr="00682D0A">
        <w:rPr>
          <w:bCs/>
          <w:iCs/>
        </w:rPr>
        <w:t>harmonogramu vyzvaní projektov technickej pomoci</w:t>
      </w:r>
      <w:r w:rsidRPr="00682D0A" w:rsidDel="00363CFA">
        <w:t xml:space="preserve"> </w:t>
      </w:r>
      <w:r>
        <w:rPr>
          <w:bCs/>
          <w:iCs/>
        </w:rPr>
        <w:t>a ich zmien</w:t>
      </w:r>
      <w:r w:rsidRPr="00682D0A">
        <w:t xml:space="preserve">, ako aj </w:t>
      </w:r>
      <w:r w:rsidRPr="00682D0A">
        <w:rPr>
          <w:bCs/>
          <w:iCs/>
        </w:rPr>
        <w:t>pri</w:t>
      </w:r>
      <w:r w:rsidR="00E41876">
        <w:rPr>
          <w:bCs/>
          <w:iCs/>
        </w:rPr>
        <w:t> </w:t>
      </w:r>
      <w:r w:rsidRPr="00682D0A">
        <w:rPr>
          <w:bCs/>
          <w:iCs/>
        </w:rPr>
        <w:t>identifikácii synergií a komplementarít nielen v procese prípravy výzvy/vyzvania, ale aj ďalších súvisiacich procesoch, vrátane prijímania nápravných opatrení CKO;</w:t>
      </w:r>
    </w:p>
    <w:p w14:paraId="01F8ADB3" w14:textId="0A5AB359" w:rsidR="00B650E5" w:rsidRPr="00922ACA" w:rsidRDefault="00B650E5" w:rsidP="00682D0A">
      <w:pPr>
        <w:numPr>
          <w:ilvl w:val="0"/>
          <w:numId w:val="386"/>
        </w:numPr>
        <w:spacing w:before="120" w:after="120"/>
        <w:ind w:left="851" w:hanging="425"/>
        <w:jc w:val="both"/>
        <w:rPr>
          <w:bCs/>
          <w:iCs/>
        </w:rPr>
      </w:pPr>
      <w:r w:rsidRPr="00682D0A">
        <w:t>predkladať predsedovi pracovnej komisie informáci</w:t>
      </w:r>
      <w:r>
        <w:t>e v súvislosti s</w:t>
      </w:r>
      <w:r w:rsidRPr="00682D0A">
        <w:t> identifikovan</w:t>
      </w:r>
      <w:r>
        <w:t>ím</w:t>
      </w:r>
      <w:r w:rsidRPr="00682D0A">
        <w:t xml:space="preserve"> </w:t>
      </w:r>
      <w:r>
        <w:t>synergií</w:t>
      </w:r>
      <w:r w:rsidRPr="00682D0A">
        <w:t xml:space="preserve"> a komplementar</w:t>
      </w:r>
      <w:r>
        <w:t>ít</w:t>
      </w:r>
      <w:r w:rsidRPr="00682D0A">
        <w:t xml:space="preserve"> k plánovaným výzvam a vyzvaniam v rámci harmonogramov</w:t>
      </w:r>
      <w:r>
        <w:t xml:space="preserve">. Zoznam </w:t>
      </w:r>
      <w:r w:rsidRPr="003919EE">
        <w:t>a štruktúru požadovaných informácií upravuje metodický pokyn vydaný CKO</w:t>
      </w:r>
      <w:r w:rsidRPr="00922ACA">
        <w:rPr>
          <w:vertAlign w:val="superscript"/>
        </w:rPr>
        <w:t>8</w:t>
      </w:r>
      <w:r w:rsidR="00E41876">
        <w:t>;</w:t>
      </w:r>
      <w:r w:rsidRPr="00922ACA">
        <w:t xml:space="preserve"> </w:t>
      </w:r>
    </w:p>
    <w:p w14:paraId="3C2C54B7" w14:textId="77777777" w:rsidR="00B650E5" w:rsidRPr="00922ACA" w:rsidRDefault="00B650E5" w:rsidP="00682D0A">
      <w:pPr>
        <w:numPr>
          <w:ilvl w:val="0"/>
          <w:numId w:val="386"/>
        </w:numPr>
        <w:spacing w:before="120" w:after="120"/>
        <w:ind w:left="851" w:hanging="425"/>
        <w:jc w:val="both"/>
      </w:pPr>
      <w:r w:rsidRPr="003919EE">
        <w:rPr>
          <w:bCs/>
          <w:iCs/>
        </w:rPr>
        <w:t xml:space="preserve">každoročne v termíne do 30. 9. predkladať predsedovi pracovnej komisie informáciu o plánovaných vyzvaniach pre finančné nástroje a identifikovaných </w:t>
      </w:r>
      <w:r w:rsidRPr="00922ACA">
        <w:rPr>
          <w:bCs/>
          <w:iCs/>
        </w:rPr>
        <w:t>synergiách a komplementaritách k plánovaným vyzvaniam pre finančné nástroje. Štruktúru informácie o plánovaných vyzvaniach pre finančné nástroje upravuje metodický pokyn vydaný CKO</w:t>
      </w:r>
      <w:r w:rsidRPr="00922ACA">
        <w:rPr>
          <w:rStyle w:val="Odkaznapoznmkupodiarou"/>
        </w:rPr>
        <w:footnoteReference w:id="10"/>
      </w:r>
      <w:r w:rsidRPr="00922ACA">
        <w:t>;</w:t>
      </w:r>
    </w:p>
    <w:p w14:paraId="0BBABC2A" w14:textId="77777777" w:rsidR="00B650E5" w:rsidRPr="00F85F61" w:rsidRDefault="00B650E5" w:rsidP="00682D0A">
      <w:pPr>
        <w:numPr>
          <w:ilvl w:val="0"/>
          <w:numId w:val="386"/>
        </w:numPr>
        <w:spacing w:before="120" w:after="120"/>
        <w:ind w:left="851" w:hanging="425"/>
        <w:jc w:val="both"/>
        <w:rPr>
          <w:bCs/>
          <w:iCs/>
        </w:rPr>
      </w:pPr>
      <w:r w:rsidRPr="00682D0A">
        <w:t>po zaslaní stanoviska pracovnej komisie zverejniť informáciu o </w:t>
      </w:r>
      <w:r>
        <w:t>posúdených</w:t>
      </w:r>
      <w:r w:rsidRPr="00682D0A">
        <w:t xml:space="preserve"> identifikovaných </w:t>
      </w:r>
      <w:r>
        <w:t>synergiách</w:t>
      </w:r>
      <w:r w:rsidRPr="00682D0A">
        <w:t xml:space="preserve"> a komplementaritách k plánovaným výzvam alebo vyzvaniam na svojom webovom sídle.</w:t>
      </w:r>
    </w:p>
    <w:p w14:paraId="6793054F" w14:textId="77777777" w:rsidR="00B650E5" w:rsidRDefault="00B650E5" w:rsidP="0045286B">
      <w:pPr>
        <w:pStyle w:val="SRK4"/>
      </w:pPr>
      <w:bookmarkStart w:id="59" w:name="_Toc453233951"/>
      <w:bookmarkStart w:id="60" w:name="_Toc495649309"/>
      <w:r>
        <w:t>1.3.1.11 Rada CKO</w:t>
      </w:r>
      <w:bookmarkEnd w:id="58"/>
      <w:bookmarkEnd w:id="59"/>
      <w:bookmarkEnd w:id="60"/>
    </w:p>
    <w:p w14:paraId="0E3FA728" w14:textId="77777777" w:rsidR="00B650E5" w:rsidRDefault="00B650E5">
      <w:pPr>
        <w:numPr>
          <w:ilvl w:val="0"/>
          <w:numId w:val="314"/>
        </w:numPr>
        <w:spacing w:before="120" w:after="120"/>
        <w:ind w:left="426" w:hanging="426"/>
        <w:jc w:val="both"/>
        <w:rPr>
          <w:szCs w:val="22"/>
        </w:rPr>
      </w:pPr>
      <w:r>
        <w:rPr>
          <w:szCs w:val="22"/>
        </w:rPr>
        <w:t>Cieľom zriadenia Rady CKO je posilnenie aspektu transparentnosti, objektívnosti a nediskriminácie v procese implementácie fondov EÚ a zabezpečenie odbornej podpory RO najmä v schvaľovacom procese ŽoNFP.</w:t>
      </w:r>
    </w:p>
    <w:p w14:paraId="3AFC5BE2" w14:textId="6B0B3633" w:rsidR="00B650E5" w:rsidRDefault="00B650E5">
      <w:pPr>
        <w:numPr>
          <w:ilvl w:val="0"/>
          <w:numId w:val="314"/>
        </w:numPr>
        <w:spacing w:before="120" w:after="120"/>
        <w:ind w:left="426" w:hanging="426"/>
        <w:jc w:val="both"/>
        <w:rPr>
          <w:szCs w:val="22"/>
        </w:rPr>
      </w:pPr>
      <w:r>
        <w:rPr>
          <w:szCs w:val="22"/>
        </w:rPr>
        <w:t>Rada CKO je nezávislý poradný orgán CKO zriadený za účelom vydávania odporúčaní a stanovísk v prípadoch určených v štatúte a rokovacom poriadku. Cieľom Rady CKO je podpora RO pri problémoch spojených so schvaľovacím procesom, najmä formou vydávania stanovísk na</w:t>
      </w:r>
      <w:r w:rsidR="00E41876">
        <w:rPr>
          <w:szCs w:val="22"/>
        </w:rPr>
        <w:t> </w:t>
      </w:r>
      <w:r>
        <w:rPr>
          <w:szCs w:val="22"/>
        </w:rPr>
        <w:t>základe požiadavky RO v rámci rozhodovania o mimoriadnych opravných prostriedkoch, vydávania odporúčaní a stanovísk v rámci predbežných otázok položených zo strany RO a plnením ďalších úloh v súlade so štatútom.</w:t>
      </w:r>
    </w:p>
    <w:p w14:paraId="7E5DC956" w14:textId="282B3877" w:rsidR="00B650E5" w:rsidRDefault="00B650E5">
      <w:pPr>
        <w:numPr>
          <w:ilvl w:val="0"/>
          <w:numId w:val="314"/>
        </w:numPr>
        <w:spacing w:before="120" w:after="120"/>
        <w:ind w:left="426" w:hanging="426"/>
        <w:jc w:val="both"/>
        <w:rPr>
          <w:szCs w:val="22"/>
        </w:rPr>
      </w:pPr>
      <w:r>
        <w:rPr>
          <w:szCs w:val="22"/>
        </w:rPr>
        <w:lastRenderedPageBreak/>
        <w:t>Závery prijaté Radou CKO nemajú vplyv na rozhodovaciu právomoc RO a jeho zodpovednosť za</w:t>
      </w:r>
      <w:r w:rsidR="00E41876">
        <w:rPr>
          <w:szCs w:val="22"/>
        </w:rPr>
        <w:t> </w:t>
      </w:r>
      <w:r>
        <w:rPr>
          <w:szCs w:val="22"/>
        </w:rPr>
        <w:t>implementáciu OP v súlade s platnou legislatívou EÚ. Stanovisko Rady CKO je pre RO odporúčacím stanoviskom, pričom rozhodnutie vo veci ostáva vo výlučnej kompetencii RO.</w:t>
      </w:r>
    </w:p>
    <w:p w14:paraId="6F01D915" w14:textId="77777777" w:rsidR="00B650E5" w:rsidRDefault="00B650E5">
      <w:pPr>
        <w:numPr>
          <w:ilvl w:val="0"/>
          <w:numId w:val="314"/>
        </w:numPr>
        <w:spacing w:before="120" w:after="120"/>
        <w:ind w:left="426" w:hanging="426"/>
        <w:jc w:val="both"/>
        <w:rPr>
          <w:szCs w:val="22"/>
        </w:rPr>
      </w:pPr>
      <w:r>
        <w:rPr>
          <w:szCs w:val="22"/>
        </w:rPr>
        <w:t>Zloženie, bližší popis kompetencií a ďalšie aspekty spojené s prijímaním stanovísk Rady CKO upraví štatút a rokovací poriadok, ktorý vydá</w:t>
      </w:r>
      <w:r w:rsidR="000141F4">
        <w:rPr>
          <w:szCs w:val="22"/>
        </w:rPr>
        <w:t>va</w:t>
      </w:r>
      <w:r>
        <w:rPr>
          <w:szCs w:val="22"/>
        </w:rPr>
        <w:t xml:space="preserve"> CKO.</w:t>
      </w:r>
    </w:p>
    <w:p w14:paraId="34F1E9C0" w14:textId="77777777" w:rsidR="00B650E5" w:rsidRDefault="00B650E5">
      <w:pPr>
        <w:numPr>
          <w:ilvl w:val="0"/>
          <w:numId w:val="314"/>
        </w:numPr>
        <w:spacing w:before="120" w:after="120"/>
        <w:ind w:left="426" w:hanging="426"/>
        <w:jc w:val="both"/>
        <w:rPr>
          <w:szCs w:val="22"/>
        </w:rPr>
      </w:pPr>
      <w:r>
        <w:rPr>
          <w:szCs w:val="22"/>
        </w:rPr>
        <w:t>Sekretariát Rady CKO zodpovedný za zvolávanie, technicko-organizačné zabezpečenie fungovania, vyhotovovania záznamov a výstupov z rokovaní zabezpečuje CKO.</w:t>
      </w:r>
    </w:p>
    <w:p w14:paraId="3FA12C9D" w14:textId="77777777" w:rsidR="00B650E5" w:rsidRDefault="00B650E5" w:rsidP="0045286B">
      <w:pPr>
        <w:pStyle w:val="SRK4"/>
      </w:pPr>
      <w:bookmarkStart w:id="61" w:name="_Toc453233952"/>
      <w:bookmarkStart w:id="62" w:name="_Toc495649310"/>
      <w:bookmarkStart w:id="63" w:name="_Toc378947476"/>
      <w:r>
        <w:t>1.3.1.12 Úrad vlády Slovenskej republiky</w:t>
      </w:r>
      <w:bookmarkEnd w:id="61"/>
      <w:bookmarkEnd w:id="62"/>
    </w:p>
    <w:p w14:paraId="25394FEA" w14:textId="77777777" w:rsidR="00B650E5" w:rsidRDefault="00B650E5" w:rsidP="000E286B">
      <w:pPr>
        <w:numPr>
          <w:ilvl w:val="0"/>
          <w:numId w:val="395"/>
        </w:numPr>
        <w:spacing w:before="120" w:after="120"/>
        <w:jc w:val="both"/>
        <w:rPr>
          <w:szCs w:val="22"/>
        </w:rPr>
      </w:pPr>
      <w:bookmarkStart w:id="64" w:name="kapitola_13112_ods_1"/>
      <w:r>
        <w:rPr>
          <w:szCs w:val="22"/>
        </w:rPr>
        <w:t>Zamestnanec ÚV SR plní v súlade s čl. 117 všeobecného nariadenia rolu úradníka pre informovanie a komunikáciu. V súvislosti s uvedenou úlohou najmä:</w:t>
      </w:r>
    </w:p>
    <w:p w14:paraId="22BB856C" w14:textId="77777777" w:rsidR="00B650E5" w:rsidRDefault="00B650E5" w:rsidP="000E286B">
      <w:pPr>
        <w:pStyle w:val="Odsekzoznamu"/>
        <w:numPr>
          <w:ilvl w:val="0"/>
          <w:numId w:val="394"/>
        </w:numPr>
        <w:spacing w:before="120" w:after="120"/>
        <w:ind w:left="426" w:firstLine="0"/>
        <w:contextualSpacing w:val="0"/>
        <w:jc w:val="both"/>
      </w:pPr>
      <w:r>
        <w:t>koordinuje Pracovnú skupinu pre informovanie a komunikáciu;</w:t>
      </w:r>
    </w:p>
    <w:p w14:paraId="0EFA49AB" w14:textId="77777777" w:rsidR="00B650E5" w:rsidRDefault="00B650E5" w:rsidP="000E286B">
      <w:pPr>
        <w:pStyle w:val="Odsekzoznamu"/>
        <w:numPr>
          <w:ilvl w:val="0"/>
          <w:numId w:val="394"/>
        </w:numPr>
        <w:spacing w:before="120" w:after="120"/>
        <w:ind w:left="426" w:firstLine="0"/>
        <w:contextualSpacing w:val="0"/>
        <w:jc w:val="both"/>
      </w:pPr>
      <w:r>
        <w:t xml:space="preserve">zriadi a prevádzkuje jednotné webové sídlo </w:t>
      </w:r>
      <w:hyperlink r:id="rId20" w:history="1">
        <w:r w:rsidRPr="00FA1E63">
          <w:rPr>
            <w:rStyle w:val="Hypertextovprepojenie"/>
          </w:rPr>
          <w:t>www.partnerskadohoda.gov.sk</w:t>
        </w:r>
      </w:hyperlink>
      <w:r>
        <w:t>;</w:t>
      </w:r>
    </w:p>
    <w:p w14:paraId="32E8D8E6" w14:textId="77777777" w:rsidR="00B650E5" w:rsidRPr="00FA5206" w:rsidRDefault="00B650E5" w:rsidP="000E286B">
      <w:pPr>
        <w:pStyle w:val="Odsekzoznamu"/>
        <w:numPr>
          <w:ilvl w:val="0"/>
          <w:numId w:val="394"/>
        </w:numPr>
        <w:spacing w:before="120" w:after="120"/>
        <w:ind w:left="426" w:firstLine="0"/>
        <w:contextualSpacing w:val="0"/>
        <w:jc w:val="both"/>
      </w:pPr>
      <w:r>
        <w:t xml:space="preserve">vykonáva </w:t>
      </w:r>
      <w:r w:rsidRPr="00FA5206">
        <w:t xml:space="preserve">informačné a komunikačné aktivity na </w:t>
      </w:r>
      <w:r>
        <w:t>horizont</w:t>
      </w:r>
      <w:r w:rsidRPr="00FA5206">
        <w:t>álnej úrovni;</w:t>
      </w:r>
    </w:p>
    <w:p w14:paraId="29D5B6BD" w14:textId="77777777" w:rsidR="00B650E5" w:rsidRPr="00FA5206" w:rsidRDefault="00B650E5" w:rsidP="000E286B">
      <w:pPr>
        <w:pStyle w:val="Odsekzoznamu"/>
        <w:numPr>
          <w:ilvl w:val="0"/>
          <w:numId w:val="394"/>
        </w:numPr>
        <w:spacing w:before="120" w:after="120"/>
        <w:ind w:left="709" w:hanging="283"/>
        <w:contextualSpacing w:val="0"/>
        <w:jc w:val="both"/>
      </w:pPr>
      <w:r w:rsidRPr="00FA5206">
        <w:t>zabezpečuje vypracovanie vzoru</w:t>
      </w:r>
      <w:r w:rsidRPr="00FA5206">
        <w:rPr>
          <w:rStyle w:val="Odkaznapoznmkupodiarou"/>
        </w:rPr>
        <w:footnoteReference w:id="11"/>
      </w:r>
      <w:r w:rsidRPr="00FA5206">
        <w:t xml:space="preserve"> komunikačnej stratégie pre OP a informovanie o OP na</w:t>
      </w:r>
      <w:r>
        <w:t> </w:t>
      </w:r>
      <w:r w:rsidRPr="00FA5206">
        <w:t>úrovni PD;</w:t>
      </w:r>
    </w:p>
    <w:p w14:paraId="06D03992" w14:textId="77777777" w:rsidR="00B650E5" w:rsidRPr="00FA5206" w:rsidRDefault="00B650E5" w:rsidP="000E286B">
      <w:pPr>
        <w:pStyle w:val="Odsekzoznamu"/>
        <w:numPr>
          <w:ilvl w:val="0"/>
          <w:numId w:val="394"/>
        </w:numPr>
        <w:spacing w:before="120" w:after="120"/>
        <w:ind w:left="426" w:firstLine="0"/>
        <w:contextualSpacing w:val="0"/>
        <w:jc w:val="both"/>
      </w:pPr>
      <w:r w:rsidRPr="00FA5206">
        <w:t>usmerňuje riadiace orgány v oblasti informovania a komunikácie.</w:t>
      </w:r>
    </w:p>
    <w:p w14:paraId="7D3D3F65" w14:textId="3CEC156B" w:rsidR="00B650E5" w:rsidRPr="000E286B" w:rsidRDefault="00B650E5" w:rsidP="000E286B">
      <w:pPr>
        <w:numPr>
          <w:ilvl w:val="0"/>
          <w:numId w:val="395"/>
        </w:numPr>
        <w:spacing w:before="120" w:after="120"/>
        <w:jc w:val="both"/>
      </w:pPr>
      <w:r w:rsidRPr="00FA5206">
        <w:rPr>
          <w:szCs w:val="22"/>
        </w:rPr>
        <w:t>Ú</w:t>
      </w:r>
      <w:r>
        <w:rPr>
          <w:szCs w:val="22"/>
        </w:rPr>
        <w:t>V</w:t>
      </w:r>
      <w:r w:rsidRPr="00FA5206">
        <w:rPr>
          <w:szCs w:val="22"/>
        </w:rPr>
        <w:t xml:space="preserve"> SR je ústredným orgánom štátnej správy pre štátnozamestnanecké vzťahy a právne vzťahy pri</w:t>
      </w:r>
      <w:r w:rsidR="00E91202">
        <w:rPr>
          <w:szCs w:val="22"/>
        </w:rPr>
        <w:t> </w:t>
      </w:r>
      <w:r w:rsidRPr="00FA5206">
        <w:rPr>
          <w:szCs w:val="22"/>
        </w:rPr>
        <w:t>výkone práce vo verejnom záujme v súlade s § 24, písm. a) kompetenčného zákona. ÚV SR v tejto oblasti najmä:</w:t>
      </w:r>
    </w:p>
    <w:p w14:paraId="31B61016"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vytvára systémový rámec pre podporu inštitucionálneho rozvoja a budovania administratívnych kapacít orgánov zapojených do procesu implementácie;</w:t>
      </w:r>
    </w:p>
    <w:p w14:paraId="3093E25A" w14:textId="47FE8941" w:rsidR="00B650E5" w:rsidRPr="00FA5206" w:rsidRDefault="00B650E5" w:rsidP="000E286B">
      <w:pPr>
        <w:pStyle w:val="Odsekzoznamu"/>
        <w:numPr>
          <w:ilvl w:val="0"/>
          <w:numId w:val="396"/>
        </w:numPr>
        <w:spacing w:before="120" w:after="120"/>
        <w:ind w:left="709" w:hanging="283"/>
        <w:contextualSpacing w:val="0"/>
        <w:jc w:val="both"/>
      </w:pPr>
      <w:r w:rsidRPr="00FA5206">
        <w:t>vyprac</w:t>
      </w:r>
      <w:r>
        <w:t>úva</w:t>
      </w:r>
      <w:r w:rsidRPr="00FA5206">
        <w:t xml:space="preserve"> komplexný vzdelávací systém administratívnych kapacít pre PO 2014 - 2020 a zabezpečí realizáciu z neho vyplývajúcich vzdelávacích aktivít pre subjekty zapojené do</w:t>
      </w:r>
      <w:r>
        <w:t> </w:t>
      </w:r>
      <w:r w:rsidRPr="00FA5206">
        <w:t>procesu implementácie</w:t>
      </w:r>
      <w:r>
        <w:t xml:space="preserve"> s výnimkou vzdelávania vládnych audítorov v zmysle </w:t>
      </w:r>
      <w:r w:rsidRPr="000E286B">
        <w:t>zákon</w:t>
      </w:r>
      <w:r>
        <w:t>a</w:t>
      </w:r>
      <w:r w:rsidRPr="000E286B">
        <w:t xml:space="preserve"> o</w:t>
      </w:r>
      <w:r w:rsidR="00E91202">
        <w:t> </w:t>
      </w:r>
      <w:r w:rsidRPr="000E286B">
        <w:t>finančnej kontrole</w:t>
      </w:r>
      <w:r w:rsidRPr="00FA5206">
        <w:t xml:space="preserve">; </w:t>
      </w:r>
    </w:p>
    <w:p w14:paraId="345F5FAD"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zodpovedá za vytvorenie a realizáciu aktivít v oblasti komplexného systému vzdelávania administratívnych kapacít;</w:t>
      </w:r>
    </w:p>
    <w:p w14:paraId="49E6468A" w14:textId="77777777" w:rsidR="00B650E5" w:rsidRPr="000E286B" w:rsidRDefault="00B650E5" w:rsidP="000E286B">
      <w:pPr>
        <w:pStyle w:val="Odsekzoznamu"/>
        <w:numPr>
          <w:ilvl w:val="0"/>
          <w:numId w:val="396"/>
        </w:numPr>
        <w:spacing w:before="120" w:after="120"/>
        <w:ind w:left="709" w:hanging="283"/>
        <w:contextualSpacing w:val="0"/>
        <w:jc w:val="both"/>
      </w:pPr>
      <w:r w:rsidRPr="00FA5206">
        <w:rPr>
          <w:lang w:eastAsia="en-US"/>
        </w:rPr>
        <w:t>vypracúva Informáciu o stave administratívnych kapacít subjektov zapojených do</w:t>
      </w:r>
      <w:r>
        <w:rPr>
          <w:lang w:eastAsia="en-US"/>
        </w:rPr>
        <w:t> </w:t>
      </w:r>
      <w:r w:rsidRPr="00FA5206">
        <w:rPr>
          <w:lang w:eastAsia="en-US"/>
        </w:rPr>
        <w:t>implementácie, riadenia a kontroly EŠIF.</w:t>
      </w:r>
    </w:p>
    <w:p w14:paraId="222CFC0B" w14:textId="77777777" w:rsidR="00B650E5" w:rsidRPr="00FA5206" w:rsidRDefault="00B650E5" w:rsidP="000E286B">
      <w:pPr>
        <w:numPr>
          <w:ilvl w:val="0"/>
          <w:numId w:val="395"/>
        </w:numPr>
        <w:spacing w:before="120" w:after="120"/>
        <w:jc w:val="both"/>
      </w:pPr>
      <w:bookmarkStart w:id="65" w:name="kapitola_13112_ods_3"/>
      <w:bookmarkEnd w:id="64"/>
      <w:bookmarkEnd w:id="65"/>
      <w:r w:rsidRPr="00FA5206">
        <w:rPr>
          <w:szCs w:val="22"/>
        </w:rPr>
        <w:t>Ú</w:t>
      </w:r>
      <w:r>
        <w:rPr>
          <w:szCs w:val="22"/>
        </w:rPr>
        <w:t>V</w:t>
      </w:r>
      <w:r w:rsidRPr="00FA5206">
        <w:rPr>
          <w:szCs w:val="22"/>
        </w:rPr>
        <w:t xml:space="preserve"> SR vypracúva a aktualizuje za účelom plnenia úloh, uvedených vyššie </w:t>
      </w:r>
      <w:r w:rsidRPr="000E286B">
        <w:t xml:space="preserve">vzory </w:t>
      </w:r>
      <w:r>
        <w:t xml:space="preserve">relevantných </w:t>
      </w:r>
      <w:r w:rsidRPr="000E286B">
        <w:t>formulárov, metodické pokyny, metodické výklady a výnimky</w:t>
      </w:r>
      <w:r w:rsidRPr="00FA5206">
        <w:t>.</w:t>
      </w:r>
    </w:p>
    <w:p w14:paraId="32CDF8A8" w14:textId="0696C20E" w:rsidR="00B650E5" w:rsidRDefault="00B650E5" w:rsidP="00AA4DE1">
      <w:pPr>
        <w:pStyle w:val="Odsekzoznamu"/>
        <w:numPr>
          <w:ilvl w:val="0"/>
          <w:numId w:val="395"/>
        </w:numPr>
        <w:spacing w:before="120" w:after="120"/>
        <w:contextualSpacing w:val="0"/>
        <w:jc w:val="both"/>
      </w:pPr>
      <w:r w:rsidRPr="00FA5206">
        <w:t xml:space="preserve">ÚV SR je v súvislosti s plnením kompetencie podľa </w:t>
      </w:r>
      <w:hyperlink w:anchor="kapitola_13112_ods_3" w:history="1">
        <w:r w:rsidRPr="00DE063A">
          <w:rPr>
            <w:rStyle w:val="Hypertextovprepojenie"/>
          </w:rPr>
          <w:t>ods. 3 tejto kapitoly</w:t>
        </w:r>
      </w:hyperlink>
      <w:r>
        <w:t xml:space="preserve"> povinný</w:t>
      </w:r>
      <w:r w:rsidRPr="00FA5206">
        <w:t xml:space="preserve"> vykonať aktualizáciu dokumentov najneskôr do 30 pracovných dní odo dňa nadobudnutia účinnosti všeobecne záväzného právneho predpisu, ktorý upravuje právne vzťahy v oblasti podľa </w:t>
      </w:r>
      <w:hyperlink w:anchor="kapitola_13112_ods_1" w:tooltip="ods. 1 a 2 tejto kapitoly" w:history="1">
        <w:r w:rsidRPr="00C91B32">
          <w:rPr>
            <w:rStyle w:val="Hypertextovprepojenie"/>
          </w:rPr>
          <w:t>ods. 1 a 2 tejto kapitoly</w:t>
        </w:r>
      </w:hyperlink>
      <w:r w:rsidRPr="00FA5206">
        <w:t xml:space="preserve">, a ktorý mení alebo iným spôsobom upravuje výkon práv a povinností subjektov zapojených do tohto procesu. </w:t>
      </w:r>
      <w:r>
        <w:t>Ú</w:t>
      </w:r>
      <w:r w:rsidRPr="00FA5206">
        <w:t>V SR postupuje spôsobom upraveným v predošlej vete aj v</w:t>
      </w:r>
      <w:r w:rsidR="00E91202">
        <w:t> </w:t>
      </w:r>
      <w:r w:rsidRPr="00FA5206">
        <w:t>prípade, ak dôjde k zmene Systému finančného riadenia, alebo zmene podzákonného právneho predpisu, s priamym vplyvom na ustanovenia dokumentov, uvedených v </w:t>
      </w:r>
      <w:hyperlink w:anchor="kapitola_13112_ods_3" w:history="1">
        <w:r w:rsidRPr="00DE063A">
          <w:rPr>
            <w:rStyle w:val="Hypertextovprepojenie"/>
          </w:rPr>
          <w:t>ods. 3 tejto kapitoly</w:t>
        </w:r>
      </w:hyperlink>
      <w:r w:rsidRPr="00FA5206">
        <w:t>. ÚV</w:t>
      </w:r>
      <w:r w:rsidR="00E91202">
        <w:t> </w:t>
      </w:r>
      <w:r w:rsidRPr="00FA5206">
        <w:t>SR vykoná aktualizáciu za</w:t>
      </w:r>
      <w:r>
        <w:t> </w:t>
      </w:r>
      <w:r w:rsidRPr="00FA5206">
        <w:t>účelom odstránenia potenciálnych rozporov medzi úpravou obsiahnutou v týchto dokumentoch a úpravou v zmenenom podzákonnom</w:t>
      </w:r>
      <w:r>
        <w:t xml:space="preserve"> právnom predpise. </w:t>
      </w:r>
      <w:r>
        <w:lastRenderedPageBreak/>
        <w:t>ÚV</w:t>
      </w:r>
      <w:r w:rsidR="00E91202">
        <w:t> </w:t>
      </w:r>
      <w:r>
        <w:t>SR zabezpečuje aktualizáciu dokumentov, uvedených v </w:t>
      </w:r>
      <w:hyperlink w:anchor="kapitola_13112_ods_3" w:history="1">
        <w:r w:rsidRPr="00DE063A">
          <w:rPr>
            <w:rStyle w:val="Hypertextovprepojenie"/>
          </w:rPr>
          <w:t>ods. 3 tejto kapitoly</w:t>
        </w:r>
      </w:hyperlink>
      <w:r>
        <w:t xml:space="preserve"> aj v prípade odôvodnenej potreby vyplývajúcej z implementácie OP. ÚV SR predkladá aktualizovanú verziu dokumentov podľa </w:t>
      </w:r>
      <w:hyperlink w:anchor="kapitola_13112_ods_3" w:history="1">
        <w:r w:rsidRPr="00DE063A">
          <w:rPr>
            <w:rStyle w:val="Hypertextovprepojenie"/>
          </w:rPr>
          <w:t>ods. 3 tejto kapitoly</w:t>
        </w:r>
      </w:hyperlink>
      <w:r>
        <w:t xml:space="preserve"> na pripomienkovanie subjektom zapojeným do riadenia a kontroly EŠIF. ÚV SR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w:t>
      </w:r>
      <w:r w:rsidRPr="009078F6">
        <w:t>. Uvedené oprávnenie sa vzťahuje</w:t>
      </w:r>
      <w:r>
        <w:t xml:space="preserve"> výlučne na zmeny, ktoré vychádzajú z potreby transpozície vyššie citovaných dokumentov do dokumentov podľa </w:t>
      </w:r>
      <w:hyperlink w:anchor="kapitola_13112_ods_3" w:history="1">
        <w:r w:rsidRPr="00DE063A">
          <w:rPr>
            <w:rStyle w:val="Hypertextovprepojenie"/>
          </w:rPr>
          <w:t>ods. 3 tejto kapitoly</w:t>
        </w:r>
      </w:hyperlink>
      <w:r>
        <w:t xml:space="preserve"> a ktoré nevyžadujú podrobnejšiu úpravu (bližšiu špecifikáciu práv a povinností subjektov zapojených do implementácie EŠIF nad rámec ich vymedzenia v predmetných dokumentoch) zo strany ÚV SR. ÚV SR v súvislosti s každou aktualizáciou dokumentov podľa </w:t>
      </w:r>
      <w:hyperlink w:anchor="kapitola_13112_ods_3" w:history="1">
        <w:r w:rsidRPr="00DE063A">
          <w:rPr>
            <w:rStyle w:val="Hypertextovprepojenie"/>
          </w:rPr>
          <w:t>ods. 3 tejto kapitoly</w:t>
        </w:r>
      </w:hyperlink>
      <w:r>
        <w:t xml:space="preserve"> informuje subjekty zapojené do procesu riadenia a kontroly o vykonaných zmenách</w:t>
      </w:r>
      <w:r w:rsidR="006F3B93">
        <w:t>,</w:t>
      </w:r>
      <w:r>
        <w:t xml:space="preserve"> a to buď formou sledovania zmien v dokumente alebo formou samostatného zoznamu vykonaných podstatných zmien.</w:t>
      </w:r>
    </w:p>
    <w:p w14:paraId="22C90386" w14:textId="609F45A9" w:rsidR="00B650E5" w:rsidRDefault="00B650E5" w:rsidP="00AA4DE1">
      <w:pPr>
        <w:pStyle w:val="Odsekzoznamu"/>
        <w:numPr>
          <w:ilvl w:val="0"/>
          <w:numId w:val="395"/>
        </w:numPr>
        <w:spacing w:before="120" w:after="120"/>
        <w:contextualSpacing w:val="0"/>
        <w:jc w:val="both"/>
      </w:pPr>
      <w:r>
        <w:t xml:space="preserve">ÚV SR zverejní dokumenty podľa </w:t>
      </w:r>
      <w:hyperlink w:anchor="kapitola_13112_ods_3" w:history="1">
        <w:r w:rsidRPr="00DE063A">
          <w:rPr>
            <w:rStyle w:val="Hypertextovprepojenie"/>
          </w:rPr>
          <w:t>ods. 3 tejto kapitoly</w:t>
        </w:r>
      </w:hyperlink>
      <w:r>
        <w:t xml:space="preserve"> na webovom sídle </w:t>
      </w:r>
      <w:hyperlink r:id="rId21" w:history="1">
        <w:r w:rsidRPr="00FA1E63">
          <w:rPr>
            <w:rStyle w:val="Hypertextovprepojenie"/>
          </w:rPr>
          <w:t>www.partnerskadohoda.gov.sk</w:t>
        </w:r>
      </w:hyperlink>
      <w:r>
        <w:t>.</w:t>
      </w:r>
    </w:p>
    <w:p w14:paraId="1498F1E4" w14:textId="77777777" w:rsidR="00B650E5" w:rsidRDefault="00B650E5" w:rsidP="000E286B">
      <w:pPr>
        <w:numPr>
          <w:ilvl w:val="0"/>
          <w:numId w:val="395"/>
        </w:numPr>
        <w:spacing w:before="120" w:after="120"/>
        <w:jc w:val="both"/>
      </w:pPr>
      <w:r>
        <w:t>ÚV SR v nadväznosti na § 38 kompetenčného zákona spolupracuje pri plnení úloh podľa tejto kapitoly s ostatnými subjektmi, ktoré mu za účelom riadneho plnenia úloh poskytujú spoluprácu v požadovanom rozsahu.</w:t>
      </w:r>
      <w:r w:rsidDel="00EE229D">
        <w:t xml:space="preserve"> </w:t>
      </w:r>
    </w:p>
    <w:p w14:paraId="4A8472DF" w14:textId="77777777" w:rsidR="00B650E5" w:rsidRPr="0045286B" w:rsidRDefault="00B650E5" w:rsidP="0045286B">
      <w:pPr>
        <w:pStyle w:val="SRK4"/>
      </w:pPr>
      <w:bookmarkStart w:id="66" w:name="_Toc495649311"/>
      <w:r w:rsidRPr="00997CB0">
        <w:t>1.3.1.13 Nezávislý monitorovací subjekt</w:t>
      </w:r>
      <w:bookmarkEnd w:id="66"/>
    </w:p>
    <w:p w14:paraId="5637B3F2" w14:textId="77777777" w:rsidR="00B650E5" w:rsidRPr="00FC5F1B" w:rsidRDefault="00B650E5" w:rsidP="000E286B">
      <w:pPr>
        <w:pStyle w:val="Odsekzoznamu"/>
        <w:numPr>
          <w:ilvl w:val="0"/>
          <w:numId w:val="403"/>
        </w:numPr>
        <w:spacing w:before="120" w:after="120"/>
        <w:ind w:left="426" w:hanging="426"/>
        <w:contextualSpacing w:val="0"/>
        <w:jc w:val="both"/>
      </w:pPr>
      <w:r w:rsidRPr="00FC5F1B">
        <w:t xml:space="preserve">Nezávislý monitorovací subjekt </w:t>
      </w:r>
      <w:r>
        <w:t xml:space="preserve">(ďalej len „NMS“) je zriadený na zabezpečenie úloh v oblasti monitorovania plnenia kritérií určenia RO/CO podľa Prílohy XIII a podľa čl. 124 ods. 5 a 6 všeobecného nariadenia a čl. 21 nariadenia EP a Rady (EP) </w:t>
      </w:r>
      <w:r w:rsidRPr="00FC5F1B">
        <w:t>č. 1299/2013</w:t>
      </w:r>
      <w:r>
        <w:t xml:space="preserve">. </w:t>
      </w:r>
    </w:p>
    <w:p w14:paraId="31FF2A13" w14:textId="77777777" w:rsidR="00B650E5" w:rsidRPr="003C15FE" w:rsidRDefault="00B650E5" w:rsidP="000E286B">
      <w:pPr>
        <w:pStyle w:val="Odsekzoznamu"/>
        <w:numPr>
          <w:ilvl w:val="0"/>
          <w:numId w:val="403"/>
        </w:numPr>
        <w:spacing w:before="120" w:after="120"/>
        <w:ind w:left="426" w:hanging="426"/>
        <w:contextualSpacing w:val="0"/>
        <w:jc w:val="both"/>
        <w:rPr>
          <w:u w:val="single"/>
        </w:rPr>
      </w:pPr>
      <w:r w:rsidRPr="000203B7">
        <w:t xml:space="preserve">Úlohy </w:t>
      </w:r>
      <w:r>
        <w:t xml:space="preserve">NMS </w:t>
      </w:r>
      <w:r w:rsidRPr="000203B7">
        <w:t xml:space="preserve">plní </w:t>
      </w:r>
      <w:r>
        <w:t>v súlade s uznesením vlády SR č. 519/2014 ÚPPVII.</w:t>
      </w:r>
    </w:p>
    <w:p w14:paraId="24FDE89B" w14:textId="77777777" w:rsidR="00B650E5" w:rsidRPr="00AE6DC0" w:rsidRDefault="00B650E5" w:rsidP="000E286B">
      <w:pPr>
        <w:pStyle w:val="Odsekzoznamu"/>
        <w:numPr>
          <w:ilvl w:val="0"/>
          <w:numId w:val="403"/>
        </w:numPr>
        <w:spacing w:before="120" w:after="120"/>
        <w:ind w:left="426" w:hanging="426"/>
        <w:contextualSpacing w:val="0"/>
        <w:jc w:val="both"/>
      </w:pPr>
      <w:r w:rsidRPr="00AE6DC0">
        <w:t>NMS v súvislosti s plnením úloh v oblasti monitorovania dodržiavania kritérií určenia dezignovaných RO/CO je zodpovedný najmä za:</w:t>
      </w:r>
    </w:p>
    <w:p w14:paraId="3BD143A6" w14:textId="59405589" w:rsidR="00B650E5" w:rsidRPr="00AE6DC0" w:rsidRDefault="00B650E5" w:rsidP="00227685">
      <w:pPr>
        <w:pStyle w:val="Odsekzoznamu"/>
        <w:numPr>
          <w:ilvl w:val="0"/>
          <w:numId w:val="402"/>
        </w:numPr>
        <w:spacing w:before="120" w:after="120" w:line="276" w:lineRule="auto"/>
        <w:ind w:left="851" w:hanging="425"/>
        <w:contextualSpacing w:val="0"/>
        <w:jc w:val="both"/>
      </w:pPr>
      <w:r w:rsidRPr="00AE6DC0">
        <w:t>monitorovanie plnenia kritérií určenia RO/CO, najmä na základe výsledkov auditov a</w:t>
      </w:r>
      <w:r w:rsidR="00AE0137">
        <w:t> </w:t>
      </w:r>
      <w:r w:rsidRPr="00AE6DC0">
        <w:t>kontrol</w:t>
      </w:r>
      <w:r w:rsidR="00AE0137">
        <w:t xml:space="preserve"> </w:t>
      </w:r>
      <w:r w:rsidR="00AE0137" w:rsidRPr="00AE0137">
        <w:t>z hľadiska dopadu na kritériá určenia</w:t>
      </w:r>
      <w:r w:rsidRPr="00AE6DC0">
        <w:t>;</w:t>
      </w:r>
    </w:p>
    <w:p w14:paraId="661CF9C4"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určenie primeranej skúšobnej doby, v ktorej RO/CO prijme a vykoná potrebné nápravné opatrenia, ak monitorovacia činnosť NMS vyhodnotila nesúlad s kritériami určenia;</w:t>
      </w:r>
    </w:p>
    <w:p w14:paraId="00A6B278"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ukončenie skúšobnej doby, ak určený RO/CO v stanovenej skúšobnej dobe prijal a vykonal potrebné nápravné opatrenia;</w:t>
      </w:r>
    </w:p>
    <w:p w14:paraId="1619460A"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podanie návrhu na ukončenie určenia RO/CO, ak RO/CO neprijal v stanovenej skúšobnej dobe potrebné nápravné opatrenia;</w:t>
      </w:r>
    </w:p>
    <w:p w14:paraId="62A0BA0F"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 xml:space="preserve">komunikáciu s EK prostredníctvom SFC2014 a oznámenie dátumu, od ktorého začína plynúť skúšobná doba, informácie o skúšobnej dobe, </w:t>
      </w:r>
      <w:r>
        <w:t xml:space="preserve">o </w:t>
      </w:r>
      <w:r w:rsidRPr="00AE6DC0">
        <w:t>kritériá</w:t>
      </w:r>
      <w:r>
        <w:t>ch</w:t>
      </w:r>
      <w:r w:rsidRPr="00AE6DC0">
        <w:t xml:space="preserve"> určenia, ktoré neboli splnené, dátum, ku ktorému sa po vykonaní nápravných opatrení skúšobná doba skončí a dátum ukončenia určenia orgánu;</w:t>
      </w:r>
    </w:p>
    <w:p w14:paraId="4B0EC148" w14:textId="77777777" w:rsidR="00B650E5" w:rsidRPr="00AE6DC0" w:rsidRDefault="00B650E5" w:rsidP="000E286B">
      <w:pPr>
        <w:pStyle w:val="Odsekzoznamu"/>
        <w:numPr>
          <w:ilvl w:val="0"/>
          <w:numId w:val="402"/>
        </w:numPr>
        <w:spacing w:before="120" w:after="120"/>
        <w:ind w:left="851" w:hanging="425"/>
        <w:contextualSpacing w:val="0"/>
        <w:jc w:val="both"/>
      </w:pPr>
      <w:r w:rsidRPr="00AE6DC0">
        <w:t>zabezpečenie súčinnosti subjektov zapojených do procesu monitorovania určenia RO/CO.</w:t>
      </w:r>
    </w:p>
    <w:p w14:paraId="1019B1A3" w14:textId="141E4D40" w:rsidR="00B650E5" w:rsidRPr="00AE6DC0" w:rsidRDefault="00B650E5" w:rsidP="000E286B">
      <w:pPr>
        <w:pStyle w:val="Odsekzoznamu"/>
        <w:numPr>
          <w:ilvl w:val="0"/>
          <w:numId w:val="403"/>
        </w:numPr>
        <w:spacing w:before="120" w:after="120"/>
        <w:ind w:left="284" w:hanging="284"/>
        <w:contextualSpacing w:val="0"/>
        <w:jc w:val="both"/>
      </w:pPr>
      <w:r w:rsidRPr="00AE6DC0">
        <w:lastRenderedPageBreak/>
        <w:t xml:space="preserve">Podrobnú špecifikáciu činností NMS upravuje </w:t>
      </w:r>
      <w:r>
        <w:t>m</w:t>
      </w:r>
      <w:r w:rsidRPr="00AE6DC0">
        <w:t>etodický pokyn</w:t>
      </w:r>
      <w:r>
        <w:t xml:space="preserve"> vydaný CKO</w:t>
      </w:r>
      <w:r>
        <w:rPr>
          <w:rStyle w:val="Odkaznapoznmkupodiarou"/>
        </w:rPr>
        <w:footnoteReference w:id="12"/>
      </w:r>
      <w:r>
        <w:t>.</w:t>
      </w:r>
    </w:p>
    <w:p w14:paraId="44C082D2" w14:textId="77777777" w:rsidR="00B650E5" w:rsidRDefault="00B650E5">
      <w:pPr>
        <w:pStyle w:val="SRK3"/>
      </w:pPr>
      <w:bookmarkStart w:id="67" w:name="_Toc453233953"/>
      <w:bookmarkStart w:id="68" w:name="_Toc495649312"/>
      <w:r>
        <w:t>1.3.2 Subjekty zapojené do riadenia a kontroly na programovej úrovni</w:t>
      </w:r>
      <w:bookmarkEnd w:id="63"/>
      <w:bookmarkEnd w:id="67"/>
      <w:bookmarkEnd w:id="68"/>
    </w:p>
    <w:p w14:paraId="28678C81" w14:textId="77777777" w:rsidR="00B650E5" w:rsidRDefault="00B650E5" w:rsidP="00997CB0">
      <w:pPr>
        <w:pStyle w:val="SRK4"/>
        <w:tabs>
          <w:tab w:val="left" w:pos="5860"/>
        </w:tabs>
      </w:pPr>
      <w:bookmarkStart w:id="69" w:name="_Toc453233954"/>
      <w:bookmarkStart w:id="70" w:name="_Toc495649313"/>
      <w:bookmarkStart w:id="71" w:name="kapitola_1321"/>
      <w:r>
        <w:t>1.3.2.1 Riadiaci orgán</w:t>
      </w:r>
      <w:bookmarkEnd w:id="69"/>
      <w:bookmarkEnd w:id="70"/>
      <w:r w:rsidR="00E17A30">
        <w:tab/>
      </w:r>
    </w:p>
    <w:bookmarkEnd w:id="71"/>
    <w:p w14:paraId="2785FF04" w14:textId="77777777" w:rsidR="00B650E5" w:rsidRDefault="00B650E5">
      <w:pPr>
        <w:numPr>
          <w:ilvl w:val="0"/>
          <w:numId w:val="68"/>
        </w:numPr>
        <w:spacing w:before="120" w:after="120"/>
        <w:ind w:left="426" w:hanging="426"/>
        <w:jc w:val="both"/>
        <w:rPr>
          <w:szCs w:val="22"/>
        </w:rPr>
      </w:pPr>
      <w:r>
        <w:rPr>
          <w:szCs w:val="22"/>
        </w:rPr>
        <w:t>RO je v súlade s ustanovením čl. 124 a § 7 ods. 1 zákona o príspevku z EŠIF orgán štátnej správy alebo orgán územnej samosprávy určený vládou SR na realizáciu OP. RO zodpovedá za riadenie OP v súlade so zásadou riadneho finančného hospodárenia.</w:t>
      </w:r>
    </w:p>
    <w:p w14:paraId="5A95013C" w14:textId="5AED64EA" w:rsidR="00B650E5" w:rsidRDefault="00B650E5">
      <w:pPr>
        <w:numPr>
          <w:ilvl w:val="0"/>
          <w:numId w:val="68"/>
        </w:numPr>
        <w:spacing w:before="120" w:after="120"/>
        <w:ind w:left="426" w:hanging="426"/>
        <w:jc w:val="both"/>
        <w:rPr>
          <w:szCs w:val="22"/>
        </w:rPr>
      </w:pPr>
      <w:r>
        <w:rPr>
          <w:szCs w:val="22"/>
        </w:rPr>
        <w:t>RO určuje v súlade s článkom 123 všeobecného nariadenia a § 4 písm. a) zákona o príspevku z</w:t>
      </w:r>
      <w:r w:rsidR="00E91202">
        <w:rPr>
          <w:szCs w:val="22"/>
        </w:rPr>
        <w:t> </w:t>
      </w:r>
      <w:r>
        <w:rPr>
          <w:szCs w:val="22"/>
        </w:rPr>
        <w:t>EŠIF vláda SR, okrem RO ustanoveného podľa § 3 ods. 1 a § 4 ods. 1 zákona č. 543/2007 Z. z. o pôsobnosti orgánov v štátnej správe pri poskytovaní podpory v pôdohospodárstve a rozvoji vidieka v znení neskorších predpisov</w:t>
      </w:r>
    </w:p>
    <w:p w14:paraId="215D5143" w14:textId="77777777" w:rsidR="00B650E5" w:rsidRDefault="00B650E5">
      <w:pPr>
        <w:numPr>
          <w:ilvl w:val="0"/>
          <w:numId w:val="68"/>
        </w:numPr>
        <w:spacing w:before="120" w:after="120"/>
        <w:ind w:left="426" w:hanging="426"/>
        <w:jc w:val="both"/>
        <w:rPr>
          <w:szCs w:val="22"/>
        </w:rPr>
      </w:pPr>
      <w:r>
        <w:rPr>
          <w:szCs w:val="22"/>
        </w:rPr>
        <w:t>RO za účelom realizácie OP najmä:</w:t>
      </w:r>
    </w:p>
    <w:p w14:paraId="1403317D" w14:textId="5EC4B742" w:rsidR="00B650E5" w:rsidRDefault="00B650E5">
      <w:pPr>
        <w:numPr>
          <w:ilvl w:val="0"/>
          <w:numId w:val="20"/>
        </w:numPr>
        <w:spacing w:before="120" w:after="120"/>
        <w:ind w:left="851" w:hanging="425"/>
        <w:jc w:val="both"/>
        <w:rPr>
          <w:bCs/>
          <w:iCs/>
        </w:rPr>
      </w:pPr>
      <w:r>
        <w:rPr>
          <w:bCs/>
          <w:iCs/>
        </w:rPr>
        <w:t>zabezpečuje vypracovanie dokumentácie a jej prípadných revízií na programovej a projektovej úrovni v súlade s ustanoveniami Systému riadenia EŠIF a s dôrazom na</w:t>
      </w:r>
      <w:r w:rsidR="00E91202">
        <w:rPr>
          <w:bCs/>
          <w:iCs/>
        </w:rPr>
        <w:t> </w:t>
      </w:r>
      <w:r>
        <w:rPr>
          <w:bCs/>
          <w:iCs/>
        </w:rPr>
        <w:t xml:space="preserve">správnosť, aktuálnosť a jednoznačnosť informácií, ktoré sú určené pre žiadateľov a prijímateľov; </w:t>
      </w:r>
    </w:p>
    <w:p w14:paraId="598E3A16" w14:textId="3BB73AC4" w:rsidR="00B650E5" w:rsidRDefault="00B650E5" w:rsidP="00F57A5F">
      <w:pPr>
        <w:numPr>
          <w:ilvl w:val="0"/>
          <w:numId w:val="20"/>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 s označením čísla verzie a dátumu platnosti, v elektronickej forme s naskenovanou stranou obsahujúcou podpis zodpovednej osoby CKO (</w:t>
      </w:r>
      <w:hyperlink r:id="rId22" w:history="1"/>
      <w:hyperlink r:id="rId23" w:history="1">
        <w:r w:rsidRPr="00D447AE">
          <w:rPr>
            <w:rStyle w:val="Hypertextovprepojenie"/>
            <w:lang w:eastAsia="en-US"/>
          </w:rPr>
          <w:t>monitorovanie.cko@vicepremier.gov.sk</w:t>
        </w:r>
      </w:hyperlink>
      <w:r>
        <w:t>), CO (</w:t>
      </w:r>
      <w:hyperlink r:id="rId24" w:history="1">
        <w:r>
          <w:rPr>
            <w:rStyle w:val="Hypertextovprepojenie"/>
          </w:rPr>
          <w:t>CO_manual@mfsr.sk</w:t>
        </w:r>
      </w:hyperlink>
      <w:r>
        <w:t>), ÚV</w:t>
      </w:r>
      <w:r w:rsidR="00E91202">
        <w:t> </w:t>
      </w:r>
      <w:r>
        <w:t>SR(</w:t>
      </w:r>
      <w:hyperlink r:id="rId25" w:history="1">
        <w:r w:rsidRPr="00D447AE">
          <w:rPr>
            <w:rStyle w:val="Hypertextovprepojenie"/>
          </w:rPr>
          <w:t>vzdelavanieakesif@vlada.gov.sk</w:t>
        </w:r>
      </w:hyperlink>
      <w:r>
        <w:t>) a OA (</w:t>
      </w:r>
      <w:hyperlink r:id="rId26" w:history="1">
        <w:r>
          <w:rPr>
            <w:rStyle w:val="Hypertextovprepojenie"/>
          </w:rPr>
          <w:t>manualy@mfsr.sk</w:t>
        </w:r>
      </w:hyperlink>
      <w:r>
        <w:t>), a to najneskôr do 10 pracovných dní od schválenia zodpovednou osobou. Maximálna veľkosť odosielaných dokumentov je 5 MB. Ak je odosielaný dokument rozsiahlejší, je potrebné ho rozdeliť a zaslať po častiach</w:t>
      </w:r>
      <w:r>
        <w:rPr>
          <w:bCs/>
          <w:iCs/>
        </w:rPr>
        <w:t>;</w:t>
      </w:r>
    </w:p>
    <w:p w14:paraId="4057483E" w14:textId="7F56383B" w:rsidR="00B650E5" w:rsidRDefault="00B650E5" w:rsidP="00650BA9">
      <w:pPr>
        <w:numPr>
          <w:ilvl w:val="0"/>
          <w:numId w:val="20"/>
        </w:numPr>
        <w:spacing w:before="120" w:after="120"/>
        <w:ind w:left="851" w:hanging="425"/>
        <w:jc w:val="both"/>
        <w:rPr>
          <w:rFonts w:cs="Arial"/>
          <w:szCs w:val="16"/>
        </w:rPr>
      </w:pPr>
      <w:r>
        <w:t>predkladá interné pokyny (postupy, príručka a pod</w:t>
      </w:r>
      <w:r>
        <w:rPr>
          <w:bCs/>
          <w:iCs/>
        </w:rPr>
        <w:t xml:space="preserve">.), ktoré všeobecne dopĺňajú postupy RO elektronicky s naskenovanou prvou stranou obsahujúcou popis zodpovednej osoby </w:t>
      </w:r>
      <w:r>
        <w:rPr>
          <w:rFonts w:cs="Arial"/>
          <w:szCs w:val="16"/>
        </w:rPr>
        <w:t xml:space="preserve">na e-mailovú adresu </w:t>
      </w:r>
      <w:hyperlink r:id="rId27" w:history="1">
        <w:r>
          <w:rPr>
            <w:rStyle w:val="Hypertextovprepojenie"/>
            <w:rFonts w:cs="Arial"/>
          </w:rPr>
          <w:t>CO_manual@mfsr.sk</w:t>
        </w:r>
      </w:hyperlink>
      <w:r>
        <w:rPr>
          <w:rFonts w:cs="Arial"/>
          <w:szCs w:val="16"/>
        </w:rPr>
        <w:t xml:space="preserve">, OA na e-mailovú adresu </w:t>
      </w:r>
      <w:hyperlink r:id="rId28" w:history="1">
        <w:r>
          <w:rPr>
            <w:rStyle w:val="Hypertextovprepojenie"/>
            <w:rFonts w:cs="Arial"/>
          </w:rPr>
          <w:t>manualy@mfsr.sk</w:t>
        </w:r>
      </w:hyperlink>
      <w:r>
        <w:rPr>
          <w:rFonts w:cs="Arial"/>
          <w:szCs w:val="16"/>
        </w:rPr>
        <w:t xml:space="preserve"> a CKO na</w:t>
      </w:r>
      <w:r w:rsidR="00E91202">
        <w:rPr>
          <w:rFonts w:cs="Arial"/>
          <w:szCs w:val="16"/>
        </w:rPr>
        <w:t> </w:t>
      </w:r>
      <w:r>
        <w:rPr>
          <w:rFonts w:cs="Arial"/>
          <w:szCs w:val="16"/>
        </w:rPr>
        <w:t>e-mailovú adresu</w:t>
      </w:r>
      <w:r w:rsidRPr="0024551C">
        <w:rPr>
          <w:lang w:eastAsia="en-US"/>
        </w:rPr>
        <w:t xml:space="preserve"> </w:t>
      </w:r>
      <w:hyperlink r:id="rId29" w:history="1">
        <w:r w:rsidRPr="00D447AE">
          <w:rPr>
            <w:rStyle w:val="Hypertextovprepojenie"/>
            <w:lang w:eastAsia="en-US"/>
          </w:rPr>
          <w:t>monitorovanie.cko@vicepremier.gov.sk</w:t>
        </w:r>
      </w:hyperlink>
      <w:r>
        <w:rPr>
          <w:rFonts w:cs="Arial"/>
          <w:szCs w:val="16"/>
        </w:rPr>
        <w:t>, a to najneskôr do 10 pracovných dní od schválenia zodpovedným vedúcim. Maximálna veľkosť odosielaných dokumentov je 5 MB. Ak sú odosielané interné pokyny rozsiahlejšie, je potrebné ich rozdeliť a zaslať po častiach;</w:t>
      </w:r>
    </w:p>
    <w:p w14:paraId="6F7B3BBA" w14:textId="5FBE87CA" w:rsidR="00B650E5" w:rsidRDefault="00B650E5" w:rsidP="00227685">
      <w:pPr>
        <w:numPr>
          <w:ilvl w:val="0"/>
          <w:numId w:val="20"/>
        </w:numPr>
        <w:spacing w:before="120" w:after="120"/>
        <w:ind w:left="851" w:hanging="425"/>
        <w:jc w:val="both"/>
        <w:rPr>
          <w:rFonts w:cs="Arial"/>
          <w:szCs w:val="16"/>
        </w:rPr>
      </w:pPr>
      <w:r>
        <w:rPr>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30" w:history="1">
        <w:r>
          <w:rPr>
            <w:rStyle w:val="Hypertextovprepojenie"/>
            <w:rFonts w:cs="Arial"/>
          </w:rPr>
          <w:t>organauditu@mfsr.sk</w:t>
        </w:r>
      </w:hyperlink>
      <w:r w:rsidRPr="000E286B">
        <w:rPr>
          <w:rStyle w:val="Hypertextovprepojenie"/>
        </w:rPr>
        <w:t xml:space="preserve"> </w:t>
      </w:r>
      <w:r>
        <w:rPr>
          <w:rFonts w:cs="Arial"/>
          <w:szCs w:val="16"/>
        </w:rPr>
        <w:t>a CKO na e-mailovú adresu</w:t>
      </w:r>
      <w:r w:rsidRPr="0024551C">
        <w:rPr>
          <w:lang w:eastAsia="en-US"/>
        </w:rPr>
        <w:t xml:space="preserve"> </w:t>
      </w:r>
      <w:hyperlink r:id="rId31" w:history="1">
        <w:r w:rsidRPr="00D447AE">
          <w:rPr>
            <w:rStyle w:val="Hypertextovprepojenie"/>
            <w:lang w:eastAsia="en-US"/>
          </w:rPr>
          <w:t>monitorovanie.cko@vicepremier.gov.sk</w:t>
        </w:r>
      </w:hyperlink>
      <w:r>
        <w:rPr>
          <w:rFonts w:cs="Arial"/>
          <w:szCs w:val="16"/>
        </w:rPr>
        <w:t>, a to najneskôr do 10 pracovných dní odo dňa uverejnenia v centrálnom registri zmlúv;</w:t>
      </w:r>
    </w:p>
    <w:p w14:paraId="65AF3A2A" w14:textId="65B47197" w:rsidR="00B650E5" w:rsidRDefault="00B650E5" w:rsidP="00227685">
      <w:pPr>
        <w:numPr>
          <w:ilvl w:val="0"/>
          <w:numId w:val="20"/>
        </w:numPr>
        <w:spacing w:before="120" w:after="120"/>
        <w:ind w:left="851" w:hanging="425"/>
        <w:jc w:val="both"/>
        <w:rPr>
          <w:bCs/>
          <w:iCs/>
        </w:rPr>
      </w:pPr>
      <w:r>
        <w:rPr>
          <w:szCs w:val="22"/>
        </w:rPr>
        <w:t xml:space="preserve">je oprávnený písomnou zmluvou poveriť SO riadením časti OP podľa čl. 123 ods. 7 všeobecného nariadenia po overení splnenia podmienok solventnosti, spôsobilosti v príslušnej oblasti, administratívnej kapacity a finančného riadenia (Globálny grant); </w:t>
      </w:r>
      <w:r>
        <w:rPr>
          <w:szCs w:val="22"/>
        </w:rPr>
        <w:lastRenderedPageBreak/>
        <w:t>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32" w:history="1">
        <w:r>
          <w:rPr>
            <w:rStyle w:val="Hypertextovprepojenie"/>
            <w:rFonts w:cs="Arial"/>
          </w:rPr>
          <w:t>organauditu@mfsr.sk</w:t>
        </w:r>
      </w:hyperlink>
      <w:r>
        <w:rPr>
          <w:rStyle w:val="Hypertextovprepojenie"/>
          <w:rFonts w:cs="Arial"/>
        </w:rPr>
        <w:t xml:space="preserve">, </w:t>
      </w:r>
      <w:r>
        <w:rPr>
          <w:rFonts w:cs="Arial"/>
          <w:szCs w:val="16"/>
        </w:rPr>
        <w:t>a CKO na e-mailovú adresu</w:t>
      </w:r>
      <w:r w:rsidR="008452CB">
        <w:rPr>
          <w:lang w:eastAsia="en-US"/>
        </w:rPr>
        <w:t xml:space="preserve"> </w:t>
      </w:r>
      <w:hyperlink r:id="rId33" w:history="1">
        <w:r w:rsidRPr="00D447AE">
          <w:rPr>
            <w:rStyle w:val="Hypertextovprepojenie"/>
            <w:lang w:eastAsia="en-US"/>
          </w:rPr>
          <w:t>monitorovanie.cko@vicepremier.gov.sk</w:t>
        </w:r>
      </w:hyperlink>
      <w:r>
        <w:rPr>
          <w:rFonts w:cs="Arial"/>
          <w:szCs w:val="16"/>
        </w:rPr>
        <w:t>, a to najneskôr do 10 pracovných dní odo dňa uverejnenia v centrálnom registri zmlúv, ak relevantné;</w:t>
      </w:r>
    </w:p>
    <w:p w14:paraId="0E57572B" w14:textId="181C74CF" w:rsidR="00B650E5" w:rsidRDefault="00B650E5" w:rsidP="00227685">
      <w:pPr>
        <w:numPr>
          <w:ilvl w:val="0"/>
          <w:numId w:val="20"/>
        </w:numPr>
        <w:spacing w:before="120" w:after="120"/>
        <w:ind w:left="851" w:hanging="425"/>
        <w:jc w:val="both"/>
        <w:rPr>
          <w:bCs/>
          <w:iCs/>
        </w:rPr>
      </w:pPr>
      <w:r>
        <w:rPr>
          <w:bCs/>
          <w:iCs/>
        </w:rPr>
        <w:t>zodpovedá za zavedenie a udržiavanie vhodného systému riadenia a kontroly OP v súlade s</w:t>
      </w:r>
      <w:r w:rsidR="00E91202">
        <w:rPr>
          <w:bCs/>
          <w:iCs/>
        </w:rPr>
        <w:t> </w:t>
      </w:r>
      <w:r>
        <w:rPr>
          <w:bCs/>
          <w:iCs/>
        </w:rPr>
        <w:t xml:space="preserve">požiadavkami EK, príslušnými právnymi predpismi EÚ a SR, Systémom riadenia EŠIF a Systémom finančného riadenia, vrátane povinnosti zaviesť </w:t>
      </w:r>
      <w:r>
        <w:t>účinné a primerané opatrenia na</w:t>
      </w:r>
      <w:r w:rsidR="003C62F7">
        <w:t> </w:t>
      </w:r>
      <w:r>
        <w:t>boj proti podvodom pri zohľadnení identifikovaných rizík v súlade s čl. 125 ods. 4 všeobecného nariadenia</w:t>
      </w:r>
      <w:r w:rsidR="006F3B93">
        <w:t>,</w:t>
      </w:r>
      <w:r>
        <w:t xml:space="preserve"> ako aj povinnosti zaviesť účinné mechanizmy na posúdenie sťažností</w:t>
      </w:r>
      <w:r>
        <w:rPr>
          <w:rStyle w:val="Odkaznapoznmkupodiarou"/>
        </w:rPr>
        <w:footnoteReference w:id="13"/>
      </w:r>
      <w:r>
        <w:t xml:space="preserve"> týkajúcich sa EŠIF v súlade s čl. 74 ods. 3 všeobecného nariadenia</w:t>
      </w:r>
      <w:r>
        <w:rPr>
          <w:bCs/>
          <w:iCs/>
        </w:rPr>
        <w:t>;</w:t>
      </w:r>
    </w:p>
    <w:p w14:paraId="47B7D467" w14:textId="16B9F627" w:rsidR="00B650E5" w:rsidRDefault="00B650E5" w:rsidP="00227685">
      <w:pPr>
        <w:numPr>
          <w:ilvl w:val="0"/>
          <w:numId w:val="20"/>
        </w:numPr>
        <w:spacing w:before="120" w:after="120"/>
        <w:ind w:left="851" w:hanging="425"/>
        <w:jc w:val="both"/>
        <w:rPr>
          <w:bCs/>
          <w:iCs/>
        </w:rPr>
      </w:pPr>
      <w:r>
        <w:rPr>
          <w:bCs/>
          <w:iCs/>
        </w:rPr>
        <w:t>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na CKO</w:t>
      </w:r>
      <w:r w:rsidR="003C62F7">
        <w:rPr>
          <w:bCs/>
          <w:iCs/>
        </w:rPr>
        <w:t xml:space="preserve"> </w:t>
      </w:r>
      <w:r>
        <w:rPr>
          <w:bCs/>
          <w:iCs/>
        </w:rPr>
        <w:t xml:space="preserve"> na</w:t>
      </w:r>
      <w:r w:rsidR="003C62F7">
        <w:rPr>
          <w:bCs/>
          <w:iCs/>
        </w:rPr>
        <w:t> </w:t>
      </w:r>
      <w:r>
        <w:rPr>
          <w:bCs/>
          <w:iCs/>
        </w:rPr>
        <w:t xml:space="preserve">e-mailovú adresu </w:t>
      </w:r>
      <w:hyperlink r:id="rId34" w:history="1">
        <w:r w:rsidRPr="00B66F49">
          <w:rPr>
            <w:rStyle w:val="Hypertextovprepojenie"/>
            <w:bCs/>
            <w:iCs/>
          </w:rPr>
          <w:t>nms@vicepremier.gov.sk</w:t>
        </w:r>
      </w:hyperlink>
      <w:r w:rsidRPr="00B66F49">
        <w:rPr>
          <w:bCs/>
          <w:iCs/>
        </w:rPr>
        <w:t xml:space="preserve">, na CO, OA na e-mailovú adresu </w:t>
      </w:r>
      <w:hyperlink r:id="rId35" w:history="1">
        <w:r w:rsidRPr="00B66F49">
          <w:rPr>
            <w:rStyle w:val="Hypertextovprepojenie"/>
            <w:bCs/>
            <w:iCs/>
          </w:rPr>
          <w:t>medializovanekauzy@mfsr.sk</w:t>
        </w:r>
      </w:hyperlink>
      <w:r w:rsidRPr="00B66F49">
        <w:t xml:space="preserve">, na ÚV SR na </w:t>
      </w:r>
      <w:r w:rsidRPr="00B66F49">
        <w:rPr>
          <w:rStyle w:val="Hypertextovprepojenie"/>
          <w:bCs/>
          <w:iCs/>
        </w:rPr>
        <w:t>eufondy@vlada.gov.sk</w:t>
      </w:r>
      <w:r w:rsidRPr="00B66F49">
        <w:rPr>
          <w:bCs/>
          <w:iCs/>
        </w:rPr>
        <w:t xml:space="preserve"> a na</w:t>
      </w:r>
      <w:r>
        <w:rPr>
          <w:bCs/>
          <w:iCs/>
        </w:rPr>
        <w:t xml:space="preserve"> Orgán zabezpečujúci ochranu finančných záujmov na e-mailovú adresu </w:t>
      </w:r>
      <w:hyperlink r:id="rId36" w:history="1">
        <w:r>
          <w:rPr>
            <w:rStyle w:val="Hypertextovprepojenie"/>
            <w:bCs/>
            <w:iCs/>
          </w:rPr>
          <w:t>nezrovnalosti@vlada.gov.sk</w:t>
        </w:r>
      </w:hyperlink>
      <w:r>
        <w:rPr>
          <w:bCs/>
          <w:iCs/>
        </w:rPr>
        <w:t>;</w:t>
      </w:r>
    </w:p>
    <w:p w14:paraId="725C4DB4" w14:textId="77777777" w:rsidR="00F94DD3" w:rsidRDefault="00F94DD3" w:rsidP="00227685">
      <w:pPr>
        <w:numPr>
          <w:ilvl w:val="0"/>
          <w:numId w:val="20"/>
        </w:numPr>
        <w:spacing w:before="120" w:after="120"/>
        <w:ind w:left="851" w:hanging="425"/>
        <w:jc w:val="both"/>
        <w:rPr>
          <w:bCs/>
          <w:iCs/>
        </w:rPr>
      </w:pPr>
      <w:r w:rsidRPr="00F94DD3">
        <w:rPr>
          <w:bCs/>
          <w:iCs/>
        </w:rPr>
        <w:t>zasiela výsledky zo všetkých auditov a</w:t>
      </w:r>
      <w:r w:rsidRPr="00997CB0">
        <w:rPr>
          <w:bCs/>
          <w:iCs/>
        </w:rPr>
        <w:t> </w:t>
      </w:r>
      <w:r w:rsidRPr="00F94DD3">
        <w:rPr>
          <w:bCs/>
          <w:iCs/>
        </w:rPr>
        <w:t>kontrol do 5 pracovných dní od ich ukončenia a Opis systémov riadenia a</w:t>
      </w:r>
      <w:r w:rsidRPr="00997CB0">
        <w:rPr>
          <w:bCs/>
          <w:iCs/>
        </w:rPr>
        <w:t> </w:t>
      </w:r>
      <w:r w:rsidRPr="00F94DD3">
        <w:rPr>
          <w:bCs/>
          <w:iCs/>
        </w:rPr>
        <w:t>kontroly</w:t>
      </w:r>
      <w:r w:rsidRPr="00997CB0">
        <w:rPr>
          <w:bCs/>
          <w:iCs/>
        </w:rPr>
        <w:t xml:space="preserve"> </w:t>
      </w:r>
      <w:r w:rsidRPr="00F94DD3">
        <w:rPr>
          <w:bCs/>
          <w:iCs/>
        </w:rPr>
        <w:t xml:space="preserve">do 1 mesiaca od jeho aktualizácie na emailovú adresu </w:t>
      </w:r>
      <w:hyperlink r:id="rId37" w:history="1">
        <w:r w:rsidRPr="00997CB0">
          <w:rPr>
            <w:bCs/>
            <w:iCs/>
          </w:rPr>
          <w:t>nms@vicepremier.gov.sk</w:t>
        </w:r>
      </w:hyperlink>
      <w:r>
        <w:rPr>
          <w:rStyle w:val="Odkaznapoznmkupodiarou"/>
          <w:bCs/>
          <w:iCs/>
        </w:rPr>
        <w:footnoteReference w:id="14"/>
      </w:r>
      <w:r>
        <w:rPr>
          <w:bCs/>
          <w:iCs/>
        </w:rPr>
        <w:t>;</w:t>
      </w:r>
    </w:p>
    <w:p w14:paraId="5A1DEDDF" w14:textId="77777777" w:rsidR="00B650E5" w:rsidRDefault="00B650E5" w:rsidP="00227685">
      <w:pPr>
        <w:numPr>
          <w:ilvl w:val="0"/>
          <w:numId w:val="20"/>
        </w:numPr>
        <w:spacing w:before="120" w:after="120"/>
        <w:ind w:left="851" w:hanging="425"/>
        <w:jc w:val="both"/>
        <w:rPr>
          <w:bCs/>
          <w:iCs/>
        </w:rPr>
      </w:pPr>
      <w:r>
        <w:rPr>
          <w:bCs/>
          <w:iCs/>
        </w:rPr>
        <w:t>zriaďuje MV pre OP;</w:t>
      </w:r>
    </w:p>
    <w:p w14:paraId="493B6B0A" w14:textId="77777777" w:rsidR="00B650E5" w:rsidRDefault="00B650E5" w:rsidP="00227685">
      <w:pPr>
        <w:numPr>
          <w:ilvl w:val="0"/>
          <w:numId w:val="20"/>
        </w:numPr>
        <w:spacing w:before="120" w:after="120"/>
        <w:ind w:left="851" w:hanging="425"/>
        <w:jc w:val="both"/>
        <w:rPr>
          <w:bCs/>
          <w:iCs/>
        </w:rPr>
      </w:pPr>
      <w:r>
        <w:rPr>
          <w:bCs/>
          <w:iCs/>
        </w:rPr>
        <w:t>pripravuje návrh štatútu</w:t>
      </w:r>
      <w:r>
        <w:rPr>
          <w:rStyle w:val="Odkaznapoznmkupodiarou"/>
          <w:bCs/>
          <w:iCs/>
        </w:rPr>
        <w:footnoteReference w:id="15"/>
      </w:r>
      <w:r>
        <w:rPr>
          <w:bCs/>
          <w:iCs/>
        </w:rPr>
        <w:t xml:space="preserve"> a rokovacieho poriadku</w:t>
      </w:r>
      <w:r>
        <w:rPr>
          <w:rStyle w:val="Odkaznapoznmkupodiarou"/>
          <w:bCs/>
          <w:iCs/>
        </w:rPr>
        <w:footnoteReference w:id="16"/>
      </w:r>
      <w:r>
        <w:rPr>
          <w:bCs/>
          <w:iCs/>
        </w:rPr>
        <w:t xml:space="preserve"> MV pri rešpektovaní minimálnych požiadaviek na obsahovú štruktúru podľa vzoru vydanom CKO; </w:t>
      </w:r>
    </w:p>
    <w:p w14:paraId="07862F1C" w14:textId="77777777" w:rsidR="00B650E5" w:rsidRDefault="00B650E5" w:rsidP="00227685">
      <w:pPr>
        <w:numPr>
          <w:ilvl w:val="0"/>
          <w:numId w:val="20"/>
        </w:numPr>
        <w:spacing w:before="120" w:after="120"/>
        <w:ind w:left="851" w:hanging="425"/>
        <w:jc w:val="both"/>
        <w:rPr>
          <w:bCs/>
          <w:iCs/>
        </w:rPr>
      </w:pPr>
      <w:r>
        <w:rPr>
          <w:bCs/>
          <w:iCs/>
        </w:rPr>
        <w:t>spolupracuje s gestorom HP v rozsahu potrebnom na správne zohľadnenie uplatňovania HP v rámci OP;</w:t>
      </w:r>
    </w:p>
    <w:p w14:paraId="41C9FBCB" w14:textId="77777777" w:rsidR="00B650E5" w:rsidRDefault="00B650E5" w:rsidP="00227685">
      <w:pPr>
        <w:numPr>
          <w:ilvl w:val="0"/>
          <w:numId w:val="20"/>
        </w:numPr>
        <w:spacing w:before="120" w:after="120"/>
        <w:ind w:left="851" w:hanging="425"/>
        <w:jc w:val="both"/>
        <w:rPr>
          <w:bCs/>
          <w:iCs/>
        </w:rPr>
      </w:pPr>
      <w:r>
        <w:rPr>
          <w:bCs/>
          <w:iCs/>
        </w:rPr>
        <w:lastRenderedPageBreak/>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14:paraId="7CCD848B" w14:textId="77777777" w:rsidR="00B650E5" w:rsidRDefault="00B650E5" w:rsidP="00227685">
      <w:pPr>
        <w:numPr>
          <w:ilvl w:val="0"/>
          <w:numId w:val="20"/>
        </w:numPr>
        <w:spacing w:before="120" w:after="120"/>
        <w:ind w:left="851" w:hanging="425"/>
        <w:jc w:val="both"/>
        <w:rPr>
          <w:bCs/>
          <w:iCs/>
        </w:rPr>
      </w:pPr>
      <w:r>
        <w:rPr>
          <w:bCs/>
          <w:iCs/>
        </w:rPr>
        <w:t xml:space="preserve">predkladá orgánu auditu na e-mailovú adresu: </w:t>
      </w:r>
      <w:hyperlink r:id="rId38"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14:paraId="7362B49D" w14:textId="77777777" w:rsidR="00B650E5" w:rsidRDefault="00B650E5" w:rsidP="00227685">
      <w:pPr>
        <w:numPr>
          <w:ilvl w:val="0"/>
          <w:numId w:val="20"/>
        </w:numPr>
        <w:spacing w:before="120" w:after="120"/>
        <w:ind w:left="851" w:hanging="425"/>
        <w:jc w:val="both"/>
        <w:rPr>
          <w:bCs/>
          <w:iCs/>
        </w:rPr>
      </w:pPr>
      <w:r>
        <w:rPr>
          <w:bCs/>
          <w:iCs/>
        </w:rPr>
        <w:t>je oprávnený zriaďovať pracovné skupiny za účelom zabezpečenia efektívnej implementácie OP alebo jeho časti (napr. pre potreby zabezpečenia prípravy a implementácie integrovaného prístupu k územnému rozvoju);</w:t>
      </w:r>
    </w:p>
    <w:p w14:paraId="2CB7EF6F" w14:textId="7724FE8C" w:rsidR="00B650E5" w:rsidRDefault="00B650E5" w:rsidP="00DE5D89">
      <w:pPr>
        <w:numPr>
          <w:ilvl w:val="0"/>
          <w:numId w:val="20"/>
        </w:numPr>
        <w:spacing w:before="120" w:after="120"/>
        <w:ind w:left="851" w:hanging="425"/>
        <w:jc w:val="both"/>
        <w:rPr>
          <w:bCs/>
          <w:iCs/>
        </w:rPr>
      </w:pPr>
      <w:bookmarkStart w:id="72" w:name="kapitola_1321_ods_3_n"/>
      <w:r>
        <w:rPr>
          <w:bCs/>
          <w:iCs/>
        </w:rPr>
        <w:t>je povinný nastaviť postupy na zabezpečenie primeraného vykonávania riadenia rizika</w:t>
      </w:r>
      <w:r>
        <w:rPr>
          <w:rStyle w:val="Odkaznapoznmkupodiarou"/>
          <w:bCs/>
          <w:iCs/>
        </w:rPr>
        <w:footnoteReference w:id="17"/>
      </w:r>
      <w:r>
        <w:rPr>
          <w:bCs/>
          <w:iCs/>
        </w:rPr>
        <w:t xml:space="preserve"> </w:t>
      </w:r>
      <w:r>
        <w:rPr>
          <w:bCs/>
          <w:iCs/>
        </w:rPr>
        <w:br/>
        <w:t>v prípade potreby, a najmä v prípade významných zmien činností;</w:t>
      </w:r>
    </w:p>
    <w:bookmarkEnd w:id="72"/>
    <w:p w14:paraId="27694DAB" w14:textId="77777777" w:rsidR="00B650E5" w:rsidRPr="00946874" w:rsidRDefault="00B650E5" w:rsidP="00DE5D89">
      <w:pPr>
        <w:numPr>
          <w:ilvl w:val="0"/>
          <w:numId w:val="20"/>
        </w:numPr>
        <w:spacing w:before="120" w:after="120"/>
        <w:ind w:left="851" w:hanging="425"/>
        <w:jc w:val="both"/>
        <w:rPr>
          <w:bCs/>
          <w:iCs/>
        </w:rPr>
      </w:pPr>
      <w:r>
        <w:rPr>
          <w:bCs/>
          <w:iCs/>
        </w:rPr>
        <w:t xml:space="preserve">vypracúva </w:t>
      </w:r>
      <w:r w:rsidRPr="00487880">
        <w:t>záväzný plán, ktorý obsahuje časový harmonogram a finančný harmonogram poskytovania finančných prostriedkov určených pre operačný program a plán napĺňania cieľov operačného programu</w:t>
      </w:r>
      <w:r>
        <w:t xml:space="preserve"> a predkladá ho na schválenie CKO;</w:t>
      </w:r>
    </w:p>
    <w:p w14:paraId="0DD55285" w14:textId="090CB9E4" w:rsidR="00B650E5" w:rsidRDefault="00B650E5" w:rsidP="00946874">
      <w:pPr>
        <w:numPr>
          <w:ilvl w:val="0"/>
          <w:numId w:val="20"/>
        </w:numPr>
        <w:spacing w:before="120" w:after="120"/>
        <w:ind w:left="851" w:hanging="425"/>
        <w:jc w:val="both"/>
        <w:rPr>
          <w:bCs/>
          <w:iCs/>
        </w:rPr>
      </w:pPr>
      <w:r>
        <w:rPr>
          <w:bCs/>
          <w:iCs/>
        </w:rPr>
        <w:t xml:space="preserve">predkladá na schválenie CKO </w:t>
      </w:r>
      <w:r w:rsidRPr="008F541A">
        <w:t>výzvy</w:t>
      </w:r>
      <w:r>
        <w:t xml:space="preserve"> </w:t>
      </w:r>
      <w:r w:rsidRPr="008F541A">
        <w:t>vrátane výziev v rámci operačných programov cezhraničnej spolupráce, výzvy na</w:t>
      </w:r>
      <w:r>
        <w:t> </w:t>
      </w:r>
      <w:r w:rsidRPr="008F541A">
        <w:t>predkladanie projektových zámerov a vyzvania na</w:t>
      </w:r>
      <w:r w:rsidR="00B31279">
        <w:t> </w:t>
      </w:r>
      <w:r w:rsidRPr="008F541A">
        <w:t>predloženie národných projektov, na predloženie veľkých projektov a na predloženie projektov technickej pomoci</w:t>
      </w:r>
      <w:r>
        <w:t xml:space="preserve"> </w:t>
      </w:r>
      <w:r w:rsidRPr="008F541A">
        <w:t>pred ich vyhlásením</w:t>
      </w:r>
      <w:r>
        <w:t>;</w:t>
      </w:r>
      <w:r w:rsidRPr="00946874">
        <w:rPr>
          <w:bCs/>
          <w:iCs/>
        </w:rPr>
        <w:t xml:space="preserve"> </w:t>
      </w:r>
    </w:p>
    <w:p w14:paraId="4BCB7109" w14:textId="77777777" w:rsidR="00B650E5" w:rsidRPr="00946874" w:rsidRDefault="00B650E5" w:rsidP="00946874">
      <w:pPr>
        <w:numPr>
          <w:ilvl w:val="0"/>
          <w:numId w:val="20"/>
        </w:numPr>
        <w:spacing w:before="120" w:after="120"/>
        <w:ind w:left="851" w:hanging="425"/>
        <w:jc w:val="both"/>
        <w:rPr>
          <w:bCs/>
          <w:iCs/>
        </w:rPr>
      </w:pPr>
      <w:r>
        <w:t>z</w:t>
      </w:r>
      <w:r w:rsidRPr="005243B9">
        <w:t>abezpečuje súčinnosť subjektov zapojených do procesu monitorovania a kontroly na úrovni OP</w:t>
      </w:r>
      <w:r>
        <w:t>;</w:t>
      </w:r>
    </w:p>
    <w:p w14:paraId="56BC535D" w14:textId="77777777" w:rsidR="00B650E5" w:rsidRDefault="00B650E5">
      <w:pPr>
        <w:numPr>
          <w:ilvl w:val="0"/>
          <w:numId w:val="20"/>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14:paraId="11D7029C" w14:textId="77777777" w:rsidR="00B650E5" w:rsidRDefault="00B650E5" w:rsidP="00172982">
      <w:pPr>
        <w:numPr>
          <w:ilvl w:val="0"/>
          <w:numId w:val="68"/>
        </w:numPr>
        <w:spacing w:before="120" w:after="120"/>
        <w:ind w:left="426" w:hanging="426"/>
        <w:jc w:val="both"/>
        <w:rPr>
          <w:szCs w:val="22"/>
        </w:rPr>
      </w:pPr>
      <w:r>
        <w:rPr>
          <w:szCs w:val="22"/>
        </w:rPr>
        <w:t>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dezignácie).</w:t>
      </w:r>
    </w:p>
    <w:p w14:paraId="008BDCC3" w14:textId="741EA61A" w:rsidR="00B650E5" w:rsidRDefault="00B650E5" w:rsidP="00172982">
      <w:pPr>
        <w:numPr>
          <w:ilvl w:val="0"/>
          <w:numId w:val="68"/>
        </w:numPr>
        <w:spacing w:before="120" w:after="120"/>
        <w:ind w:left="426" w:hanging="426"/>
        <w:jc w:val="both"/>
        <w:rPr>
          <w:szCs w:val="22"/>
        </w:rPr>
      </w:pPr>
      <w:r w:rsidRPr="009078F6">
        <w:rPr>
          <w:szCs w:val="22"/>
        </w:rPr>
        <w:t xml:space="preserve">RO je povinný v prípade delegovania úloh </w:t>
      </w:r>
      <w:r w:rsidRPr="00172982">
        <w:rPr>
          <w:szCs w:val="22"/>
        </w:rPr>
        <w:t>na SO (zmluvou uzavretou podľa čl. 123 ods. 6 všeobecného nariadenia) overiť dostatočnosť kapacít a nastavených postupov SO</w:t>
      </w:r>
      <w:r w:rsidR="006F3B93">
        <w:rPr>
          <w:szCs w:val="22"/>
        </w:rPr>
        <w:t>,</w:t>
      </w:r>
      <w:r w:rsidRPr="00172982">
        <w:rPr>
          <w:szCs w:val="22"/>
        </w:rPr>
        <w:t xml:space="preserve"> a to najneskôr</w:t>
      </w:r>
      <w:r>
        <w:rPr>
          <w:szCs w:val="22"/>
        </w:rPr>
        <w:t xml:space="preserve"> pred reálnym výkonom delegovaných úloh. Pre účely tohto overenia slúžia najmä nasledovné podklady: </w:t>
      </w:r>
    </w:p>
    <w:p w14:paraId="10A0E043" w14:textId="77777777" w:rsidR="00B650E5" w:rsidRDefault="00B650E5">
      <w:pPr>
        <w:numPr>
          <w:ilvl w:val="0"/>
          <w:numId w:val="70"/>
        </w:numPr>
        <w:spacing w:before="120" w:after="120"/>
        <w:ind w:left="851" w:hanging="425"/>
        <w:jc w:val="both"/>
        <w:rPr>
          <w:bCs/>
          <w:iCs/>
        </w:rPr>
      </w:pPr>
      <w:r>
        <w:rPr>
          <w:bCs/>
          <w:iCs/>
        </w:rPr>
        <w:t xml:space="preserve">organizačná schéma SO; </w:t>
      </w:r>
    </w:p>
    <w:p w14:paraId="06C81F65" w14:textId="77777777" w:rsidR="00B650E5" w:rsidRDefault="00B650E5">
      <w:pPr>
        <w:numPr>
          <w:ilvl w:val="0"/>
          <w:numId w:val="70"/>
        </w:numPr>
        <w:spacing w:before="120" w:after="120"/>
        <w:ind w:left="851" w:hanging="425"/>
        <w:jc w:val="both"/>
        <w:rPr>
          <w:bCs/>
          <w:iCs/>
        </w:rPr>
      </w:pPr>
      <w:r>
        <w:rPr>
          <w:bCs/>
          <w:iCs/>
        </w:rPr>
        <w:t xml:space="preserve">pridelenie úloh jednotlivým oddeleniam v rámci SO; </w:t>
      </w:r>
    </w:p>
    <w:p w14:paraId="46691562" w14:textId="77777777" w:rsidR="00B650E5" w:rsidRDefault="00B650E5">
      <w:pPr>
        <w:numPr>
          <w:ilvl w:val="0"/>
          <w:numId w:val="70"/>
        </w:numPr>
        <w:spacing w:before="120" w:after="120"/>
        <w:ind w:left="851" w:hanging="425"/>
        <w:jc w:val="both"/>
        <w:rPr>
          <w:bCs/>
          <w:iCs/>
        </w:rPr>
      </w:pPr>
      <w:r>
        <w:rPr>
          <w:bCs/>
          <w:iCs/>
        </w:rPr>
        <w:t xml:space="preserve">počet vyčlenených pracovných miest; </w:t>
      </w:r>
    </w:p>
    <w:p w14:paraId="48662ED3" w14:textId="77777777" w:rsidR="00B650E5" w:rsidRDefault="00B650E5">
      <w:pPr>
        <w:numPr>
          <w:ilvl w:val="0"/>
          <w:numId w:val="70"/>
        </w:numPr>
        <w:spacing w:before="120" w:after="120"/>
        <w:ind w:left="851" w:hanging="425"/>
        <w:jc w:val="both"/>
        <w:rPr>
          <w:bCs/>
          <w:iCs/>
        </w:rPr>
      </w:pPr>
      <w:r>
        <w:rPr>
          <w:bCs/>
          <w:iCs/>
        </w:rPr>
        <w:t xml:space="preserve">písomné postupy vypracované na používanie zamestnancami SO; </w:t>
      </w:r>
    </w:p>
    <w:p w14:paraId="131F2B1F" w14:textId="56D739B7" w:rsidR="00B650E5" w:rsidRDefault="00B650E5">
      <w:pPr>
        <w:numPr>
          <w:ilvl w:val="0"/>
          <w:numId w:val="70"/>
        </w:numPr>
        <w:spacing w:before="120" w:after="120"/>
        <w:ind w:left="851" w:hanging="425"/>
        <w:jc w:val="both"/>
        <w:rPr>
          <w:bCs/>
          <w:iCs/>
        </w:rPr>
      </w:pPr>
      <w:r>
        <w:rPr>
          <w:bCs/>
          <w:iCs/>
        </w:rPr>
        <w:t>spôsob oboznamovania možných prijímateľov s podmienkami poskytnutia príspevku v</w:t>
      </w:r>
      <w:r w:rsidR="00B31279">
        <w:rPr>
          <w:bCs/>
          <w:iCs/>
        </w:rPr>
        <w:t> </w:t>
      </w:r>
      <w:r>
        <w:rPr>
          <w:bCs/>
          <w:iCs/>
        </w:rPr>
        <w:t xml:space="preserve">prípade relevantnosti; </w:t>
      </w:r>
    </w:p>
    <w:p w14:paraId="2DC60F44" w14:textId="77777777" w:rsidR="00B650E5" w:rsidRDefault="00B650E5">
      <w:pPr>
        <w:numPr>
          <w:ilvl w:val="0"/>
          <w:numId w:val="70"/>
        </w:numPr>
        <w:spacing w:before="120" w:after="120"/>
        <w:ind w:left="851" w:hanging="425"/>
        <w:jc w:val="both"/>
        <w:rPr>
          <w:bCs/>
          <w:iCs/>
        </w:rPr>
      </w:pPr>
      <w:r>
        <w:rPr>
          <w:bCs/>
          <w:iCs/>
        </w:rPr>
        <w:lastRenderedPageBreak/>
        <w:t xml:space="preserve">podmienky výberu projektov pre realizáciu OP v prípade relevantnosti; </w:t>
      </w:r>
    </w:p>
    <w:p w14:paraId="224476BA" w14:textId="77777777" w:rsidR="00B650E5" w:rsidRDefault="00B650E5">
      <w:pPr>
        <w:numPr>
          <w:ilvl w:val="0"/>
          <w:numId w:val="70"/>
        </w:numPr>
        <w:spacing w:before="120" w:after="120"/>
        <w:ind w:left="851" w:hanging="425"/>
        <w:jc w:val="both"/>
        <w:rPr>
          <w:bCs/>
          <w:iCs/>
        </w:rPr>
      </w:pPr>
      <w:r>
        <w:rPr>
          <w:bCs/>
          <w:iCs/>
        </w:rPr>
        <w:t xml:space="preserve">postupy administratívnej finančnej kontroly a finančnej kontroly na mieste v prípade relevantnosti; </w:t>
      </w:r>
    </w:p>
    <w:p w14:paraId="378B7AF0" w14:textId="77777777" w:rsidR="00B650E5" w:rsidRDefault="00B650E5">
      <w:pPr>
        <w:numPr>
          <w:ilvl w:val="0"/>
          <w:numId w:val="70"/>
        </w:numPr>
        <w:spacing w:before="120" w:after="120"/>
        <w:ind w:left="851" w:hanging="425"/>
        <w:jc w:val="both"/>
        <w:rPr>
          <w:bCs/>
          <w:iCs/>
        </w:rPr>
      </w:pPr>
      <w:r>
        <w:rPr>
          <w:bCs/>
          <w:iCs/>
        </w:rPr>
        <w:t xml:space="preserve">postupy vedenia účtov a postupy pre platby prijímateľom v prípade relevantnosti; </w:t>
      </w:r>
    </w:p>
    <w:p w14:paraId="7CF819F5" w14:textId="77777777" w:rsidR="00B650E5" w:rsidRDefault="00B650E5">
      <w:pPr>
        <w:numPr>
          <w:ilvl w:val="0"/>
          <w:numId w:val="70"/>
        </w:numPr>
        <w:spacing w:before="120" w:after="120"/>
        <w:ind w:left="851" w:hanging="425"/>
        <w:jc w:val="both"/>
        <w:rPr>
          <w:bCs/>
          <w:iCs/>
        </w:rPr>
      </w:pPr>
      <w:r>
        <w:rPr>
          <w:bCs/>
          <w:iCs/>
        </w:rPr>
        <w:t xml:space="preserve">preukázanie finančnej stability v prípade relevantnosti. </w:t>
      </w:r>
    </w:p>
    <w:p w14:paraId="5508C4DD" w14:textId="77777777" w:rsidR="00B650E5" w:rsidRDefault="00B650E5" w:rsidP="00DE5D89">
      <w:pPr>
        <w:spacing w:before="120" w:after="120"/>
        <w:ind w:left="426"/>
        <w:jc w:val="both"/>
        <w:rPr>
          <w:bCs/>
          <w:iCs/>
        </w:rPr>
      </w:pPr>
      <w:r w:rsidRPr="004A5213">
        <w:rPr>
          <w:bCs/>
          <w:iCs/>
        </w:rPr>
        <w:t xml:space="preserve">Na základe relevantných podkladov RO vykoná overenie dostatočnosti kapacít a nastavených </w:t>
      </w:r>
      <w:r w:rsidRPr="003120E4">
        <w:rPr>
          <w:bCs/>
          <w:iCs/>
        </w:rPr>
        <w:t>postupov</w:t>
      </w:r>
      <w:r w:rsidRPr="004A5213">
        <w:rPr>
          <w:bCs/>
          <w:iCs/>
        </w:rPr>
        <w:t>. V prípade</w:t>
      </w:r>
      <w:r>
        <w:rPr>
          <w:bCs/>
          <w:iCs/>
        </w:rPr>
        <w:t>, ak bola niektorá skutočnosť overená na základe neúplnej dokumentácie, resp. dokumentácie, ktorá bola dopracovaná, po finalizácii týchto dokumentov RO dodatočne overí skutočnosti preukazované týmito dokumentmi.</w:t>
      </w:r>
    </w:p>
    <w:p w14:paraId="4C752BAD" w14:textId="77777777" w:rsidR="00B650E5" w:rsidRDefault="00B650E5" w:rsidP="00172982">
      <w:pPr>
        <w:numPr>
          <w:ilvl w:val="0"/>
          <w:numId w:val="68"/>
        </w:numPr>
        <w:spacing w:before="120" w:after="120"/>
        <w:ind w:left="426" w:hanging="426"/>
        <w:jc w:val="both"/>
        <w:rPr>
          <w:szCs w:val="22"/>
        </w:rPr>
      </w:pPr>
      <w:r>
        <w:rPr>
          <w:szCs w:val="22"/>
        </w:rPr>
        <w:t>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w:t>
      </w:r>
      <w:r w:rsidR="006F3B93">
        <w:rPr>
          <w:szCs w:val="22"/>
        </w:rPr>
        <w:t>,</w:t>
      </w:r>
      <w:r>
        <w:rPr>
          <w:szCs w:val="22"/>
        </w:rPr>
        <w:t xml:space="preserve"> a to najmä: </w:t>
      </w:r>
    </w:p>
    <w:p w14:paraId="46195A13" w14:textId="77777777" w:rsidR="00B650E5" w:rsidRDefault="00B650E5">
      <w:pPr>
        <w:numPr>
          <w:ilvl w:val="0"/>
          <w:numId w:val="19"/>
        </w:numPr>
        <w:spacing w:before="120" w:after="120"/>
        <w:ind w:left="851" w:hanging="425"/>
        <w:jc w:val="both"/>
        <w:rPr>
          <w:szCs w:val="22"/>
        </w:rPr>
      </w:pPr>
      <w:r>
        <w:rPr>
          <w:szCs w:val="22"/>
        </w:rPr>
        <w:t>na základe písomných správ SO vyžiadaných RO;</w:t>
      </w:r>
    </w:p>
    <w:p w14:paraId="55A156A7" w14:textId="77777777" w:rsidR="00B650E5" w:rsidRDefault="00B650E5">
      <w:pPr>
        <w:numPr>
          <w:ilvl w:val="0"/>
          <w:numId w:val="19"/>
        </w:numPr>
        <w:spacing w:before="120" w:after="120"/>
        <w:ind w:left="851" w:hanging="425"/>
        <w:jc w:val="both"/>
        <w:rPr>
          <w:szCs w:val="22"/>
        </w:rPr>
      </w:pPr>
      <w:r>
        <w:rPr>
          <w:szCs w:val="22"/>
        </w:rPr>
        <w:t>na základe správ z auditov a kontrol;</w:t>
      </w:r>
    </w:p>
    <w:p w14:paraId="29863703" w14:textId="77777777" w:rsidR="00B650E5" w:rsidRDefault="00B650E5">
      <w:pPr>
        <w:numPr>
          <w:ilvl w:val="0"/>
          <w:numId w:val="19"/>
        </w:numPr>
        <w:spacing w:before="120" w:after="120"/>
        <w:ind w:left="851" w:hanging="425"/>
        <w:jc w:val="both"/>
        <w:rPr>
          <w:szCs w:val="22"/>
        </w:rPr>
      </w:pPr>
      <w:r>
        <w:rPr>
          <w:szCs w:val="22"/>
        </w:rPr>
        <w:t>vyžiadaním podkladov súvisiacich s výkonom úloh od SO a ich analýzou;</w:t>
      </w:r>
    </w:p>
    <w:p w14:paraId="1CF9289C" w14:textId="77777777" w:rsidR="00B650E5" w:rsidRDefault="00B650E5">
      <w:pPr>
        <w:numPr>
          <w:ilvl w:val="0"/>
          <w:numId w:val="19"/>
        </w:numPr>
        <w:spacing w:before="120" w:after="120"/>
        <w:ind w:left="851" w:hanging="425"/>
        <w:jc w:val="both"/>
        <w:rPr>
          <w:szCs w:val="22"/>
        </w:rPr>
      </w:pPr>
      <w:r>
        <w:rPr>
          <w:szCs w:val="22"/>
        </w:rPr>
        <w:t xml:space="preserve">kontrolami v priestoroch SO alebo v iných priestoroch, kde prebieha výkon úloh SO. </w:t>
      </w:r>
    </w:p>
    <w:p w14:paraId="1D97BD32" w14:textId="19CE0E81" w:rsidR="00B650E5" w:rsidRDefault="00B650E5" w:rsidP="00172982">
      <w:pPr>
        <w:numPr>
          <w:ilvl w:val="0"/>
          <w:numId w:val="68"/>
        </w:numPr>
        <w:spacing w:before="120" w:after="120"/>
        <w:ind w:left="426" w:hanging="426"/>
        <w:jc w:val="both"/>
        <w:rPr>
          <w:szCs w:val="22"/>
        </w:rPr>
      </w:pPr>
      <w:r>
        <w:rPr>
          <w:szCs w:val="22"/>
        </w:rPr>
        <w:t>RO zabezpečí, aby bol v prípade vzniku dôvodov uvedených v písomnej zmluve oprávnený čiastočne, alebo v celom rozsahu od tejto zmluvy odstúpiť</w:t>
      </w:r>
      <w:r w:rsidR="006F3B93">
        <w:rPr>
          <w:szCs w:val="22"/>
        </w:rPr>
        <w:t xml:space="preserve">, </w:t>
      </w:r>
      <w:r>
        <w:rPr>
          <w:szCs w:val="22"/>
        </w:rPr>
        <w:t>a to najmä v prípadoch zistenia nedostatkov pri plnení úloh, neprijatia opatrení na ich nápravu zo strany SO</w:t>
      </w:r>
      <w:r>
        <w:t xml:space="preserve"> </w:t>
      </w:r>
      <w:r>
        <w:rPr>
          <w:szCs w:val="22"/>
        </w:rPr>
        <w:t>v lehote stanovenej RO, ich nedostatočnosti alebo pri opakovanom zistení rovnakých nedostatkov.</w:t>
      </w:r>
    </w:p>
    <w:p w14:paraId="6141D671" w14:textId="77777777" w:rsidR="00B650E5" w:rsidRDefault="00B650E5" w:rsidP="00172982">
      <w:pPr>
        <w:numPr>
          <w:ilvl w:val="0"/>
          <w:numId w:val="68"/>
        </w:numPr>
        <w:spacing w:before="120" w:after="120"/>
        <w:ind w:left="426" w:hanging="426"/>
        <w:jc w:val="both"/>
        <w:rPr>
          <w:szCs w:val="22"/>
        </w:rPr>
      </w:pPr>
      <w:r>
        <w:rPr>
          <w:szCs w:val="22"/>
        </w:rPr>
        <w:t>RO je povinný v prípade odstúpenia od písomnej zmluvy, alebo čiastočného obmedzenia výkonu delegovaných úloh zabezpečiť kontinuálne vykonávanie takto obmedzených úloh iným spôsobom. O tejto skutočnosti informuje RO vládu SR.</w:t>
      </w:r>
    </w:p>
    <w:p w14:paraId="35CC9E7E" w14:textId="77777777" w:rsidR="00B650E5" w:rsidRDefault="00B650E5" w:rsidP="00172982">
      <w:pPr>
        <w:numPr>
          <w:ilvl w:val="0"/>
          <w:numId w:val="68"/>
        </w:numPr>
        <w:spacing w:before="120" w:after="120"/>
        <w:ind w:left="426" w:hanging="426"/>
        <w:jc w:val="both"/>
        <w:rPr>
          <w:szCs w:val="22"/>
        </w:rPr>
      </w:pPr>
      <w:r>
        <w:rPr>
          <w:szCs w:val="22"/>
        </w:rPr>
        <w:t>RO je povinný uchovávať všetky dokumenty týkajúce sa prípravy a realizácie práv a povinností upravených v písomnej zmluve medzi RO a SO.</w:t>
      </w:r>
    </w:p>
    <w:p w14:paraId="05E921C4" w14:textId="77777777" w:rsidR="00B650E5" w:rsidRDefault="00B650E5">
      <w:pPr>
        <w:numPr>
          <w:ilvl w:val="0"/>
          <w:numId w:val="68"/>
        </w:numPr>
        <w:spacing w:before="120" w:after="120"/>
        <w:ind w:left="426" w:hanging="426"/>
        <w:jc w:val="both"/>
        <w:rPr>
          <w:szCs w:val="22"/>
        </w:rPr>
      </w:pPr>
      <w:r>
        <w:rPr>
          <w:szCs w:val="22"/>
        </w:rPr>
        <w:t>RO v súlade s § 7 ods. 9 zákona o príspevku z EŠIF vypracováva na ročnej báze plán kontrahovania, čerpania a dosahovania výsledkov OP.</w:t>
      </w:r>
    </w:p>
    <w:p w14:paraId="5BC11572" w14:textId="77777777" w:rsidR="00AC2030" w:rsidRDefault="00AC2030">
      <w:pPr>
        <w:numPr>
          <w:ilvl w:val="0"/>
          <w:numId w:val="68"/>
        </w:numPr>
        <w:spacing w:before="120" w:after="120"/>
        <w:ind w:left="426" w:hanging="426"/>
        <w:jc w:val="both"/>
        <w:rPr>
          <w:szCs w:val="22"/>
        </w:rPr>
      </w:pPr>
      <w:r w:rsidRPr="00425EE0">
        <w:rPr>
          <w:szCs w:val="22"/>
        </w:rPr>
        <w:t xml:space="preserve">RO je povinný v zmysle zákona o príspevku z EŠIF § 7 ods. 9 strpieť výkon </w:t>
      </w:r>
      <w:r>
        <w:rPr>
          <w:szCs w:val="22"/>
        </w:rPr>
        <w:t>krízového riadenia</w:t>
      </w:r>
      <w:r w:rsidRPr="00425EE0">
        <w:rPr>
          <w:szCs w:val="22"/>
        </w:rPr>
        <w:t xml:space="preserve"> vrátane prijímania nápravných opatrení navrhnutých CKO.</w:t>
      </w:r>
    </w:p>
    <w:p w14:paraId="1960ADED" w14:textId="77777777" w:rsidR="00B650E5" w:rsidRDefault="00B650E5" w:rsidP="0045286B">
      <w:pPr>
        <w:pStyle w:val="SRK4"/>
      </w:pPr>
      <w:bookmarkStart w:id="73" w:name="_Toc453233955"/>
      <w:bookmarkStart w:id="74" w:name="_Toc495649314"/>
      <w:r>
        <w:t>1.3.2.2 Sprostredkovateľský orgán</w:t>
      </w:r>
      <w:bookmarkEnd w:id="73"/>
      <w:bookmarkEnd w:id="74"/>
    </w:p>
    <w:p w14:paraId="2CFD2C13" w14:textId="110F295B" w:rsidR="00B650E5" w:rsidRDefault="00B650E5" w:rsidP="00172982">
      <w:pPr>
        <w:numPr>
          <w:ilvl w:val="0"/>
          <w:numId w:val="362"/>
        </w:numPr>
        <w:spacing w:before="120" w:after="120"/>
        <w:ind w:left="426" w:hanging="426"/>
        <w:jc w:val="both"/>
        <w:rPr>
          <w:szCs w:val="22"/>
        </w:rPr>
      </w:pPr>
      <w:r>
        <w:rPr>
          <w:szCs w:val="22"/>
        </w:rPr>
        <w:t>SO je subjekt určený vládou SR na návrh RO na plnenie niektorých alebo všetkých úloh RO v</w:t>
      </w:r>
      <w:r w:rsidR="00AC2030">
        <w:rPr>
          <w:szCs w:val="22"/>
        </w:rPr>
        <w:t> </w:t>
      </w:r>
      <w:r>
        <w:rPr>
          <w:szCs w:val="22"/>
        </w:rPr>
        <w:t xml:space="preserve">súlade s čl. 123 ods. 6 a 7 všeobecného nariadenia. </w:t>
      </w:r>
    </w:p>
    <w:p w14:paraId="0790999E" w14:textId="77777777" w:rsidR="00B650E5" w:rsidRDefault="00B650E5" w:rsidP="00172982">
      <w:pPr>
        <w:numPr>
          <w:ilvl w:val="0"/>
          <w:numId w:val="362"/>
        </w:numPr>
        <w:spacing w:before="120" w:after="120"/>
        <w:ind w:left="426" w:hanging="426"/>
        <w:jc w:val="both"/>
        <w:rPr>
          <w:szCs w:val="22"/>
        </w:rPr>
      </w:pPr>
      <w:r>
        <w:rPr>
          <w:szCs w:val="22"/>
        </w:rPr>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14:paraId="5161E52A" w14:textId="77777777" w:rsidR="00B650E5" w:rsidRDefault="00B650E5" w:rsidP="00172982">
      <w:pPr>
        <w:numPr>
          <w:ilvl w:val="0"/>
          <w:numId w:val="362"/>
        </w:numPr>
        <w:spacing w:before="120" w:after="120"/>
        <w:ind w:left="426" w:hanging="426"/>
        <w:jc w:val="both"/>
        <w:rPr>
          <w:szCs w:val="22"/>
        </w:rPr>
      </w:pPr>
      <w:r>
        <w:rPr>
          <w:szCs w:val="22"/>
        </w:rPr>
        <w:t xml:space="preserve">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w:t>
      </w:r>
      <w:r>
        <w:rPr>
          <w:szCs w:val="22"/>
        </w:rPr>
        <w:lastRenderedPageBreak/>
        <w:t>overované nezávislým auditným subjektom v rámci postupu podľa článku 124 všeobecného nariadenia.</w:t>
      </w:r>
      <w:r>
        <w:t xml:space="preserve"> </w:t>
      </w:r>
    </w:p>
    <w:p w14:paraId="33A160E3" w14:textId="0DB24E45" w:rsidR="00B650E5" w:rsidRDefault="00B650E5" w:rsidP="00172982">
      <w:pPr>
        <w:numPr>
          <w:ilvl w:val="0"/>
          <w:numId w:val="362"/>
        </w:numPr>
        <w:spacing w:before="120" w:after="120"/>
        <w:ind w:left="426" w:hanging="426"/>
        <w:jc w:val="both"/>
        <w:rPr>
          <w:szCs w:val="22"/>
        </w:rPr>
      </w:pPr>
      <w:r>
        <w:rPr>
          <w:szCs w:val="22"/>
        </w:rPr>
        <w:t>V prípadoch, keď SO nie je orgánom verejnej správy, je výber SO podmienený vykonaním VO v</w:t>
      </w:r>
      <w:r w:rsidR="00B31279">
        <w:rPr>
          <w:szCs w:val="22"/>
        </w:rPr>
        <w:t> </w:t>
      </w:r>
      <w:r>
        <w:rPr>
          <w:szCs w:val="22"/>
        </w:rPr>
        <w:t xml:space="preserve">súlade so ZVO. </w:t>
      </w:r>
    </w:p>
    <w:p w14:paraId="510EBC21" w14:textId="0C71681D" w:rsidR="00B650E5" w:rsidRDefault="00B650E5" w:rsidP="00172982">
      <w:pPr>
        <w:numPr>
          <w:ilvl w:val="0"/>
          <w:numId w:val="362"/>
        </w:numPr>
        <w:spacing w:before="120" w:after="120"/>
        <w:ind w:left="426" w:hanging="426"/>
        <w:jc w:val="both"/>
        <w:rPr>
          <w:szCs w:val="22"/>
        </w:rPr>
      </w:pPr>
      <w:r>
        <w:rPr>
          <w:szCs w:val="22"/>
        </w:rPr>
        <w:t>Vykonávanie úloh SO v súlade s ustanoveniami písomnej zmluvy nenahrádza konečnú zodpovednosť RO za riadnu implementáciu príslušného OP v zmysle podmienok daných príslušnou legislatívou EÚ a SR, Systémom riadenia EŠIF a Systémom finančného riadenia. V</w:t>
      </w:r>
      <w:r w:rsidR="00B31279">
        <w:rPr>
          <w:szCs w:val="22"/>
        </w:rPr>
        <w:t> </w:t>
      </w:r>
      <w:r>
        <w:rPr>
          <w:szCs w:val="22"/>
        </w:rPr>
        <w:t xml:space="preserve">prípade vzniku škody spôsobenej pri výkone, alebo v súvislosti s výkonom úloh je RO oprávnený uplatniť si voči SO regresný nárok v zmysle všeobecných predpisov o náhrade škody. </w:t>
      </w:r>
    </w:p>
    <w:p w14:paraId="3D542BC2" w14:textId="0F9CBFF9" w:rsidR="00B650E5" w:rsidRDefault="00B650E5" w:rsidP="00DE5D89">
      <w:pPr>
        <w:numPr>
          <w:ilvl w:val="0"/>
          <w:numId w:val="362"/>
        </w:numPr>
        <w:spacing w:before="120" w:after="120"/>
        <w:ind w:left="426" w:hanging="426"/>
        <w:jc w:val="both"/>
        <w:rPr>
          <w:szCs w:val="22"/>
        </w:rPr>
      </w:pPr>
      <w:r>
        <w:rPr>
          <w:szCs w:val="22"/>
        </w:rPr>
        <w:t>Ak niektoré z úloh delegovaných na SO plní SO na základe dohody a so súhlasom RO prostredníctvom tretej osoby (napr. priamo zriadená príspevková organizácia ministerstva), na</w:t>
      </w:r>
      <w:r w:rsidR="00B31279">
        <w:rPr>
          <w:szCs w:val="22"/>
        </w:rPr>
        <w:t> </w:t>
      </w:r>
      <w:r>
        <w:rPr>
          <w:szCs w:val="22"/>
        </w:rPr>
        <w:t>úrovni tretieho subjektu musí byť zabezpečené splnenie všetkých požiadaviek rovnako ako na</w:t>
      </w:r>
      <w:r w:rsidR="00B31279">
        <w:rPr>
          <w:szCs w:val="22"/>
        </w:rPr>
        <w:t> </w:t>
      </w:r>
      <w:r>
        <w:rPr>
          <w:szCs w:val="22"/>
        </w:rPr>
        <w:t>úrovni SO. RO musí mať právo výkonu kontroly na všetky úrovne takto definovanej implementačnej štruktúry.</w:t>
      </w:r>
    </w:p>
    <w:p w14:paraId="611F8F49" w14:textId="77777777" w:rsidR="00B650E5" w:rsidRDefault="00B650E5" w:rsidP="0045286B">
      <w:pPr>
        <w:pStyle w:val="SRK4"/>
      </w:pPr>
      <w:bookmarkStart w:id="75" w:name="_Toc453233956"/>
      <w:bookmarkStart w:id="76" w:name="_Toc495649315"/>
      <w:r>
        <w:t>1.3.2.3   Monitorovací výbor</w:t>
      </w:r>
      <w:bookmarkEnd w:id="75"/>
      <w:bookmarkEnd w:id="76"/>
      <w:r>
        <w:t xml:space="preserve"> </w:t>
      </w:r>
    </w:p>
    <w:p w14:paraId="12C8CD3F" w14:textId="77777777" w:rsidR="00B650E5" w:rsidRDefault="00B650E5">
      <w:pPr>
        <w:pStyle w:val="Odsekzoznamu"/>
        <w:numPr>
          <w:ilvl w:val="0"/>
          <w:numId w:val="66"/>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14:paraId="3C76A8AD" w14:textId="77777777" w:rsidR="00B650E5" w:rsidRDefault="00B650E5">
      <w:pPr>
        <w:pStyle w:val="Odsekzoznamu"/>
        <w:numPr>
          <w:ilvl w:val="0"/>
          <w:numId w:val="66"/>
        </w:numPr>
        <w:spacing w:before="120" w:after="120"/>
        <w:ind w:left="426" w:hanging="426"/>
        <w:contextualSpacing w:val="0"/>
        <w:jc w:val="both"/>
      </w:pPr>
      <w:r>
        <w:t>MV pre OP je zložený z predsedu, podpredsedu a ostatných členov. Predsedom MV je štatutárny orgán ústredného orgánu štátnej správy, v riadiacej pôsobnosti ktorého je príslušný RO. V prípade OP RH je predsedom MV generálny riaditeľ útvaru zabezpečujúceho implementáciu OP RH. Predseda MV vymenúva a odvoláva podpredsedu MV.</w:t>
      </w:r>
    </w:p>
    <w:p w14:paraId="2F31D6EE" w14:textId="6926655E" w:rsidR="00B650E5" w:rsidRDefault="00B650E5">
      <w:pPr>
        <w:pStyle w:val="Odsekzoznamu"/>
        <w:numPr>
          <w:ilvl w:val="0"/>
          <w:numId w:val="66"/>
        </w:numPr>
        <w:spacing w:before="120" w:after="120"/>
        <w:ind w:left="426" w:hanging="426"/>
        <w:contextualSpacing w:val="0"/>
        <w:jc w:val="both"/>
      </w:pPr>
      <w:r w:rsidRPr="00AD420A">
        <w:t xml:space="preserve">Členmi monitorovacieho výboru sú zástupcovia </w:t>
      </w:r>
      <w:r>
        <w:t>RO</w:t>
      </w:r>
      <w:r w:rsidRPr="00AD420A">
        <w:t xml:space="preserve">, </w:t>
      </w:r>
      <w:r w:rsidR="00066A3D">
        <w:t xml:space="preserve">relevantných </w:t>
      </w:r>
      <w:r>
        <w:t>SO</w:t>
      </w:r>
      <w:r w:rsidRPr="00AD420A">
        <w:t xml:space="preserve">, ostatných organizácií štátnej správy </w:t>
      </w:r>
      <w:r>
        <w:t>(zástupcovia gestorov HP, zástupcovia programov EÚS identifikovaní k plneniu komplementarity a synergie k OP, zástupca CKO, CO)</w:t>
      </w:r>
      <w:r w:rsidRPr="00AD420A">
        <w:t xml:space="preserve"> a nimi zriadených alebo založených právnických osôb a </w:t>
      </w:r>
      <w:r>
        <w:t>zástupcovia ostatných subjektov (v</w:t>
      </w:r>
      <w:r w:rsidR="00066A3D">
        <w:t> </w:t>
      </w:r>
      <w:r>
        <w:t>súlade s čl. 5 všeobecného nariadenia).</w:t>
      </w:r>
      <w:r w:rsidRPr="00AD420A">
        <w:t xml:space="preserve"> Zloženie </w:t>
      </w:r>
      <w:r>
        <w:t>MV</w:t>
      </w:r>
      <w:r w:rsidRPr="00AD420A">
        <w:t xml:space="preserve"> upraví štatút tak, aby zástupcovia ostatných subjektov mali v moni</w:t>
      </w:r>
      <w:r>
        <w:t>torovacom výbore väčšinu hlasov najneskôr k 1.1.2018.</w:t>
      </w:r>
      <w:r w:rsidRPr="00AD420A">
        <w:t xml:space="preserve"> </w:t>
      </w:r>
      <w:r>
        <w:t>T</w:t>
      </w:r>
      <w:r w:rsidRPr="00AD420A">
        <w:t xml:space="preserve">o neplatí pre operačný program Interact, program spolupráce </w:t>
      </w:r>
      <w:r w:rsidR="00DE270A">
        <w:t xml:space="preserve">Interreg V-A </w:t>
      </w:r>
      <w:r w:rsidRPr="00AD420A">
        <w:t xml:space="preserve">Slovenská republika - Česká republika, program spolupráce </w:t>
      </w:r>
      <w:r w:rsidR="00DE270A">
        <w:t xml:space="preserve">Interreg  V-A </w:t>
      </w:r>
      <w:r w:rsidRPr="00AD420A">
        <w:t xml:space="preserve">Slovenská republika – Rakúsko. </w:t>
      </w:r>
      <w:r>
        <w:t>Zástupcov partnerov do MV delegujú príslušní partneri na</w:t>
      </w:r>
      <w:r w:rsidR="00B31279">
        <w:t> </w:t>
      </w:r>
      <w:r>
        <w:t>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w:t>
      </w:r>
      <w:r w:rsidR="00B31279">
        <w:t> </w:t>
      </w:r>
      <w:r>
        <w:t>činnosti MV v poradnej funkcii bez hlasovacieho práva, ak sa podieľa na spolufinancovaní OP. CKO okrem člena MV menuje aj pozorovateľa, ktorý sa zúčastňuje zasadnutia MV. Zloženie MV v plnej miere dodržiava princíp partnerstva a nediskriminácie.</w:t>
      </w:r>
    </w:p>
    <w:p w14:paraId="260F3963" w14:textId="010BC050" w:rsidR="00B650E5" w:rsidRDefault="00B650E5">
      <w:pPr>
        <w:pStyle w:val="Odsekzoznamu"/>
        <w:numPr>
          <w:ilvl w:val="0"/>
          <w:numId w:val="66"/>
        </w:numPr>
        <w:spacing w:before="120" w:after="120"/>
        <w:ind w:left="426" w:hanging="426"/>
        <w:contextualSpacing w:val="0"/>
        <w:jc w:val="both"/>
      </w:pPr>
      <w:r>
        <w:t>Postavenie, pôsobnosť a zloženie MV je určené v štatúte. Štatút MV schvaľujú členovia MV na</w:t>
      </w:r>
      <w:r w:rsidR="00B31279">
        <w:t> </w:t>
      </w:r>
      <w:r>
        <w:t>prvom zasadnutí MV. Pravidlá činnosti MV sú uvedené v rokovacom poriadku MV, ktorý schvaľujú členovia MV rovnako na prvom zasadnutí MV. Vzor štatútu</w:t>
      </w:r>
      <w:r>
        <w:rPr>
          <w:rStyle w:val="Odkaznapoznmkupodiarou"/>
        </w:rPr>
        <w:footnoteReference w:id="18"/>
      </w:r>
      <w:r>
        <w:t xml:space="preserve"> a rokovacieho poriadku</w:t>
      </w:r>
      <w:r>
        <w:rPr>
          <w:rStyle w:val="Odkaznapoznmkupodiarou"/>
        </w:rPr>
        <w:footnoteReference w:id="19"/>
      </w:r>
      <w:r>
        <w:t xml:space="preserve"> MV vydáva CKO.</w:t>
      </w:r>
    </w:p>
    <w:p w14:paraId="31194509" w14:textId="77777777" w:rsidR="00B650E5" w:rsidRDefault="00B650E5">
      <w:pPr>
        <w:pStyle w:val="Odsekzoznamu"/>
        <w:numPr>
          <w:ilvl w:val="0"/>
          <w:numId w:val="66"/>
        </w:numPr>
        <w:spacing w:before="120" w:after="120"/>
        <w:ind w:left="426" w:hanging="426"/>
        <w:contextualSpacing w:val="0"/>
        <w:jc w:val="both"/>
      </w:pPr>
      <w:r>
        <w:lastRenderedPageBreak/>
        <w:t>MV programov EÚS zriadia členské štáty zúčastnené na programe EÚS a tretie krajiny po prijatí pozvania zúčastniť sa na programe EÚS, a to po dohode s RO do troch mesiacov odo dňa oznámenia rozhodnutia o prijatí programu EÚS členskému štátu. CKO má možnosť menovať svojho zástupcu a zúčastňovať sa na zasadnutiach MV. MV vypracuje a prijme svoj rokovací poriadok.</w:t>
      </w:r>
    </w:p>
    <w:p w14:paraId="317A3B58" w14:textId="77777777" w:rsidR="00B650E5" w:rsidRDefault="00B650E5">
      <w:pPr>
        <w:pStyle w:val="Odsekzoznamu"/>
        <w:numPr>
          <w:ilvl w:val="0"/>
          <w:numId w:val="66"/>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14:paraId="394366FA" w14:textId="77777777" w:rsidR="00B650E5" w:rsidRDefault="00B650E5">
      <w:pPr>
        <w:pStyle w:val="Odsekzoznamu"/>
        <w:numPr>
          <w:ilvl w:val="0"/>
          <w:numId w:val="66"/>
        </w:numPr>
        <w:spacing w:before="120" w:after="120"/>
        <w:ind w:left="426" w:hanging="426"/>
        <w:contextualSpacing w:val="0"/>
        <w:jc w:val="both"/>
      </w:pPr>
      <w:r>
        <w:t>Zoznam členov MV zverejňuje RO na webovom sídle RO a je zodpovedný za pravidelnú aktualizáciu všetkých zmien v zozname členov príslušného MV.</w:t>
      </w:r>
    </w:p>
    <w:p w14:paraId="69D24DA6" w14:textId="3ADD6586" w:rsidR="00B650E5" w:rsidRDefault="00B650E5">
      <w:pPr>
        <w:pStyle w:val="Odsekzoznamu"/>
        <w:numPr>
          <w:ilvl w:val="0"/>
          <w:numId w:val="66"/>
        </w:numPr>
        <w:spacing w:before="120" w:after="120"/>
        <w:ind w:left="426" w:hanging="426"/>
        <w:contextualSpacing w:val="0"/>
        <w:jc w:val="both"/>
      </w:pP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14:paraId="43F9C86C" w14:textId="77777777" w:rsidR="00B650E5" w:rsidRDefault="00B650E5">
      <w:pPr>
        <w:pStyle w:val="SRK5"/>
      </w:pPr>
      <w:bookmarkStart w:id="77" w:name="_Toc453233957"/>
      <w:bookmarkStart w:id="78" w:name="_Toc495649316"/>
      <w:r>
        <w:t>1.3.2.3.1 Funkcie monitorovacieho výboru</w:t>
      </w:r>
      <w:bookmarkEnd w:id="77"/>
      <w:bookmarkEnd w:id="78"/>
    </w:p>
    <w:p w14:paraId="608ABF62" w14:textId="0FCB867A" w:rsidR="00B650E5" w:rsidRDefault="00B650E5" w:rsidP="00227685">
      <w:pPr>
        <w:numPr>
          <w:ilvl w:val="0"/>
          <w:numId w:val="14"/>
        </w:numPr>
        <w:spacing w:before="120" w:after="120"/>
        <w:ind w:left="426" w:hanging="426"/>
        <w:jc w:val="both"/>
        <w:rPr>
          <w:bCs/>
          <w:iCs/>
        </w:rPr>
      </w:pPr>
      <w:r>
        <w:rPr>
          <w:bCs/>
          <w:iCs/>
        </w:rPr>
        <w:t>MV zasadá aspoň raz za kalendárny rok a preskúma vykonávanie OP a pokrok dosiahnutý pri</w:t>
      </w:r>
      <w:r w:rsidR="00B31279">
        <w:rPr>
          <w:bCs/>
          <w:iCs/>
        </w:rPr>
        <w:t> </w:t>
      </w:r>
      <w:r>
        <w:rPr>
          <w:bCs/>
          <w:iCs/>
        </w:rPr>
        <w:t>plnení jeho cieľov. Pri tom zohľadňuje finančné údaje, spoločné a špecifické ukazovatele výsledkov a výstupov týkajúce sa OP, vrátane zmien v hodnotách ukazovateľov výsledkov, resp. 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w:t>
      </w:r>
      <w:r w:rsidR="00B73E06">
        <w:rPr>
          <w:bCs/>
          <w:iCs/>
        </w:rPr>
        <w:t>,</w:t>
      </w:r>
      <w:r w:rsidR="00F57BDF">
        <w:rPr>
          <w:bCs/>
          <w:iCs/>
        </w:rPr>
        <w:t xml:space="preserve"> </w:t>
      </w:r>
      <w:r w:rsidR="00F57BDF" w:rsidRPr="00F57BDF">
        <w:rPr>
          <w:bCs/>
          <w:iCs/>
        </w:rPr>
        <w:t>a ak ide o prijímateľa podľa ods. 1 pí</w:t>
      </w:r>
      <w:r w:rsidR="007F20D0">
        <w:rPr>
          <w:bCs/>
          <w:iCs/>
        </w:rPr>
        <w:t>s</w:t>
      </w:r>
      <w:r w:rsidR="00F57BDF" w:rsidRPr="00F57BDF">
        <w:rPr>
          <w:bCs/>
          <w:iCs/>
        </w:rPr>
        <w:t>m. c) a d) zákona o príspevku z</w:t>
      </w:r>
      <w:r w:rsidR="00B73E06">
        <w:rPr>
          <w:bCs/>
          <w:iCs/>
        </w:rPr>
        <w:t> </w:t>
      </w:r>
      <w:r w:rsidR="00F57BDF" w:rsidRPr="00F57BDF">
        <w:rPr>
          <w:bCs/>
          <w:iCs/>
        </w:rPr>
        <w:t>EŠIF, spolu so zámerom národného projektu sa podieľa aj na schvaľovaní prijímateľ</w:t>
      </w:r>
      <w:r w:rsidR="00227685">
        <w:rPr>
          <w:bCs/>
          <w:iCs/>
        </w:rPr>
        <w:t>o</w:t>
      </w:r>
      <w:r>
        <w:rPr>
          <w:bCs/>
          <w:iCs/>
        </w:rPr>
        <w:t>v </w:t>
      </w:r>
      <w:r w:rsidR="009F6E1D">
        <w:rPr>
          <w:bCs/>
          <w:iCs/>
        </w:rPr>
        <w:t xml:space="preserve">v </w:t>
      </w:r>
      <w:r>
        <w:rPr>
          <w:bCs/>
          <w:iCs/>
        </w:rPr>
        <w:t xml:space="preserve">súlade s § 26 zákona o príspevku z EŠIF </w:t>
      </w:r>
      <w:r w:rsidRPr="005243B9">
        <w:rPr>
          <w:bCs/>
          <w:iCs/>
        </w:rPr>
        <w:t>a následne na monitorovaní národných projektov</w:t>
      </w:r>
      <w:r>
        <w:rPr>
          <w:bCs/>
          <w:iCs/>
        </w:rPr>
        <w:t>.</w:t>
      </w:r>
    </w:p>
    <w:p w14:paraId="45DCFEDF" w14:textId="77777777" w:rsidR="00B650E5" w:rsidRDefault="00B650E5">
      <w:pPr>
        <w:numPr>
          <w:ilvl w:val="0"/>
          <w:numId w:val="14"/>
        </w:numPr>
        <w:spacing w:before="120" w:after="120"/>
        <w:ind w:left="426" w:hanging="426"/>
        <w:jc w:val="both"/>
        <w:rPr>
          <w:bCs/>
          <w:iCs/>
        </w:rPr>
      </w:pPr>
      <w:r>
        <w:rPr>
          <w:bCs/>
          <w:iCs/>
        </w:rPr>
        <w:t>MV poskytuje konzultácie, a ak to považuje za vhodné, vydáva stanovisko ku každej zmene OP, ktorú navrhol RO.</w:t>
      </w:r>
    </w:p>
    <w:p w14:paraId="4A2A9CE8" w14:textId="77777777" w:rsidR="00B650E5" w:rsidRDefault="00B650E5">
      <w:pPr>
        <w:numPr>
          <w:ilvl w:val="0"/>
          <w:numId w:val="14"/>
        </w:numPr>
        <w:spacing w:before="120" w:after="120"/>
        <w:ind w:left="426" w:hanging="426"/>
        <w:jc w:val="both"/>
        <w:rPr>
          <w:bCs/>
          <w:iCs/>
        </w:rPr>
      </w:pPr>
      <w:r>
        <w:rPr>
          <w:bCs/>
          <w:iCs/>
        </w:rPr>
        <w:t>MV môže RO predkladať pripomienky týkajúce sa vykonávania a hodnotenia OP, vrátane opatrení súvisiacich so znižovaním administratívnej záťaže prijímateľov a poskytovateľov. MV monitoruje opatrenia prijaté v nadväznosti na jeho pripomienky.</w:t>
      </w:r>
    </w:p>
    <w:p w14:paraId="5FD25FB3" w14:textId="77777777" w:rsidR="00B650E5" w:rsidRDefault="00B650E5">
      <w:pPr>
        <w:numPr>
          <w:ilvl w:val="0"/>
          <w:numId w:val="14"/>
        </w:numPr>
        <w:spacing w:before="120" w:after="120"/>
        <w:ind w:left="426" w:hanging="426"/>
        <w:jc w:val="both"/>
        <w:rPr>
          <w:bCs/>
          <w:iCs/>
        </w:rPr>
      </w:pPr>
      <w:r>
        <w:rPr>
          <w:bCs/>
          <w:iCs/>
        </w:rPr>
        <w:t>MV skúma a vyjadruje sa najmä k (neplatí pre OP RH):</w:t>
      </w:r>
    </w:p>
    <w:p w14:paraId="24AE33B1" w14:textId="77777777" w:rsidR="00B650E5" w:rsidRDefault="00B650E5">
      <w:pPr>
        <w:pStyle w:val="Odsekzoznamu"/>
        <w:numPr>
          <w:ilvl w:val="1"/>
          <w:numId w:val="315"/>
        </w:numPr>
        <w:spacing w:before="120" w:after="120"/>
        <w:ind w:left="851" w:hanging="425"/>
        <w:contextualSpacing w:val="0"/>
        <w:jc w:val="both"/>
      </w:pPr>
      <w:r>
        <w:t>výkonnosti OP vzhľadom na výkonnostný rámec stanovený v príslušnom OP;</w:t>
      </w:r>
    </w:p>
    <w:p w14:paraId="4A01C2B9" w14:textId="77777777" w:rsidR="00B650E5" w:rsidRDefault="00B650E5">
      <w:pPr>
        <w:pStyle w:val="Odsekzoznamu"/>
        <w:numPr>
          <w:ilvl w:val="1"/>
          <w:numId w:val="315"/>
        </w:numPr>
        <w:spacing w:before="120" w:after="120"/>
        <w:ind w:left="851" w:hanging="425"/>
        <w:contextualSpacing w:val="0"/>
        <w:jc w:val="both"/>
      </w:pPr>
      <w:r>
        <w:t>pokroku dosiahnutom pri plnení plánu hodnotení a následným opatreniam prijatým vzhľadom na zistenia hodnotení;</w:t>
      </w:r>
    </w:p>
    <w:p w14:paraId="4098209A" w14:textId="77777777" w:rsidR="00B650E5" w:rsidRDefault="00B650E5">
      <w:pPr>
        <w:pStyle w:val="Odsekzoznamu"/>
        <w:numPr>
          <w:ilvl w:val="1"/>
          <w:numId w:val="315"/>
        </w:numPr>
        <w:spacing w:before="120" w:after="120"/>
        <w:ind w:left="851" w:hanging="425"/>
        <w:contextualSpacing w:val="0"/>
        <w:jc w:val="both"/>
      </w:pPr>
      <w:r>
        <w:t>realizácii komunikačnej stratégie;</w:t>
      </w:r>
    </w:p>
    <w:p w14:paraId="27279547" w14:textId="77777777" w:rsidR="00B650E5" w:rsidRDefault="00B650E5">
      <w:pPr>
        <w:pStyle w:val="Odsekzoznamu"/>
        <w:numPr>
          <w:ilvl w:val="1"/>
          <w:numId w:val="315"/>
        </w:numPr>
        <w:spacing w:before="120" w:after="120"/>
        <w:ind w:left="851" w:hanging="425"/>
        <w:contextualSpacing w:val="0"/>
        <w:jc w:val="both"/>
      </w:pPr>
      <w:r>
        <w:t>realizácii veľkých projektov (ak relevantné);</w:t>
      </w:r>
    </w:p>
    <w:p w14:paraId="34969CC3" w14:textId="77777777" w:rsidR="00B650E5" w:rsidRDefault="00B650E5">
      <w:pPr>
        <w:pStyle w:val="Odsekzoznamu"/>
        <w:numPr>
          <w:ilvl w:val="1"/>
          <w:numId w:val="315"/>
        </w:numPr>
        <w:spacing w:before="120" w:after="120"/>
        <w:ind w:left="851" w:hanging="425"/>
        <w:contextualSpacing w:val="0"/>
        <w:jc w:val="both"/>
      </w:pPr>
      <w:r>
        <w:t>vykonávaniu spoločných akčných plánov (ak relevantné);</w:t>
      </w:r>
    </w:p>
    <w:p w14:paraId="1108A1C2"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podporu rovnosti medzi mužmi a ženami a nediskriminácie, vrátane prístupu pre osoby so zdravotným postihnutím;</w:t>
      </w:r>
    </w:p>
    <w:p w14:paraId="13325CCE"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presadzovanie udržateľného rozvoja;</w:t>
      </w:r>
    </w:p>
    <w:p w14:paraId="0E1F0FB3" w14:textId="77777777" w:rsidR="00B650E5" w:rsidRDefault="00B650E5">
      <w:pPr>
        <w:pStyle w:val="Odsekzoznamu"/>
        <w:numPr>
          <w:ilvl w:val="1"/>
          <w:numId w:val="315"/>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14:paraId="58A9F6BB" w14:textId="77777777" w:rsidR="00B650E5" w:rsidRDefault="00B650E5">
      <w:pPr>
        <w:pStyle w:val="Odsekzoznamu"/>
        <w:numPr>
          <w:ilvl w:val="1"/>
          <w:numId w:val="315"/>
        </w:numPr>
        <w:spacing w:before="120" w:after="120"/>
        <w:ind w:left="851" w:hanging="425"/>
        <w:contextualSpacing w:val="0"/>
        <w:jc w:val="both"/>
      </w:pPr>
      <w:r>
        <w:lastRenderedPageBreak/>
        <w:t>pokroku v implementácii finančných nástrojov (ak relevantné);</w:t>
      </w:r>
    </w:p>
    <w:p w14:paraId="0B6B4053" w14:textId="77777777" w:rsidR="00B650E5" w:rsidRDefault="00B650E5">
      <w:pPr>
        <w:pStyle w:val="Odsekzoznamu"/>
        <w:numPr>
          <w:ilvl w:val="1"/>
          <w:numId w:val="315"/>
        </w:numPr>
        <w:spacing w:before="120" w:after="120"/>
        <w:ind w:left="851" w:hanging="425"/>
        <w:contextualSpacing w:val="0"/>
        <w:jc w:val="both"/>
      </w:pPr>
      <w:r>
        <w:t>pokroku v implementácii globálnych grantov (ak relevantné);</w:t>
      </w:r>
    </w:p>
    <w:p w14:paraId="2C8F6235" w14:textId="77777777" w:rsidR="00B650E5" w:rsidRDefault="00B650E5">
      <w:pPr>
        <w:pStyle w:val="Odsekzoznamu"/>
        <w:numPr>
          <w:ilvl w:val="1"/>
          <w:numId w:val="315"/>
        </w:numPr>
        <w:spacing w:before="120" w:after="120"/>
        <w:ind w:left="851" w:hanging="425"/>
        <w:contextualSpacing w:val="0"/>
        <w:jc w:val="both"/>
      </w:pPr>
      <w:r>
        <w:t>ročnému indikatívnemu plánu výziev OP;</w:t>
      </w:r>
    </w:p>
    <w:p w14:paraId="13B74B9F" w14:textId="77777777" w:rsidR="00B650E5" w:rsidRDefault="00B650E5">
      <w:pPr>
        <w:pStyle w:val="Odsekzoznamu"/>
        <w:numPr>
          <w:ilvl w:val="1"/>
          <w:numId w:val="315"/>
        </w:numPr>
        <w:spacing w:before="120" w:after="120"/>
        <w:ind w:left="851" w:hanging="425"/>
        <w:contextualSpacing w:val="0"/>
        <w:jc w:val="both"/>
      </w:pPr>
      <w:r>
        <w:t>realizácii národných projektov (ak relevantné).</w:t>
      </w:r>
    </w:p>
    <w:p w14:paraId="79DCC75C" w14:textId="77777777" w:rsidR="00B650E5" w:rsidRDefault="00B650E5">
      <w:pPr>
        <w:numPr>
          <w:ilvl w:val="0"/>
          <w:numId w:val="14"/>
        </w:numPr>
        <w:spacing w:before="120" w:after="120"/>
        <w:ind w:left="426" w:hanging="426"/>
        <w:jc w:val="both"/>
        <w:rPr>
          <w:bCs/>
          <w:iCs/>
        </w:rPr>
      </w:pPr>
      <w:r>
        <w:rPr>
          <w:bCs/>
          <w:iCs/>
        </w:rPr>
        <w:t>MV skúma a schvaľuje (neplatí pre OP RH):</w:t>
      </w:r>
    </w:p>
    <w:p w14:paraId="25D901E5" w14:textId="77777777" w:rsidR="00B650E5" w:rsidRDefault="00B650E5">
      <w:pPr>
        <w:pStyle w:val="Odsekzoznamu"/>
        <w:numPr>
          <w:ilvl w:val="0"/>
          <w:numId w:val="316"/>
        </w:numPr>
        <w:spacing w:before="120" w:after="120"/>
        <w:ind w:left="851" w:hanging="425"/>
        <w:contextualSpacing w:val="0"/>
        <w:jc w:val="both"/>
      </w:pPr>
      <w:r>
        <w:t>metodiku a kritériá použité pri výbere projektov</w:t>
      </w:r>
      <w:r w:rsidR="008A2386">
        <w:t xml:space="preserve"> a ich zmeny</w:t>
      </w:r>
      <w:r>
        <w:t>;</w:t>
      </w:r>
    </w:p>
    <w:p w14:paraId="112A7035" w14:textId="324BDE91" w:rsidR="00B650E5" w:rsidRDefault="00CD49A9" w:rsidP="00997CB0">
      <w:pPr>
        <w:pStyle w:val="Odsekzoznamu"/>
        <w:numPr>
          <w:ilvl w:val="0"/>
          <w:numId w:val="316"/>
        </w:numPr>
        <w:spacing w:before="120" w:after="120"/>
        <w:ind w:left="851" w:hanging="425"/>
        <w:contextualSpacing w:val="0"/>
        <w:jc w:val="both"/>
      </w:pPr>
      <w:r>
        <w:t xml:space="preserve">zoznamy národných projektov a </w:t>
      </w:r>
      <w:r w:rsidR="00B650E5">
        <w:t xml:space="preserve">zámery národných projektov </w:t>
      </w:r>
      <w:r w:rsidR="008A2386" w:rsidRPr="008A2386">
        <w:t xml:space="preserve">a ich zmeny </w:t>
      </w:r>
      <w:r w:rsidR="008A2386" w:rsidRPr="00E17A30">
        <w:t xml:space="preserve">podľa </w:t>
      </w:r>
      <w:hyperlink w:anchor="kapitola_341" w:history="1">
        <w:r w:rsidR="006839B4" w:rsidRPr="00997CB0">
          <w:rPr>
            <w:rStyle w:val="Hypertextovprepojenie"/>
          </w:rPr>
          <w:t>kapitoly</w:t>
        </w:r>
        <w:r w:rsidR="008A2386" w:rsidRPr="00997CB0">
          <w:rPr>
            <w:rStyle w:val="Hypertextovprepojenie"/>
          </w:rPr>
          <w:t xml:space="preserve"> 3.4.1</w:t>
        </w:r>
      </w:hyperlink>
      <w:r w:rsidR="008A2386" w:rsidRPr="008A2386">
        <w:t xml:space="preserve"> </w:t>
      </w:r>
      <w:r w:rsidR="00B650E5">
        <w:t>(ak na tieto účely nebola zriaden</w:t>
      </w:r>
      <w:r w:rsidR="00C228C8">
        <w:t>á</w:t>
      </w:r>
      <w:r w:rsidR="00B650E5">
        <w:t xml:space="preserve"> komisia pri MV);</w:t>
      </w:r>
    </w:p>
    <w:p w14:paraId="241F55B5" w14:textId="77777777" w:rsidR="00B650E5" w:rsidRDefault="00B650E5">
      <w:pPr>
        <w:pStyle w:val="Odsekzoznamu"/>
        <w:numPr>
          <w:ilvl w:val="0"/>
          <w:numId w:val="316"/>
        </w:numPr>
        <w:spacing w:before="120" w:after="120"/>
        <w:ind w:left="850" w:hanging="425"/>
        <w:contextualSpacing w:val="0"/>
        <w:jc w:val="both"/>
      </w:pPr>
      <w:r>
        <w:t>výročné a záverečné správy o vykonávaní OP;</w:t>
      </w:r>
    </w:p>
    <w:p w14:paraId="6127B9EC" w14:textId="77777777" w:rsidR="00B650E5" w:rsidRDefault="00B650E5">
      <w:pPr>
        <w:pStyle w:val="Odsekzoznamu"/>
        <w:numPr>
          <w:ilvl w:val="0"/>
          <w:numId w:val="316"/>
        </w:numPr>
        <w:spacing w:before="120" w:after="120"/>
        <w:ind w:left="851" w:hanging="425"/>
        <w:contextualSpacing w:val="0"/>
        <w:jc w:val="both"/>
      </w:pPr>
      <w:r>
        <w:t>plán hodnotenia OP a všetky zmeny tohto plánu vrátane prípadov, keď ide o súčasť spoločného plánu hodnotenia;</w:t>
      </w:r>
    </w:p>
    <w:p w14:paraId="4C148347" w14:textId="77777777" w:rsidR="00B650E5" w:rsidRDefault="00B650E5">
      <w:pPr>
        <w:pStyle w:val="Odsekzoznamu"/>
        <w:numPr>
          <w:ilvl w:val="0"/>
          <w:numId w:val="316"/>
        </w:numPr>
        <w:spacing w:before="120" w:after="120"/>
        <w:ind w:left="851" w:hanging="425"/>
        <w:contextualSpacing w:val="0"/>
        <w:jc w:val="both"/>
      </w:pPr>
      <w:r>
        <w:t>komunikačnú stratégiu pre OP a všetky zmeny tejto stratégie;</w:t>
      </w:r>
    </w:p>
    <w:p w14:paraId="49FD0DE3" w14:textId="77777777" w:rsidR="00B650E5" w:rsidRDefault="00B650E5">
      <w:pPr>
        <w:pStyle w:val="Odsekzoznamu"/>
        <w:numPr>
          <w:ilvl w:val="0"/>
          <w:numId w:val="316"/>
        </w:numPr>
        <w:spacing w:before="120" w:after="120"/>
        <w:ind w:left="851" w:hanging="425"/>
        <w:contextualSpacing w:val="0"/>
        <w:jc w:val="both"/>
      </w:pPr>
      <w:r>
        <w:t>všetky návrhy RO na zmenu OP pred ich oficiálnym  zaslaním EK.</w:t>
      </w:r>
    </w:p>
    <w:p w14:paraId="0C0AA82B" w14:textId="23A62769" w:rsidR="00B650E5" w:rsidRDefault="00B650E5">
      <w:pPr>
        <w:numPr>
          <w:ilvl w:val="0"/>
          <w:numId w:val="14"/>
        </w:numPr>
        <w:spacing w:before="120" w:after="120"/>
        <w:ind w:left="426" w:hanging="426"/>
        <w:jc w:val="both"/>
      </w:pPr>
      <w:r>
        <w:rPr>
          <w:bCs/>
          <w:iCs/>
        </w:rPr>
        <w:t>MV OP RH overuje výsledky OP a efektívnosť jeho vykonávania. MV na tento účel:</w:t>
      </w:r>
    </w:p>
    <w:p w14:paraId="0FE21FEA" w14:textId="77777777" w:rsidR="00B650E5" w:rsidRDefault="00B650E5" w:rsidP="00997CB0">
      <w:pPr>
        <w:pStyle w:val="Odsekzoznamu"/>
        <w:numPr>
          <w:ilvl w:val="0"/>
          <w:numId w:val="366"/>
        </w:numPr>
        <w:spacing w:before="120" w:after="120"/>
        <w:ind w:left="782" w:hanging="357"/>
        <w:contextualSpacing w:val="0"/>
        <w:jc w:val="both"/>
        <w:rPr>
          <w:color w:val="000000"/>
          <w:lang w:eastAsia="en-US"/>
        </w:rPr>
      </w:pPr>
      <w:r>
        <w:rPr>
          <w:color w:val="000000"/>
          <w:lang w:eastAsia="en-US"/>
        </w:rPr>
        <w:t>do šiestich mesiacov od rozhodnutia o schválení programu schvaľuje kritéria pre výber financovaných operácií, pričom výberové kritériá a sa upravia podľa potrieb programovania;</w:t>
      </w:r>
    </w:p>
    <w:p w14:paraId="70EF0083" w14:textId="77777777" w:rsidR="00B650E5" w:rsidRDefault="00B650E5">
      <w:pPr>
        <w:pStyle w:val="Odsekzoznamu"/>
        <w:numPr>
          <w:ilvl w:val="0"/>
          <w:numId w:val="366"/>
        </w:numPr>
        <w:spacing w:before="120" w:after="120"/>
        <w:ind w:left="782" w:hanging="357"/>
        <w:contextualSpacing w:val="0"/>
      </w:pPr>
      <w:r>
        <w:rPr>
          <w:color w:val="000000"/>
          <w:lang w:eastAsia="en-US"/>
        </w:rPr>
        <w:t>skúma činnosti a výstupy v súvislosti s plánom hodnotenia programu;</w:t>
      </w:r>
    </w:p>
    <w:p w14:paraId="1BF39DC0" w14:textId="77777777" w:rsidR="00B650E5" w:rsidRDefault="00B650E5">
      <w:pPr>
        <w:pStyle w:val="Odsekzoznamu"/>
        <w:numPr>
          <w:ilvl w:val="0"/>
          <w:numId w:val="366"/>
        </w:numPr>
        <w:spacing w:before="120" w:after="120"/>
        <w:ind w:left="782" w:hanging="357"/>
        <w:contextualSpacing w:val="0"/>
      </w:pPr>
      <w:r>
        <w:rPr>
          <w:color w:val="000000"/>
          <w:lang w:eastAsia="en-US"/>
        </w:rPr>
        <w:t xml:space="preserve">skúma činnosti programu v súvislosti s plnením osobitných </w:t>
      </w:r>
      <w:r w:rsidRPr="00997CB0">
        <w:rPr>
          <w:iCs/>
          <w:color w:val="000000"/>
          <w:lang w:eastAsia="en-US"/>
        </w:rPr>
        <w:t>ex ante</w:t>
      </w:r>
      <w:r>
        <w:rPr>
          <w:i/>
          <w:iCs/>
          <w:color w:val="000000"/>
          <w:lang w:eastAsia="en-US"/>
        </w:rPr>
        <w:t xml:space="preserve"> </w:t>
      </w:r>
      <w:r>
        <w:rPr>
          <w:color w:val="000000"/>
          <w:lang w:eastAsia="en-US"/>
        </w:rPr>
        <w:t>kondicionalít;</w:t>
      </w:r>
    </w:p>
    <w:p w14:paraId="6BF78179" w14:textId="77777777" w:rsidR="00B650E5" w:rsidRDefault="00B650E5">
      <w:pPr>
        <w:pStyle w:val="Odsekzoznamu"/>
        <w:numPr>
          <w:ilvl w:val="0"/>
          <w:numId w:val="366"/>
        </w:numPr>
        <w:spacing w:before="120" w:after="120"/>
        <w:ind w:left="782" w:hanging="357"/>
        <w:contextualSpacing w:val="0"/>
      </w:pPr>
      <w:r>
        <w:rPr>
          <w:color w:val="000000"/>
          <w:lang w:eastAsia="en-US"/>
        </w:rPr>
        <w:t>skúma a schvaľuje výročné správy o vykonávaní pred ich zaslaním Komisii;</w:t>
      </w:r>
    </w:p>
    <w:p w14:paraId="112EFE0A" w14:textId="77777777" w:rsidR="00B650E5" w:rsidRDefault="00B650E5" w:rsidP="00997CB0">
      <w:pPr>
        <w:pStyle w:val="Odsekzoznamu"/>
        <w:numPr>
          <w:ilvl w:val="0"/>
          <w:numId w:val="366"/>
        </w:numPr>
        <w:spacing w:before="120" w:after="120"/>
        <w:ind w:left="782" w:hanging="357"/>
        <w:contextualSpacing w:val="0"/>
        <w:jc w:val="both"/>
      </w:pPr>
      <w:r>
        <w:rPr>
          <w:color w:val="000000"/>
          <w:lang w:eastAsia="en-US"/>
        </w:rPr>
        <w:t>skúma opatrenia na podporu rovnosti medzi mužmi a ženami, rovnakých príležitostí a nediskriminácie vrátane dostupnosti pre osoby so zdravotným postihnutím.</w:t>
      </w:r>
    </w:p>
    <w:p w14:paraId="52D47B81" w14:textId="77777777" w:rsidR="00B650E5" w:rsidRDefault="00B650E5">
      <w:pPr>
        <w:pStyle w:val="SRK5"/>
      </w:pPr>
      <w:bookmarkStart w:id="79" w:name="_Toc453233958"/>
      <w:bookmarkStart w:id="80" w:name="_Toc495649317"/>
      <w:r>
        <w:t xml:space="preserve">1.3.2.3.2 </w:t>
      </w:r>
      <w:r w:rsidRPr="00B80C21">
        <w:t>Komisia pri monitorovacom výbore</w:t>
      </w:r>
      <w:bookmarkEnd w:id="79"/>
      <w:bookmarkEnd w:id="80"/>
    </w:p>
    <w:p w14:paraId="3C92F4B5" w14:textId="3358FC04" w:rsidR="00B650E5" w:rsidRDefault="00B650E5">
      <w:pPr>
        <w:numPr>
          <w:ilvl w:val="0"/>
          <w:numId w:val="317"/>
        </w:numPr>
        <w:spacing w:before="120" w:after="120"/>
        <w:ind w:left="425" w:hanging="425"/>
        <w:jc w:val="both"/>
      </w:pPr>
      <w:r>
        <w:rPr>
          <w:bCs/>
          <w:iCs/>
        </w:rPr>
        <w:t xml:space="preserve">RO môže zriadiť komisiu </w:t>
      </w:r>
      <w:r w:rsidR="00C228C8">
        <w:rPr>
          <w:bCs/>
          <w:iCs/>
        </w:rPr>
        <w:t xml:space="preserve">pri MV </w:t>
      </w:r>
      <w:r>
        <w:rPr>
          <w:bCs/>
          <w:iCs/>
        </w:rPr>
        <w:t>najmä na plnenie úloh</w:t>
      </w:r>
      <w:r>
        <w:t xml:space="preserve"> podľa§ 26 zákona o príspevku z EŠIF.</w:t>
      </w:r>
    </w:p>
    <w:p w14:paraId="6CC28C5B" w14:textId="77C8E750" w:rsidR="00B650E5" w:rsidRPr="007C2B94" w:rsidRDefault="00B650E5" w:rsidP="007C2B94">
      <w:pPr>
        <w:numPr>
          <w:ilvl w:val="0"/>
          <w:numId w:val="317"/>
        </w:numPr>
        <w:spacing w:before="120" w:after="120"/>
        <w:ind w:left="425" w:hanging="425"/>
        <w:jc w:val="both"/>
      </w:pPr>
      <w:r>
        <w:rPr>
          <w:bCs/>
          <w:iCs/>
        </w:rPr>
        <w:t xml:space="preserve">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 odbornosť témy alebo potrebu častejšieho zasadania efektívnejšie zriadenie takejto komisie, ako prerokovanie tém na zasadnutí MV. </w:t>
      </w:r>
    </w:p>
    <w:p w14:paraId="62205E5D" w14:textId="77777777" w:rsidR="00B650E5" w:rsidRDefault="00B650E5">
      <w:pPr>
        <w:numPr>
          <w:ilvl w:val="0"/>
          <w:numId w:val="317"/>
        </w:numPr>
        <w:spacing w:before="120" w:after="120"/>
        <w:ind w:left="425" w:hanging="425"/>
        <w:jc w:val="both"/>
      </w:pPr>
      <w:r>
        <w:rPr>
          <w:bCs/>
          <w:iCs/>
        </w:rPr>
        <w:t>Komisia pri MV sa riadi ustanoveniami štatútu a rokovacieho poriadku, ktorý vypracuje RO a schvaľuje ho MV</w:t>
      </w:r>
      <w:r>
        <w:t xml:space="preserve">. </w:t>
      </w:r>
    </w:p>
    <w:p w14:paraId="0ED10103" w14:textId="715EDB4D" w:rsidR="00B650E5" w:rsidRPr="00B80C21" w:rsidRDefault="00B650E5" w:rsidP="00997CB0">
      <w:pPr>
        <w:numPr>
          <w:ilvl w:val="0"/>
          <w:numId w:val="317"/>
        </w:numPr>
        <w:spacing w:before="120" w:after="120" w:line="276" w:lineRule="auto"/>
        <w:ind w:left="425" w:hanging="425"/>
        <w:jc w:val="both"/>
        <w:rPr>
          <w:szCs w:val="22"/>
        </w:rPr>
      </w:pPr>
      <w:r>
        <w:rPr>
          <w:bCs/>
          <w:iCs/>
        </w:rPr>
        <w:t>Zloženie Komisie pri MV zodpovedá vecnému zameraniu okruhov tém, ktoré má komisia pri</w:t>
      </w:r>
      <w:r w:rsidR="00D83571">
        <w:rPr>
          <w:bCs/>
          <w:iCs/>
        </w:rPr>
        <w:t> </w:t>
      </w:r>
      <w:r>
        <w:rPr>
          <w:bCs/>
          <w:iCs/>
        </w:rPr>
        <w:t>MV prerokúvať, pričom rešpektuje princípy partnerstva a nediskriminácie.</w:t>
      </w:r>
    </w:p>
    <w:p w14:paraId="032080CC" w14:textId="74866580" w:rsidR="00B650E5" w:rsidRPr="008C5647" w:rsidRDefault="00B650E5" w:rsidP="00997CB0">
      <w:pPr>
        <w:numPr>
          <w:ilvl w:val="0"/>
          <w:numId w:val="317"/>
        </w:numPr>
        <w:spacing w:before="120" w:after="120" w:line="276" w:lineRule="auto"/>
        <w:ind w:left="425" w:hanging="425"/>
        <w:jc w:val="both"/>
        <w:rPr>
          <w:szCs w:val="22"/>
        </w:rPr>
      </w:pPr>
      <w:r>
        <w:rPr>
          <w:bCs/>
          <w:iCs/>
        </w:rPr>
        <w:t xml:space="preserve">Zápis zo zasadnutia Komisie pri MV predkladá RO bezodkladne po jeho </w:t>
      </w:r>
      <w:r w:rsidR="00E80E7D">
        <w:rPr>
          <w:bCs/>
          <w:iCs/>
        </w:rPr>
        <w:t>schvále</w:t>
      </w:r>
      <w:r>
        <w:rPr>
          <w:bCs/>
          <w:iCs/>
        </w:rPr>
        <w:t>ní členom a pozorovateľom MV OP</w:t>
      </w:r>
      <w:r w:rsidR="00076317">
        <w:rPr>
          <w:bCs/>
          <w:iCs/>
        </w:rPr>
        <w:t xml:space="preserve"> na vedomie</w:t>
      </w:r>
      <w:r>
        <w:rPr>
          <w:bCs/>
          <w:iCs/>
        </w:rPr>
        <w:t xml:space="preserve">. Súčasťou zápisu je podrobná informácia o prípadných zmenách v zámeroch národných projektov a v zozname národných projektov v zmysle </w:t>
      </w:r>
      <w:hyperlink w:anchor="kapitola_341_ods_6" w:tooltip="kapitoly 3.4.1, ods. 6" w:history="1">
        <w:r w:rsidRPr="00A35848">
          <w:rPr>
            <w:rStyle w:val="Hypertextovprepojenie"/>
            <w:bCs/>
            <w:iCs/>
          </w:rPr>
          <w:t>kapitoly 3.4.1, ods. 6</w:t>
        </w:r>
      </w:hyperlink>
      <w:r>
        <w:rPr>
          <w:bCs/>
          <w:iCs/>
        </w:rPr>
        <w:t>.</w:t>
      </w:r>
    </w:p>
    <w:p w14:paraId="10F9C823" w14:textId="77777777" w:rsidR="00B650E5" w:rsidRPr="008C5647" w:rsidRDefault="00B650E5" w:rsidP="008C5647">
      <w:pPr>
        <w:pStyle w:val="SRK2"/>
      </w:pPr>
      <w:bookmarkStart w:id="81" w:name="_Toc453233959"/>
      <w:bookmarkStart w:id="82" w:name="_Toc495649318"/>
      <w:r w:rsidRPr="008C5647">
        <w:lastRenderedPageBreak/>
        <w:t>1.4 Elektronická komunikácia</w:t>
      </w:r>
      <w:bookmarkEnd w:id="81"/>
      <w:bookmarkEnd w:id="82"/>
    </w:p>
    <w:p w14:paraId="597F98C5"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Komunikácia elektronickými prostriedkami v rámci EŠIF je vykonávaná v zmysle zákona </w:t>
      </w:r>
      <w:r>
        <w:rPr>
          <w:bCs/>
          <w:iCs/>
        </w:rPr>
        <w:br/>
      </w:r>
      <w:r w:rsidRPr="008C5647">
        <w:rPr>
          <w:bCs/>
          <w:iCs/>
        </w:rPr>
        <w:t xml:space="preserve">o e-Governmente. </w:t>
      </w:r>
    </w:p>
    <w:p w14:paraId="0F1494F0" w14:textId="4E95DB9F" w:rsidR="00B650E5" w:rsidRPr="008C5647" w:rsidRDefault="00B650E5" w:rsidP="008C5647">
      <w:pPr>
        <w:numPr>
          <w:ilvl w:val="0"/>
          <w:numId w:val="393"/>
        </w:numPr>
        <w:spacing w:before="120" w:after="120"/>
        <w:ind w:left="425" w:hanging="425"/>
        <w:jc w:val="both"/>
        <w:rPr>
          <w:bCs/>
          <w:iCs/>
        </w:rPr>
      </w:pPr>
      <w:r w:rsidRPr="008C5647">
        <w:rPr>
          <w:bCs/>
          <w:iCs/>
        </w:rPr>
        <w:t xml:space="preserve">Každý subjekt na strane verejnej a štátnej správy, zapojený do </w:t>
      </w:r>
      <w:r>
        <w:rPr>
          <w:bCs/>
          <w:iCs/>
        </w:rPr>
        <w:t>konania o</w:t>
      </w:r>
      <w:r w:rsidR="00A71464">
        <w:rPr>
          <w:bCs/>
          <w:iCs/>
        </w:rPr>
        <w:t> </w:t>
      </w:r>
      <w:r>
        <w:rPr>
          <w:bCs/>
          <w:iCs/>
        </w:rPr>
        <w:t>ŽoNFP</w:t>
      </w:r>
      <w:r w:rsidR="00A71464">
        <w:rPr>
          <w:bCs/>
          <w:iCs/>
        </w:rPr>
        <w:t>, resp. konania v postavení správneho orgánu</w:t>
      </w:r>
      <w:r w:rsidRPr="008C5647">
        <w:rPr>
          <w:bCs/>
          <w:iCs/>
        </w:rPr>
        <w:t>, predstavuje v zmysle zákona o e-Governmente orgán verejnej moci. Orgán verejnej moci je povinný postupovať a komunikovať elektronickými prostriedkami v zmysle zákona o e-Governmente. Komunikácia sa vykonáva prostredníctvom komunikačných rozhraní ústredného portálu verejnej správy a spoločných modulov.</w:t>
      </w:r>
    </w:p>
    <w:p w14:paraId="23A266B9" w14:textId="66173674" w:rsidR="00B650E5" w:rsidRDefault="00B650E5" w:rsidP="00505C3A">
      <w:pPr>
        <w:numPr>
          <w:ilvl w:val="0"/>
          <w:numId w:val="393"/>
        </w:numPr>
        <w:spacing w:before="120" w:after="120"/>
        <w:ind w:left="425" w:hanging="425"/>
        <w:jc w:val="both"/>
        <w:rPr>
          <w:bCs/>
          <w:iCs/>
        </w:rPr>
      </w:pPr>
      <w:r w:rsidRPr="008C5647">
        <w:rPr>
          <w:bCs/>
          <w:iCs/>
        </w:rPr>
        <w:t xml:space="preserve">Na základe vyššie uvedeného vyplýva, že pre zabezpečenie komunikácie elektronickými prostriedkami v rámci EŠIF sa využije už existujúca infraštruktúra a služby ústredného portálu verejnej správy a spoločných modulov. </w:t>
      </w:r>
    </w:p>
    <w:p w14:paraId="284B8F24" w14:textId="0C28E8C2" w:rsidR="003A3228" w:rsidRDefault="003A3228" w:rsidP="00997CB0">
      <w:pPr>
        <w:numPr>
          <w:ilvl w:val="0"/>
          <w:numId w:val="393"/>
        </w:numPr>
        <w:spacing w:before="120" w:after="120"/>
        <w:ind w:left="425" w:hanging="425"/>
        <w:jc w:val="both"/>
        <w:rPr>
          <w:bCs/>
          <w:iCs/>
        </w:rPr>
      </w:pPr>
      <w:r w:rsidRPr="003A3228">
        <w:rPr>
          <w:bCs/>
          <w:iCs/>
        </w:rPr>
        <w:t>V prípade, ak má žiadateľ aktivovanú elektronickú schránku v zmysle zákona o e-Governmente, RO komunikuje v rámci schvaľovania ŽoNFP so žiadateľom elektronicky. Povinnosť žiadateľa doplniť ŽoNFP, a</w:t>
      </w:r>
      <w:r w:rsidR="00A71464">
        <w:rPr>
          <w:bCs/>
          <w:iCs/>
        </w:rPr>
        <w:t xml:space="preserve"> prípadné </w:t>
      </w:r>
      <w:r w:rsidRPr="003A3228">
        <w:rPr>
          <w:bCs/>
          <w:iCs/>
        </w:rPr>
        <w:t>ďalšie podania je riadne a včas splnená doručením elektronického podania</w:t>
      </w:r>
      <w:r w:rsidR="00AD1CCE">
        <w:rPr>
          <w:bCs/>
          <w:iCs/>
        </w:rPr>
        <w:t xml:space="preserve"> do elektronickej schránky poskytovateľa</w:t>
      </w:r>
      <w:r w:rsidRPr="003A3228">
        <w:rPr>
          <w:bCs/>
          <w:iCs/>
        </w:rPr>
        <w:t>.</w:t>
      </w:r>
    </w:p>
    <w:p w14:paraId="75BF19F0" w14:textId="77777777" w:rsidR="00A71464" w:rsidRDefault="00A71464" w:rsidP="00997CB0">
      <w:pPr>
        <w:numPr>
          <w:ilvl w:val="0"/>
          <w:numId w:val="393"/>
        </w:numPr>
        <w:spacing w:before="120" w:after="120"/>
        <w:ind w:left="425" w:hanging="425"/>
        <w:jc w:val="both"/>
        <w:rPr>
          <w:bCs/>
          <w:iCs/>
        </w:rPr>
      </w:pPr>
      <w:r>
        <w:rPr>
          <w:bCs/>
          <w:iCs/>
        </w:rPr>
        <w:t xml:space="preserve">RO je oprávnený v Zmluve o NFP dohodnúť s prijímateľom </w:t>
      </w:r>
      <w:r w:rsidR="00B6510C">
        <w:rPr>
          <w:bCs/>
          <w:iCs/>
        </w:rPr>
        <w:t>komunikáciu prostredníctvom elektronickej</w:t>
      </w:r>
      <w:r w:rsidR="00B6510C" w:rsidRPr="003A3228">
        <w:rPr>
          <w:bCs/>
          <w:iCs/>
        </w:rPr>
        <w:t xml:space="preserve"> schránk</w:t>
      </w:r>
      <w:r w:rsidR="00B6510C">
        <w:rPr>
          <w:bCs/>
          <w:iCs/>
        </w:rPr>
        <w:t>y</w:t>
      </w:r>
      <w:r w:rsidR="00B6510C" w:rsidRPr="003A3228">
        <w:rPr>
          <w:bCs/>
          <w:iCs/>
        </w:rPr>
        <w:t xml:space="preserve"> v zmysle zákona o e-Governmente</w:t>
      </w:r>
      <w:r w:rsidR="00D83571">
        <w:rPr>
          <w:bCs/>
          <w:iCs/>
        </w:rPr>
        <w:t>.</w:t>
      </w:r>
    </w:p>
    <w:p w14:paraId="3F52FF6D" w14:textId="77777777" w:rsidR="00B650E5" w:rsidRPr="00227685" w:rsidRDefault="00B650E5" w:rsidP="00227685">
      <w:pPr>
        <w:numPr>
          <w:ilvl w:val="0"/>
          <w:numId w:val="393"/>
        </w:numPr>
        <w:spacing w:before="120" w:after="120"/>
        <w:ind w:left="425" w:hanging="425"/>
        <w:jc w:val="both"/>
      </w:pPr>
      <w:r w:rsidRPr="00227685">
        <w:rPr>
          <w:szCs w:val="22"/>
        </w:rPr>
        <w:t>CKO poskytne RO súčinnosť pri zavádzaní elektronickej komunikácie v zmysle zákona o e-Governmente.</w:t>
      </w:r>
      <w:r w:rsidR="00227685">
        <w:br w:type="page"/>
      </w:r>
    </w:p>
    <w:p w14:paraId="0B3B4C0D" w14:textId="77777777" w:rsidR="00B650E5" w:rsidRDefault="00B650E5">
      <w:pPr>
        <w:pStyle w:val="SRK1"/>
      </w:pPr>
      <w:bookmarkStart w:id="83" w:name="_Toc378947478"/>
      <w:bookmarkStart w:id="84" w:name="_Toc453233960"/>
      <w:bookmarkStart w:id="85" w:name="_Toc495649319"/>
      <w:r>
        <w:lastRenderedPageBreak/>
        <w:t>Časť 2</w:t>
      </w:r>
      <w:bookmarkEnd w:id="83"/>
      <w:r>
        <w:t xml:space="preserve"> </w:t>
      </w:r>
      <w:bookmarkStart w:id="86" w:name="_Toc378947479"/>
      <w:r>
        <w:t>Programovanie</w:t>
      </w:r>
      <w:bookmarkEnd w:id="84"/>
      <w:bookmarkEnd w:id="85"/>
      <w:bookmarkEnd w:id="86"/>
      <w:r>
        <w:t xml:space="preserve"> </w:t>
      </w:r>
    </w:p>
    <w:p w14:paraId="7CE13A67" w14:textId="77777777" w:rsidR="00B650E5" w:rsidRDefault="00B650E5">
      <w:pPr>
        <w:pStyle w:val="SRK2"/>
        <w:rPr>
          <w:rStyle w:val="Nadpis1Char"/>
          <w:bCs/>
          <w:sz w:val="36"/>
          <w:szCs w:val="26"/>
        </w:rPr>
      </w:pPr>
      <w:bookmarkStart w:id="87" w:name="_Toc378947480"/>
      <w:bookmarkStart w:id="88" w:name="_Toc389595932"/>
      <w:bookmarkStart w:id="89" w:name="_Toc453233961"/>
      <w:bookmarkStart w:id="90" w:name="_Toc495649320"/>
      <w:bookmarkStart w:id="91" w:name="_Toc378947482"/>
      <w:r>
        <w:rPr>
          <w:rStyle w:val="Nadpis1Char"/>
          <w:bCs/>
          <w:sz w:val="36"/>
          <w:szCs w:val="26"/>
        </w:rPr>
        <w:t>2.1</w:t>
      </w:r>
      <w:r>
        <w:t xml:space="preserve"> </w:t>
      </w:r>
      <w:r>
        <w:rPr>
          <w:rStyle w:val="Nadpis1Char"/>
          <w:bCs/>
          <w:sz w:val="36"/>
          <w:szCs w:val="26"/>
        </w:rPr>
        <w:t>Príprava a zmena partnerskej dohody</w:t>
      </w:r>
      <w:bookmarkEnd w:id="87"/>
      <w:bookmarkEnd w:id="88"/>
      <w:bookmarkEnd w:id="89"/>
      <w:bookmarkEnd w:id="90"/>
    </w:p>
    <w:p w14:paraId="678A7DA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703297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6, 7, 8, 10, 14, 15, 16, 17, 18, 19, 20, 21, 22, 23, 30, 31, 52 všeobecného nariadenia</w:t>
      </w:r>
    </w:p>
    <w:p w14:paraId="5F59894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Vykonávacie rozhodnutie Komisie č. 2014/190/EÚ</w:t>
      </w:r>
    </w:p>
    <w:p w14:paraId="08F334B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Delegované nariadenie Komisie (EÚ) č. 240/2014 o európskom kódexe správania pre partnerstvo v rámci EŠIF</w:t>
      </w:r>
    </w:p>
    <w:p w14:paraId="753B245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121 ods. 2 a čl. 148 ods. 4 Zmluvy o fungovaní EÚ</w:t>
      </w:r>
    </w:p>
    <w:p w14:paraId="78EE8DE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pPr>
      <w:r>
        <w:rPr>
          <w:u w:val="single"/>
        </w:rPr>
        <w:t>Relevantná úprava v legislatíve SR</w:t>
      </w:r>
      <w:r>
        <w:t>:</w:t>
      </w:r>
    </w:p>
    <w:p w14:paraId="72C69E7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písm. b) zákona o príspevku z EŠIF</w:t>
      </w:r>
    </w:p>
    <w:p w14:paraId="48BA73C7" w14:textId="77777777" w:rsidR="00B650E5" w:rsidRDefault="00B650E5">
      <w:pPr>
        <w:pStyle w:val="Odsekzoznamu"/>
        <w:numPr>
          <w:ilvl w:val="0"/>
          <w:numId w:val="11"/>
        </w:numPr>
        <w:spacing w:before="120" w:after="120"/>
        <w:ind w:left="426" w:hanging="426"/>
        <w:contextualSpacing w:val="0"/>
        <w:jc w:val="both"/>
      </w:pPr>
      <w:bookmarkStart w:id="92" w:name="_Toc389595933"/>
      <w:r>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14:paraId="33F881D2" w14:textId="77777777" w:rsidR="00B650E5" w:rsidRDefault="00B650E5">
      <w:pPr>
        <w:pStyle w:val="Odsekzoznamu"/>
        <w:numPr>
          <w:ilvl w:val="0"/>
          <w:numId w:val="11"/>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14:paraId="5F9917AD" w14:textId="77777777" w:rsidR="00B650E5" w:rsidRDefault="00B650E5">
      <w:pPr>
        <w:pStyle w:val="Odsekzoznamu"/>
        <w:numPr>
          <w:ilvl w:val="0"/>
          <w:numId w:val="11"/>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14:paraId="0F2E1F24" w14:textId="77777777" w:rsidR="00B650E5" w:rsidRDefault="00B650E5">
      <w:pPr>
        <w:pStyle w:val="Odsekzoznamu"/>
        <w:numPr>
          <w:ilvl w:val="0"/>
          <w:numId w:val="11"/>
        </w:numPr>
        <w:spacing w:before="120" w:after="120"/>
        <w:ind w:left="426" w:hanging="426"/>
        <w:contextualSpacing w:val="0"/>
        <w:jc w:val="both"/>
      </w:pPr>
      <w:r>
        <w:t>PD schvaľuje vláda SR pred zaslaním EK. PD je predložená EK prostredníctvom SFC2014.</w:t>
      </w:r>
    </w:p>
    <w:p w14:paraId="776D7301" w14:textId="77777777" w:rsidR="00B650E5" w:rsidRDefault="00B650E5">
      <w:pPr>
        <w:pStyle w:val="SRK3"/>
      </w:pPr>
      <w:bookmarkStart w:id="93" w:name="_Toc453233962"/>
      <w:bookmarkStart w:id="94" w:name="_Toc495649321"/>
      <w:r>
        <w:t>2.1.1 Obsah partnerskej dohody</w:t>
      </w:r>
      <w:bookmarkEnd w:id="92"/>
      <w:bookmarkEnd w:id="93"/>
      <w:bookmarkEnd w:id="94"/>
    </w:p>
    <w:p w14:paraId="3CE1DFC8" w14:textId="68FFD601" w:rsidR="00B650E5" w:rsidRDefault="00B650E5">
      <w:pPr>
        <w:pStyle w:val="Odsekzoznamu"/>
        <w:numPr>
          <w:ilvl w:val="0"/>
          <w:numId w:val="206"/>
        </w:numPr>
        <w:spacing w:before="120" w:after="120"/>
        <w:ind w:left="425" w:hanging="425"/>
        <w:contextualSpacing w:val="0"/>
        <w:jc w:val="both"/>
        <w:rPr>
          <w:lang w:eastAsia="en-US"/>
        </w:rPr>
      </w:pPr>
      <w:bookmarkStart w:id="95" w:name="_Toc389595934"/>
      <w:r>
        <w:rPr>
          <w:lang w:eastAsia="en-US"/>
        </w:rPr>
        <w:t>PD vychádza zo SSR, ktorý ustanovuje strategické usmerňujúce zásady v procese programovania a uľahčuje vypracovanie PD a OP podľa čl. 10 všeobecného nariadenia a prílohy I.</w:t>
      </w:r>
    </w:p>
    <w:p w14:paraId="4052BD38" w14:textId="77777777" w:rsidR="00B650E5" w:rsidRDefault="00B650E5">
      <w:pPr>
        <w:pStyle w:val="CM1"/>
        <w:numPr>
          <w:ilvl w:val="0"/>
          <w:numId w:val="206"/>
        </w:numPr>
        <w:spacing w:before="120" w:after="120"/>
        <w:ind w:left="425" w:hanging="425"/>
        <w:jc w:val="both"/>
      </w:pPr>
      <w:r>
        <w:rPr>
          <w:rFonts w:ascii="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inkluzívneho rastu. Zároveň PD zabezpečuje prepojenie s Pozičným dokumentom Komisie pre prípravu PD a OP na roky 2014 – 2020, Národným programom reforiem SR, špecifickými odporúčaniami Rady prijatými podľa č. 121 ods. 2 a čl. 148 ods. 4 Zmluvy o fungovaní EÚ.</w:t>
      </w:r>
    </w:p>
    <w:p w14:paraId="4131E4B6" w14:textId="39C1CDDD" w:rsidR="00B650E5" w:rsidRPr="003120E4" w:rsidRDefault="00B650E5">
      <w:pPr>
        <w:pStyle w:val="CM1"/>
        <w:numPr>
          <w:ilvl w:val="0"/>
          <w:numId w:val="206"/>
        </w:numPr>
        <w:spacing w:before="120" w:after="120"/>
        <w:ind w:left="425" w:hanging="425"/>
        <w:jc w:val="both"/>
        <w:rPr>
          <w:rFonts w:ascii="Times New Roman" w:hAnsi="Times New Roman"/>
        </w:rPr>
      </w:pPr>
      <w:r w:rsidRPr="003120E4">
        <w:rPr>
          <w:rFonts w:ascii="Times New Roman" w:hAnsi="Times New Roman"/>
        </w:rPr>
        <w:t>Povinné informácie, ktoré musia byť zahrnuté v PD sú stanovené v čl. 15 všeobecného nariadenia. Tieto informácie sa týkajú opatrení na zabezpečenie súladu so stratégiou Únie na</w:t>
      </w:r>
      <w:r w:rsidR="00A90637">
        <w:rPr>
          <w:rFonts w:ascii="Times New Roman" w:hAnsi="Times New Roman"/>
        </w:rPr>
        <w:t> </w:t>
      </w:r>
      <w:r w:rsidRPr="003120E4">
        <w:rPr>
          <w:rFonts w:ascii="Times New Roman" w:hAnsi="Times New Roman"/>
        </w:rPr>
        <w:t xml:space="preserve">zabezpečenie inteligentného, udržateľného a inkluzívneho rastu, opatrení na zabezpečenie </w:t>
      </w:r>
      <w:r w:rsidRPr="003120E4">
        <w:rPr>
          <w:rFonts w:ascii="Times New Roman" w:hAnsi="Times New Roman"/>
        </w:rPr>
        <w:lastRenderedPageBreak/>
        <w:t>efektívnej implementácie EŠIF, integrovaného prístupu k územnému rozvoju podporovanému z EŠIF a opatrení na zabezpečenie účinného vykonávania EŠIF.</w:t>
      </w:r>
    </w:p>
    <w:p w14:paraId="321FEC04" w14:textId="77777777" w:rsidR="00B650E5" w:rsidRDefault="00B650E5">
      <w:pPr>
        <w:pStyle w:val="SRK3"/>
      </w:pPr>
      <w:bookmarkStart w:id="96" w:name="_Toc453233963"/>
      <w:bookmarkStart w:id="97" w:name="_Toc495649322"/>
      <w:r>
        <w:t>2.1.2 Prijatie a zmena partnerskej dohody</w:t>
      </w:r>
      <w:bookmarkEnd w:id="95"/>
      <w:bookmarkEnd w:id="96"/>
      <w:bookmarkEnd w:id="97"/>
    </w:p>
    <w:p w14:paraId="0DAE1D63" w14:textId="2CA7BADA" w:rsidR="00B650E5" w:rsidRDefault="00B650E5">
      <w:pPr>
        <w:pStyle w:val="Odsekzoznamu"/>
        <w:numPr>
          <w:ilvl w:val="0"/>
          <w:numId w:val="211"/>
        </w:numPr>
        <w:spacing w:before="120" w:after="120"/>
        <w:ind w:left="426" w:hanging="426"/>
        <w:contextualSpacing w:val="0"/>
        <w:jc w:val="both"/>
        <w:rPr>
          <w:lang w:eastAsia="en-US"/>
        </w:rPr>
      </w:pPr>
      <w:bookmarkStart w:id="98" w:name="_Toc378947481"/>
      <w:bookmarkStart w:id="99" w:name="_Toc389595935"/>
      <w:r>
        <w:rPr>
          <w:lang w:eastAsia="en-US"/>
        </w:rPr>
        <w:t>Prijatie PD upravuje čl. 16 ods. 2 všeobecného nariadenia. PD nemôže nadobudnúť účinnosť pred</w:t>
      </w:r>
      <w:r w:rsidR="00A90637">
        <w:rPr>
          <w:lang w:eastAsia="en-US"/>
        </w:rPr>
        <w:t> </w:t>
      </w:r>
      <w:r>
        <w:rPr>
          <w:lang w:eastAsia="en-US"/>
        </w:rPr>
        <w:t xml:space="preserve">1. januárom 2014. </w:t>
      </w:r>
    </w:p>
    <w:p w14:paraId="6BAA20D3"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14:paraId="78BA31E4" w14:textId="77777777" w:rsidR="00B650E5" w:rsidRDefault="00B650E5">
      <w:pPr>
        <w:pStyle w:val="Odsekzoznamu"/>
        <w:numPr>
          <w:ilvl w:val="0"/>
          <w:numId w:val="211"/>
        </w:numPr>
        <w:spacing w:before="120" w:after="120"/>
        <w:ind w:left="425" w:hanging="425"/>
        <w:contextualSpacing w:val="0"/>
        <w:jc w:val="both"/>
        <w:rPr>
          <w:lang w:eastAsia="en-US"/>
        </w:rPr>
      </w:pPr>
      <w:bookmarkStart w:id="100" w:name="kapitola_212_ods_3"/>
      <w:bookmarkEnd w:id="100"/>
      <w:r>
        <w:rPr>
          <w:lang w:eastAsia="en-US"/>
        </w:rPr>
        <w:t>EK prijme PD prostredníctvom vykonávacieho aktu najneskôr do štyroch mesiacov od dátumu oficiálneho predloženia PD za predpokladu, že všetky pripomienky EK boli náležite zohľadnené.</w:t>
      </w:r>
    </w:p>
    <w:p w14:paraId="1A18DFC2" w14:textId="39B80CFF" w:rsidR="00B650E5" w:rsidRDefault="00B650E5">
      <w:pPr>
        <w:pStyle w:val="Odsekzoznamu"/>
        <w:numPr>
          <w:ilvl w:val="0"/>
          <w:numId w:val="211"/>
        </w:numPr>
        <w:spacing w:before="120" w:after="120"/>
        <w:ind w:left="425" w:hanging="425"/>
        <w:contextualSpacing w:val="0"/>
        <w:jc w:val="both"/>
        <w:rPr>
          <w:lang w:eastAsia="en-US"/>
        </w:rPr>
      </w:pPr>
      <w:bookmarkStart w:id="101" w:name="kapitola_212_ods_4"/>
      <w:r>
        <w:rPr>
          <w:lang w:eastAsia="en-US"/>
        </w:rPr>
        <w:t>EK schválila PD dňa 20. júna 2014 aj s prvkami pre ENRF.</w:t>
      </w:r>
    </w:p>
    <w:bookmarkEnd w:id="101"/>
    <w:p w14:paraId="474CC68E"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 xml:space="preserve">V prípade návrhu SR na zmenu prvkov PD, na ktoré sa vzťahuje rozhodnutie EK v zmysle </w:t>
      </w:r>
      <w:hyperlink w:anchor="kapitola_212_ods_3" w:history="1">
        <w:r w:rsidRPr="0043089F">
          <w:rPr>
            <w:rStyle w:val="Hypertextovprepojenie"/>
            <w:lang w:eastAsia="en-US"/>
          </w:rPr>
          <w:t>ods_3</w:t>
        </w:r>
      </w:hyperlink>
      <w:r>
        <w:rPr>
          <w:lang w:eastAsia="en-US"/>
        </w:rPr>
        <w:t xml:space="preserve"> tejto podkapitoly, EK vykoná posúdenie a v prípade potreby prijme prostredníctvom vykonávacích aktov rozhodnutie o schválení zmeny, a to do troch mesiacov od dátumu predloženia návrhu na zmenu.</w:t>
      </w:r>
    </w:p>
    <w:p w14:paraId="676A0E73" w14:textId="77777777" w:rsidR="00B650E5" w:rsidRDefault="00B650E5">
      <w:pPr>
        <w:pStyle w:val="Odsekzoznamu"/>
        <w:numPr>
          <w:ilvl w:val="0"/>
          <w:numId w:val="211"/>
        </w:numPr>
        <w:spacing w:before="120" w:after="120"/>
        <w:ind w:left="425" w:hanging="425"/>
        <w:contextualSpacing w:val="0"/>
        <w:jc w:val="both"/>
        <w:rPr>
          <w:lang w:eastAsia="en-US"/>
        </w:rPr>
      </w:pPr>
      <w:bookmarkStart w:id="102" w:name="kapitola_212_ods_6až10"/>
      <w:bookmarkEnd w:id="102"/>
      <w:r>
        <w:rPr>
          <w:lang w:eastAsia="en-US"/>
        </w:rPr>
        <w:t>Zmena prvkov PD, na ktoré sa vzťahuje rozhodnutie EK, nastane najmä vtedy, ak došlo k zmene na programovej úrovni:</w:t>
      </w:r>
    </w:p>
    <w:p w14:paraId="6AB93BF3" w14:textId="77777777" w:rsidR="00B650E5" w:rsidRDefault="00B650E5">
      <w:pPr>
        <w:pStyle w:val="Odsekzoznamu"/>
        <w:numPr>
          <w:ilvl w:val="0"/>
          <w:numId w:val="12"/>
        </w:numPr>
        <w:spacing w:before="120" w:after="120"/>
        <w:ind w:left="850" w:hanging="425"/>
        <w:contextualSpacing w:val="0"/>
        <w:jc w:val="both"/>
      </w:pPr>
      <w:r>
        <w:rPr>
          <w:lang w:eastAsia="en-US"/>
        </w:rPr>
        <w:t>v analýze rozdielov, potrieb v oblasti potenciálu rastu a územných výzvach, Národného programu reforiem SR, špecifických odporúčaniach Rady,</w:t>
      </w:r>
    </w:p>
    <w:p w14:paraId="5F3DC1E0" w14:textId="77777777" w:rsidR="00B650E5" w:rsidRDefault="00B650E5">
      <w:pPr>
        <w:pStyle w:val="Odsekzoznamu"/>
        <w:numPr>
          <w:ilvl w:val="0"/>
          <w:numId w:val="12"/>
        </w:numPr>
        <w:spacing w:before="120" w:after="120"/>
        <w:ind w:left="850" w:hanging="425"/>
        <w:contextualSpacing w:val="0"/>
        <w:jc w:val="both"/>
      </w:pPr>
      <w:r>
        <w:rPr>
          <w:lang w:eastAsia="en-US"/>
        </w:rPr>
        <w:t>vo vybraných tematických cieľoch a očakávaných výsledkoch,</w:t>
      </w:r>
    </w:p>
    <w:p w14:paraId="5F439E17" w14:textId="77777777" w:rsidR="00B650E5" w:rsidRDefault="00B650E5">
      <w:pPr>
        <w:pStyle w:val="Odsekzoznamu"/>
        <w:numPr>
          <w:ilvl w:val="0"/>
          <w:numId w:val="12"/>
        </w:numPr>
        <w:spacing w:before="120" w:after="120"/>
        <w:ind w:left="850" w:hanging="425"/>
        <w:contextualSpacing w:val="0"/>
        <w:jc w:val="both"/>
      </w:pPr>
      <w:r>
        <w:rPr>
          <w:lang w:eastAsia="en-US"/>
        </w:rPr>
        <w:t>v rozdelení podpory podľa tematického cieľa na národnej úrovni, napr. z dôvodu prerozdelenia výkonnostnej rezervy na základe preskúmania výkonnosti, ako aj celkovej orientačnej sumy podpory na ciele súvisiace so zmenou klímy.</w:t>
      </w:r>
    </w:p>
    <w:p w14:paraId="4014D1E4"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v dôsledku zmeny rozvojových potrieb od prijatia PD, a to na základe predloženia správy o pokroku pri vykonávaní PD.</w:t>
      </w:r>
    </w:p>
    <w:p w14:paraId="79C4E321" w14:textId="64D75745"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aj vtedy, ak dôjde k významným zmenám v sociálnej a ekonomickej situácii EÚ (napr. v rámci úpravy balíkov finančných prostriedkov na politiku súdržnosti podľa čl. 7 Nariadenia Rady (EÚ, EURATOM) č.</w:t>
      </w:r>
      <w:r w:rsidR="00A90637">
        <w:rPr>
          <w:lang w:eastAsia="en-US"/>
        </w:rPr>
        <w:t> </w:t>
      </w:r>
      <w:r>
        <w:rPr>
          <w:lang w:eastAsia="en-US"/>
        </w:rPr>
        <w:t>1311/2013, ktorým sa ustanovuje viacročný finančný rámec na roky 2014 – 2020), alebo zmenám v stratégii EÚ na zabezpečenie inteligentného, udržateľného a inkluzívneho rastu.</w:t>
      </w:r>
    </w:p>
    <w:p w14:paraId="114A57E3" w14:textId="1653009A" w:rsidR="00B650E5" w:rsidRDefault="00B650E5">
      <w:pPr>
        <w:pStyle w:val="Odsekzoznamu"/>
        <w:numPr>
          <w:ilvl w:val="0"/>
          <w:numId w:val="211"/>
        </w:numPr>
        <w:spacing w:before="120" w:after="120"/>
        <w:ind w:left="425" w:hanging="425"/>
        <w:contextualSpacing w:val="0"/>
        <w:jc w:val="both"/>
        <w:rPr>
          <w:lang w:eastAsia="en-US"/>
        </w:rPr>
      </w:pPr>
      <w:r>
        <w:rPr>
          <w:lang w:eastAsia="en-US"/>
        </w:rPr>
        <w:t>EK môže v zmysle čl. 23 všeobecného nariadenia požiadať členský štát, aby preskúmal svoju PD a príslušné programy a navrhol ich zmeny.</w:t>
      </w:r>
    </w:p>
    <w:p w14:paraId="6C1A4C58"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z dôvodu oneskoreného nadobudnutia účinnosti nariadenia EÚ pre daný fond.</w:t>
      </w:r>
    </w:p>
    <w:p w14:paraId="47EFC49A" w14:textId="094ADEF4" w:rsidR="00B650E5" w:rsidRDefault="00B650E5">
      <w:pPr>
        <w:pStyle w:val="Odsekzoznamu"/>
        <w:numPr>
          <w:ilvl w:val="0"/>
          <w:numId w:val="211"/>
        </w:numPr>
        <w:spacing w:before="120" w:after="120"/>
        <w:ind w:left="426" w:hanging="426"/>
        <w:contextualSpacing w:val="0"/>
        <w:jc w:val="both"/>
        <w:rPr>
          <w:lang w:eastAsia="en-US"/>
        </w:rPr>
      </w:pPr>
      <w:r>
        <w:rPr>
          <w:lang w:eastAsia="en-US"/>
        </w:rPr>
        <w:t xml:space="preserve">V prípade výskytu skutočností podľa </w:t>
      </w:r>
      <w:hyperlink w:anchor="kapitola_212_ods_6až10" w:history="1">
        <w:r w:rsidRPr="0043089F">
          <w:rPr>
            <w:rStyle w:val="Hypertextovprepojenie"/>
            <w:lang w:eastAsia="en-US"/>
          </w:rPr>
          <w:t>ods</w:t>
        </w:r>
        <w:r>
          <w:rPr>
            <w:rStyle w:val="Hypertextovprepojenie"/>
            <w:lang w:eastAsia="en-US"/>
          </w:rPr>
          <w:t>.</w:t>
        </w:r>
        <w:r w:rsidRPr="0043089F">
          <w:rPr>
            <w:rStyle w:val="Hypertextovprepojenie"/>
            <w:lang w:eastAsia="en-US"/>
          </w:rPr>
          <w:t xml:space="preserve"> 6 až 10</w:t>
        </w:r>
      </w:hyperlink>
      <w:r>
        <w:rPr>
          <w:lang w:eastAsia="en-US"/>
        </w:rPr>
        <w:t>. tejto časti, CKO vypracuje návrh na zmenu prvkov PD, na ktorú sa vzťahuje rozhodnutie EK, a predloží ho na schválenie vláde SR. Po</w:t>
      </w:r>
      <w:r w:rsidR="00A90637">
        <w:rPr>
          <w:lang w:eastAsia="en-US"/>
        </w:rPr>
        <w:t> </w:t>
      </w:r>
      <w:r>
        <w:rPr>
          <w:lang w:eastAsia="en-US"/>
        </w:rPr>
        <w:t>schválení návrhu vládou SR predloží CKO návrh na schválenie EK prostredníctvom SFC2014.</w:t>
      </w:r>
    </w:p>
    <w:p w14:paraId="545632DE" w14:textId="1857E34D" w:rsidR="00B650E5" w:rsidRDefault="00B650E5" w:rsidP="00DE5D89">
      <w:pPr>
        <w:pStyle w:val="Odsekzoznamu"/>
        <w:numPr>
          <w:ilvl w:val="0"/>
          <w:numId w:val="211"/>
        </w:numPr>
        <w:spacing w:before="120" w:after="120"/>
        <w:ind w:left="426" w:hanging="426"/>
        <w:contextualSpacing w:val="0"/>
        <w:jc w:val="both"/>
        <w:rPr>
          <w:lang w:eastAsia="en-US"/>
        </w:rPr>
      </w:pPr>
      <w:r>
        <w:rPr>
          <w:lang w:eastAsia="en-US"/>
        </w:rPr>
        <w:t>V prípade zmeny prvkov PD, na ktoré sa nevzťahuje rozhodnutie EK, CKO vykoná zmenu prvkov PD a informuje o tejto skutočnosti EK do jedného mesiaca od vykonania zmeny.</w:t>
      </w:r>
    </w:p>
    <w:p w14:paraId="09EA5035" w14:textId="77777777" w:rsidR="00B650E5" w:rsidRDefault="00B650E5">
      <w:pPr>
        <w:pStyle w:val="SRK2"/>
        <w:rPr>
          <w:rStyle w:val="Nadpis1Char"/>
          <w:bCs/>
          <w:sz w:val="36"/>
          <w:szCs w:val="26"/>
        </w:rPr>
      </w:pPr>
      <w:bookmarkStart w:id="103" w:name="_Toc453233964"/>
      <w:bookmarkStart w:id="104" w:name="_Toc495649323"/>
      <w:r>
        <w:rPr>
          <w:rStyle w:val="Nadpis1Char"/>
          <w:bCs/>
          <w:sz w:val="36"/>
          <w:szCs w:val="26"/>
        </w:rPr>
        <w:lastRenderedPageBreak/>
        <w:t>2.2</w:t>
      </w:r>
      <w:r>
        <w:t xml:space="preserve"> </w:t>
      </w:r>
      <w:r>
        <w:rPr>
          <w:rStyle w:val="Nadpis1Char"/>
          <w:bCs/>
          <w:sz w:val="36"/>
          <w:szCs w:val="26"/>
        </w:rPr>
        <w:t>Príprava a zmena operačných programov</w:t>
      </w:r>
      <w:bookmarkEnd w:id="98"/>
      <w:bookmarkEnd w:id="99"/>
      <w:bookmarkEnd w:id="103"/>
      <w:bookmarkEnd w:id="104"/>
    </w:p>
    <w:p w14:paraId="7D13C7C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7AE35AC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5, 7, 8, 20, 21, 22, 23, 26 až 40, 52, 55, 59, 96 všeobecného nariadenia </w:t>
      </w:r>
    </w:p>
    <w:p w14:paraId="7F1D92E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14:paraId="2C9A6ED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14:paraId="3B9AA80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14:paraId="372D462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14:paraId="5EE7FFD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14:paraId="054E6F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14:paraId="2D2350F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14:paraId="3EE57FC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14:paraId="0564A92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1BAE4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14:paraId="79E3F665" w14:textId="3165BBE3" w:rsidR="00B650E5" w:rsidRDefault="00B650E5">
      <w:pPr>
        <w:pStyle w:val="Odsekzoznamu"/>
        <w:numPr>
          <w:ilvl w:val="0"/>
          <w:numId w:val="212"/>
        </w:numPr>
        <w:spacing w:before="120" w:after="120"/>
        <w:ind w:left="425" w:hanging="425"/>
        <w:contextualSpacing w:val="0"/>
        <w:jc w:val="both"/>
        <w:rPr>
          <w:lang w:eastAsia="en-US"/>
        </w:rPr>
      </w:pPr>
      <w:bookmarkStart w:id="105" w:name="_Toc389595936"/>
      <w:r>
        <w:rPr>
          <w:lang w:eastAsia="en-US"/>
        </w:rPr>
        <w:t>Postup prípravy OP je upravený v čl. 26 všeobecného nariadenia a v Korigende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w:t>
      </w:r>
      <w:r w:rsidR="00A90637">
        <w:rPr>
          <w:lang w:eastAsia="en-US"/>
        </w:rPr>
        <w:t> </w:t>
      </w:r>
      <w:r>
        <w:rPr>
          <w:lang w:eastAsia="en-US"/>
        </w:rPr>
        <w:t>osobitných ustanoveniach na podporu cieľa Európska územná spolupráca z Európskeho fondu regionálneho rozvoja, pokiaľ ide o vzor programov spolupráce v rámci cieľa Európska územná spolupráca (Ú. v. EÚ L 87, 22.3.2014). OP sú pripravované na obdobie od 1. januára 2014 do</w:t>
      </w:r>
      <w:r w:rsidR="00A90637">
        <w:rPr>
          <w:lang w:eastAsia="en-US"/>
        </w:rPr>
        <w:t> </w:t>
      </w:r>
      <w:r>
        <w:rPr>
          <w:lang w:eastAsia="en-US"/>
        </w:rPr>
        <w:t>31.</w:t>
      </w:r>
      <w:r w:rsidR="00A90637">
        <w:rPr>
          <w:lang w:eastAsia="en-US"/>
        </w:rPr>
        <w:t> </w:t>
      </w:r>
      <w:r>
        <w:rPr>
          <w:lang w:eastAsia="en-US"/>
        </w:rPr>
        <w:t xml:space="preserve">decembra 2020 v spolupráci s partnermi uvedenými v čl. 5 všeobecného nariadenia a delegovaného nariadenia Komisie (EÚ) č. 240/2014, na základe dialógu s EK, v súlade s PD a na základe postupov, ktoré sú vo vzťahu k verejnosti transparentné, v súlade s inštitucionálnym a právnym rámcom SR. Za účelom vypracovania programu zriadi RO pracovnú skupinu. </w:t>
      </w:r>
    </w:p>
    <w:p w14:paraId="39708551" w14:textId="77777777" w:rsidR="00B650E5" w:rsidRDefault="00B650E5">
      <w:pPr>
        <w:pStyle w:val="Odsekzoznamu"/>
        <w:numPr>
          <w:ilvl w:val="0"/>
          <w:numId w:val="212"/>
        </w:numPr>
        <w:spacing w:before="120" w:after="120"/>
        <w:ind w:left="425" w:hanging="425"/>
        <w:contextualSpacing w:val="0"/>
        <w:jc w:val="both"/>
        <w:rPr>
          <w:lang w:eastAsia="en-US"/>
        </w:rPr>
      </w:pPr>
      <w:r>
        <w:rPr>
          <w:lang w:eastAsia="en-US"/>
        </w:rPr>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14:paraId="2CB75250" w14:textId="77777777" w:rsidR="00B650E5" w:rsidRDefault="00B650E5">
      <w:pPr>
        <w:pStyle w:val="SRK3"/>
      </w:pPr>
      <w:bookmarkStart w:id="106" w:name="_Toc453233965"/>
      <w:bookmarkStart w:id="107" w:name="_Toc495649324"/>
      <w:r>
        <w:t>2.2.1 Obsah operačného programu</w:t>
      </w:r>
      <w:bookmarkEnd w:id="105"/>
      <w:bookmarkEnd w:id="106"/>
      <w:bookmarkEnd w:id="107"/>
    </w:p>
    <w:p w14:paraId="0FDD9165" w14:textId="77777777" w:rsidR="00B650E5" w:rsidRDefault="00B650E5">
      <w:pPr>
        <w:pStyle w:val="Odsekzoznamu"/>
        <w:numPr>
          <w:ilvl w:val="0"/>
          <w:numId w:val="213"/>
        </w:numPr>
        <w:spacing w:before="120" w:after="120"/>
        <w:ind w:left="425" w:hanging="425"/>
        <w:contextualSpacing w:val="0"/>
        <w:jc w:val="both"/>
        <w:rPr>
          <w:lang w:eastAsia="en-US"/>
        </w:rPr>
      </w:pPr>
      <w:bookmarkStart w:id="108" w:name="_Toc389595937"/>
      <w:r>
        <w:rPr>
          <w:lang w:eastAsia="en-US"/>
        </w:rPr>
        <w:t xml:space="preserve">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w:t>
      </w:r>
      <w:r>
        <w:rPr>
          <w:lang w:eastAsia="en-US"/>
        </w:rPr>
        <w:lastRenderedPageBreak/>
        <w:t>v prílohe II vykonávacieho nariadenia Komisie č. 288/2014. RO pri vypracovaní OP</w:t>
      </w:r>
      <w:r w:rsidR="00A90637">
        <w:rPr>
          <w:lang w:eastAsia="en-US"/>
        </w:rPr>
        <w:t xml:space="preserve"> </w:t>
      </w:r>
      <w:r>
        <w:rPr>
          <w:lang w:eastAsia="en-US"/>
        </w:rPr>
        <w:t>RH postupuje podľa vzoru uvedeného v prílohe I vykonávacieho nariadenia Komisie č. 771/2014.</w:t>
      </w:r>
    </w:p>
    <w:p w14:paraId="421F8A5C" w14:textId="26E5B45B" w:rsidR="00B650E5" w:rsidRDefault="00B650E5">
      <w:pPr>
        <w:pStyle w:val="Odsekzoznamu"/>
        <w:numPr>
          <w:ilvl w:val="0"/>
          <w:numId w:val="213"/>
        </w:numPr>
        <w:spacing w:before="120" w:after="120"/>
        <w:ind w:left="425" w:hanging="425"/>
        <w:contextualSpacing w:val="0"/>
        <w:jc w:val="both"/>
        <w:rPr>
          <w:lang w:eastAsia="en-US"/>
        </w:rPr>
      </w:pPr>
      <w:r>
        <w:rPr>
          <w:lang w:eastAsia="en-US"/>
        </w:rPr>
        <w:t>RO stanoví stratégiu OP s prínosom pre stratégiu Európa 2020 v súlade so všeobecným nariadením, pravidlami pre jednotlivé EŠIF a s obsahom PD. Každý OP obsahuje opatrenia na</w:t>
      </w:r>
      <w:r w:rsidR="00A90637">
        <w:rPr>
          <w:lang w:eastAsia="en-US"/>
        </w:rPr>
        <w:t> </w:t>
      </w:r>
      <w:r>
        <w:rPr>
          <w:lang w:eastAsia="en-US"/>
        </w:rPr>
        <w:t xml:space="preserve">zabezpečenie účinného, efektívneho a koordinovaného vykonávania EŠIF. </w:t>
      </w:r>
    </w:p>
    <w:p w14:paraId="4F0BCDE1" w14:textId="5544C613"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w:t>
      </w:r>
      <w:r w:rsidR="00C36322">
        <w:rPr>
          <w:lang w:eastAsia="en-US"/>
        </w:rPr>
        <w:t> </w:t>
      </w:r>
      <w:r>
        <w:rPr>
          <w:lang w:eastAsia="en-US"/>
        </w:rPr>
        <w:t>jednotlivé EŠIF.</w:t>
      </w:r>
    </w:p>
    <w:p w14:paraId="12E5FE2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Ak sa OP podieľa na makroregionálnych stratégiách, RO v príslušnom OP a v súlade s potrebami oblasti OP stanoví príspevok plánovaných intervencií do makroregionálnych stratégií.</w:t>
      </w:r>
    </w:p>
    <w:p w14:paraId="1C5376E8" w14:textId="4A6F9786" w:rsidR="00B650E5" w:rsidRDefault="00B650E5">
      <w:pPr>
        <w:pStyle w:val="Odsekzoznamu"/>
        <w:numPr>
          <w:ilvl w:val="0"/>
          <w:numId w:val="213"/>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w:t>
      </w:r>
      <w:r w:rsidR="00412CA6">
        <w:rPr>
          <w:lang w:eastAsia="en-US"/>
        </w:rPr>
        <w:t> </w:t>
      </w:r>
      <w:r>
        <w:rPr>
          <w:lang w:eastAsia="en-US"/>
        </w:rPr>
        <w:t>vykonávaní OP zameraného na dosiahnutie cieľov ako základu pre monitorovanie, hodnotenie a preskúmanie výkonnosti. Zároveň RO pre každý EŠIF v zmysle pravidiel pre jednotlivé EŠIF stanoví spoločné ukazovatele.</w:t>
      </w:r>
    </w:p>
    <w:p w14:paraId="4905753A"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14:paraId="716F0ED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14:paraId="4C98D646"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zabezpečí vypracovanie ex ante hodnotenia OP podľa čl. 55 všeobecného nariadenia.</w:t>
      </w:r>
    </w:p>
    <w:p w14:paraId="1E610DA1" w14:textId="3614DA9A" w:rsidR="00B650E5" w:rsidRDefault="00B650E5">
      <w:pPr>
        <w:pStyle w:val="Odsekzoznamu"/>
        <w:numPr>
          <w:ilvl w:val="0"/>
          <w:numId w:val="213"/>
        </w:numPr>
        <w:spacing w:before="120" w:after="120"/>
        <w:ind w:left="425" w:hanging="425"/>
        <w:contextualSpacing w:val="0"/>
        <w:jc w:val="both"/>
        <w:rPr>
          <w:lang w:eastAsia="en-US"/>
        </w:rPr>
      </w:pPr>
      <w:r>
        <w:rPr>
          <w:lang w:eastAsia="en-US"/>
        </w:rPr>
        <w:t>OP sa skladá z PO. PO sa týka jedného fondu a jednej kategórie regiónu s výnimkou KF a bez</w:t>
      </w:r>
      <w:r w:rsidR="00412CA6">
        <w:rPr>
          <w:lang w:eastAsia="en-US"/>
        </w:rPr>
        <w:t> </w:t>
      </w:r>
      <w:r>
        <w:rPr>
          <w:lang w:eastAsia="en-US"/>
        </w:rPr>
        <w:t>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14:paraId="0C5496EF"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s prihliadnutím na jeho obsah a ciele opíše aj integrovaný prístup k územnému rozvoju so zreteľom na PD a uvedie sa, ako daný OP prispieva k dosiahnutiu jeho cieľov a k očakávaným výsledkom.</w:t>
      </w:r>
    </w:p>
    <w:p w14:paraId="242F003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marginalizované komunity a osoby so zdravotným postihnutím, a podľa potreby prínos k integrovanému prístupu stanovenému v PD. </w:t>
      </w:r>
    </w:p>
    <w:p w14:paraId="3A27994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ďalej určí:</w:t>
      </w:r>
    </w:p>
    <w:p w14:paraId="1C2F9F65"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RO, prípadne CO a OA;</w:t>
      </w:r>
    </w:p>
    <w:p w14:paraId="6A02A96D"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orgán, ktorému má EK poukazovať platby;</w:t>
      </w:r>
    </w:p>
    <w:p w14:paraId="032A9C3C"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14:paraId="14B850EA"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lastRenderedPageBreak/>
        <w:t>So zreteľom na obsah PD a s prihliadnutím na inštitucionálny a právny rámec SR, RO v OP tiež stanoví:</w:t>
      </w:r>
    </w:p>
    <w:p w14:paraId="7E04CD70"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14:paraId="194A4DE2"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14:paraId="529A84E2"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14:paraId="0CE8AB45"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14:paraId="54FF2F63"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14:paraId="5CC9C114" w14:textId="4EDF465F" w:rsidR="00B650E5" w:rsidRDefault="00B650E5">
      <w:pPr>
        <w:pStyle w:val="Odsekzoznamu"/>
        <w:numPr>
          <w:ilvl w:val="0"/>
          <w:numId w:val="216"/>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w:t>
      </w:r>
      <w:r w:rsidR="00412CA6">
        <w:rPr>
          <w:lang w:eastAsia="en-US"/>
        </w:rPr>
        <w:t xml:space="preserve">vykonávaní </w:t>
      </w:r>
      <w:r>
        <w:rPr>
          <w:lang w:eastAsia="en-US"/>
        </w:rPr>
        <w:t>OP, a najmä v súvislosti s prístupom k finančným prostriedkom, pričom sa vezmú do úvahy potreby rôznych cieľových skupín, ktorým hrozí takáto diskriminácia, a najmä požiadavky na</w:t>
      </w:r>
      <w:r w:rsidR="00412CA6">
        <w:rPr>
          <w:lang w:eastAsia="en-US"/>
        </w:rPr>
        <w:t> </w:t>
      </w:r>
      <w:r>
        <w:rPr>
          <w:lang w:eastAsia="en-US"/>
        </w:rPr>
        <w:t>zabezpečenie prístupu osôb so zdravotným postihnutím;</w:t>
      </w:r>
    </w:p>
    <w:p w14:paraId="43010D7B"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príspevku OP k podpore rovnosti medzi mužmi a ženami, a v prípade potreby opis opatrení na zabezpečenie začlenenia rodového hľadiska na úrovni OP a operácie.</w:t>
      </w:r>
    </w:p>
    <w:p w14:paraId="1A6F1322"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14:paraId="323DC4F6"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14:paraId="06B9E165" w14:textId="77777777" w:rsidR="00B650E5" w:rsidRDefault="00B650E5">
      <w:pPr>
        <w:pStyle w:val="SRK3"/>
      </w:pPr>
      <w:bookmarkStart w:id="109" w:name="_Toc453233966"/>
      <w:bookmarkStart w:id="110" w:name="_Toc495649325"/>
      <w:r>
        <w:t>2.2.2 Prijatie a zmena operačného programu</w:t>
      </w:r>
      <w:bookmarkEnd w:id="108"/>
      <w:bookmarkEnd w:id="109"/>
      <w:bookmarkEnd w:id="110"/>
    </w:p>
    <w:p w14:paraId="240892DF"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14:paraId="77F72ACF"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14:paraId="60323112"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14:paraId="009172B5"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14:paraId="66EA4432"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lastRenderedPageBreak/>
        <w:t>EK v súlade s pravidlami pre jednotlivé EŠIF schváli každý OP najneskôr šesť mesiacov po jeho predložení príslušným RO za predpokladu, že všetky pripomienky EK boli primerane zohľadnené.</w:t>
      </w:r>
    </w:p>
    <w:p w14:paraId="44472614"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14:paraId="788CB27E"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r>
        <w:rPr>
          <w:rStyle w:val="Odkaznapoznmkupodiarou"/>
          <w:lang w:eastAsia="en-US"/>
        </w:rPr>
        <w:footnoteReference w:id="20"/>
      </w:r>
      <w:r>
        <w:rPr>
          <w:lang w:eastAsia="en-US"/>
        </w:rPr>
        <w:t xml:space="preserve"> stanovených v OP, a to pri zohľadnení všeobecného nariadenia, pravidiel pre jednotlivé EŠIF, princípov uvedených v čl. 5, 7, 8 všeobecného nariadenia, ako aj PD.</w:t>
      </w:r>
    </w:p>
    <w:p w14:paraId="48A874D3" w14:textId="669B816D" w:rsidR="00B650E5" w:rsidRDefault="00B650E5">
      <w:pPr>
        <w:pStyle w:val="Odsekzoznamu"/>
        <w:numPr>
          <w:ilvl w:val="0"/>
          <w:numId w:val="217"/>
        </w:numPr>
        <w:spacing w:before="120" w:after="120"/>
        <w:ind w:left="425" w:hanging="425"/>
        <w:contextualSpacing w:val="0"/>
        <w:jc w:val="both"/>
        <w:rPr>
          <w:lang w:eastAsia="en-US"/>
        </w:rPr>
      </w:pPr>
      <w:r>
        <w:rPr>
          <w:lang w:eastAsia="en-US"/>
        </w:rPr>
        <w:t>Zmena OP sa realizuje v zmysle čl. 30 a 96 všeobecného nariadenia</w:t>
      </w:r>
      <w:r w:rsidR="00110145">
        <w:rPr>
          <w:lang w:eastAsia="en-US"/>
        </w:rPr>
        <w:t>, resp. v zmysle článku 20</w:t>
      </w:r>
      <w:r>
        <w:rPr>
          <w:lang w:eastAsia="en-US"/>
        </w:rPr>
        <w:t xml:space="preserve"> </w:t>
      </w:r>
      <w:r w:rsidR="00110145">
        <w:rPr>
          <w:lang w:eastAsia="en-US"/>
        </w:rPr>
        <w:t>nariadenia o ENRF.</w:t>
      </w:r>
    </w:p>
    <w:p w14:paraId="01968F9C" w14:textId="78154C17" w:rsidR="00B650E5" w:rsidRDefault="00B650E5" w:rsidP="00742DC5">
      <w:pPr>
        <w:pStyle w:val="Odsekzoznamu"/>
        <w:numPr>
          <w:ilvl w:val="0"/>
          <w:numId w:val="217"/>
        </w:numPr>
        <w:spacing w:before="120" w:after="120"/>
        <w:ind w:left="426" w:hanging="426"/>
        <w:contextualSpacing w:val="0"/>
        <w:jc w:val="both"/>
        <w:rPr>
          <w:lang w:eastAsia="en-US"/>
        </w:rPr>
      </w:pPr>
      <w:r w:rsidRPr="00B80C21">
        <w:rPr>
          <w:lang w:eastAsia="en-US"/>
        </w:rPr>
        <w:t>V prípade potreby zmeny prvkov OP, na ktoré sa vzťahuje rozhodnutie EK,</w:t>
      </w:r>
      <w:r w:rsidR="00110145" w:rsidRPr="00110145">
        <w:rPr>
          <w:lang w:eastAsia="en-US"/>
        </w:rPr>
        <w:t xml:space="preserve"> resp. v prípade </w:t>
      </w:r>
      <w:r w:rsidR="001769A1">
        <w:rPr>
          <w:lang w:eastAsia="en-US"/>
        </w:rPr>
        <w:t xml:space="preserve">zmeny </w:t>
      </w:r>
      <w:r w:rsidR="00110145" w:rsidRPr="00110145">
        <w:rPr>
          <w:lang w:eastAsia="en-US"/>
        </w:rPr>
        <w:t>OP</w:t>
      </w:r>
      <w:r w:rsidR="00110145">
        <w:rPr>
          <w:lang w:eastAsia="en-US"/>
        </w:rPr>
        <w:t> </w:t>
      </w:r>
      <w:r w:rsidR="00110145" w:rsidRPr="00110145">
        <w:rPr>
          <w:lang w:eastAsia="en-US"/>
        </w:rPr>
        <w:t>RH, ktorá nepodlieha zjednodušen</w:t>
      </w:r>
      <w:r w:rsidR="001769A1">
        <w:rPr>
          <w:lang w:eastAsia="en-US"/>
        </w:rPr>
        <w:t>ému postupu</w:t>
      </w:r>
      <w:r w:rsidR="00110145">
        <w:rPr>
          <w:lang w:eastAsia="en-US"/>
        </w:rPr>
        <w:t>,</w:t>
      </w:r>
      <w:r w:rsidRPr="00B80C21">
        <w:rPr>
          <w:lang w:eastAsia="en-US"/>
        </w:rPr>
        <w:t xml:space="preserve"> RO vypracuje návrh zmeny OP a predloží ho na schválenie </w:t>
      </w:r>
      <w:r w:rsidR="00721F46">
        <w:rPr>
          <w:lang w:eastAsia="en-US"/>
        </w:rPr>
        <w:t>vláde SR</w:t>
      </w:r>
      <w:r w:rsidRPr="00B80C21">
        <w:rPr>
          <w:lang w:eastAsia="en-US"/>
        </w:rPr>
        <w:t>.</w:t>
      </w:r>
      <w:r>
        <w:rPr>
          <w:lang w:eastAsia="en-US"/>
        </w:rPr>
        <w:t xml:space="preserve"> Po schválení návrhu </w:t>
      </w:r>
      <w:r w:rsidR="00721F46">
        <w:rPr>
          <w:lang w:eastAsia="en-US"/>
        </w:rPr>
        <w:t>vládou SR</w:t>
      </w:r>
      <w:r w:rsidR="00D3386A">
        <w:rPr>
          <w:lang w:eastAsia="en-US"/>
        </w:rPr>
        <w:t xml:space="preserve"> </w:t>
      </w:r>
      <w:r>
        <w:rPr>
          <w:lang w:eastAsia="en-US"/>
        </w:rPr>
        <w:t>predloží RO návrh na</w:t>
      </w:r>
      <w:r w:rsidR="00412CA6">
        <w:rPr>
          <w:lang w:eastAsia="en-US"/>
        </w:rPr>
        <w:t> </w:t>
      </w:r>
      <w:r>
        <w:rPr>
          <w:lang w:eastAsia="en-US"/>
        </w:rPr>
        <w:t>schválenie EK prostredníctvom SFC2014.</w:t>
      </w:r>
    </w:p>
    <w:p w14:paraId="080FF5B1" w14:textId="4478F9B4" w:rsidR="00B650E5" w:rsidRDefault="00B650E5" w:rsidP="00742DC5">
      <w:pPr>
        <w:pStyle w:val="Odsekzoznamu"/>
        <w:numPr>
          <w:ilvl w:val="0"/>
          <w:numId w:val="217"/>
        </w:numPr>
        <w:spacing w:before="120" w:after="120"/>
        <w:ind w:left="426" w:hanging="426"/>
        <w:contextualSpacing w:val="0"/>
        <w:jc w:val="both"/>
        <w:rPr>
          <w:lang w:eastAsia="en-US"/>
        </w:rPr>
      </w:pPr>
      <w:r>
        <w:rPr>
          <w:lang w:eastAsia="en-US"/>
        </w:rPr>
        <w:t xml:space="preserve">V prípade potreby zmeny prvkov OP, na ktoré sa nevzťahuje rozhodnutie EK, </w:t>
      </w:r>
      <w:r w:rsidR="00742DC5" w:rsidRPr="00742DC5">
        <w:rPr>
          <w:lang w:eastAsia="en-US"/>
        </w:rPr>
        <w:t xml:space="preserve">resp. v prípade </w:t>
      </w:r>
      <w:r w:rsidR="001769A1">
        <w:rPr>
          <w:lang w:eastAsia="en-US"/>
        </w:rPr>
        <w:t xml:space="preserve">zmeny </w:t>
      </w:r>
      <w:r w:rsidR="00742DC5" w:rsidRPr="00742DC5">
        <w:rPr>
          <w:lang w:eastAsia="en-US"/>
        </w:rPr>
        <w:t>OP RH, ktorá podlieha zjednodušen</w:t>
      </w:r>
      <w:r w:rsidR="001769A1">
        <w:rPr>
          <w:lang w:eastAsia="en-US"/>
        </w:rPr>
        <w:t>ému postupu</w:t>
      </w:r>
      <w:r w:rsidR="00742DC5" w:rsidRPr="00742DC5">
        <w:rPr>
          <w:lang w:eastAsia="en-US"/>
        </w:rPr>
        <w:t xml:space="preserve">, </w:t>
      </w:r>
      <w:r>
        <w:rPr>
          <w:lang w:eastAsia="en-US"/>
        </w:rPr>
        <w:t>RO vykoná zmenu prvkov OP a informuje o tejto skutočnosti EK do jedného mesiaca od vykonania zmeny</w:t>
      </w:r>
      <w:r w:rsidR="00742DC5">
        <w:rPr>
          <w:lang w:eastAsia="en-US"/>
        </w:rPr>
        <w:t xml:space="preserve">, </w:t>
      </w:r>
      <w:r w:rsidR="00742DC5" w:rsidRPr="00742DC5">
        <w:rPr>
          <w:lang w:eastAsia="en-US"/>
        </w:rPr>
        <w:t>v prípade OP RH RO zasiela EK žiadosť o schválenie zmeny na základe zjednodušeného postupu</w:t>
      </w:r>
      <w:r w:rsidR="00D3386A">
        <w:rPr>
          <w:lang w:eastAsia="en-US"/>
        </w:rPr>
        <w:t>.</w:t>
      </w:r>
    </w:p>
    <w:p w14:paraId="67514C9C" w14:textId="77777777" w:rsidR="00B650E5" w:rsidRDefault="00B650E5">
      <w:pPr>
        <w:pStyle w:val="SRK2"/>
        <w:rPr>
          <w:rStyle w:val="Nadpis1Char"/>
          <w:bCs/>
          <w:sz w:val="36"/>
          <w:szCs w:val="26"/>
        </w:rPr>
      </w:pPr>
      <w:bookmarkStart w:id="111" w:name="_Toc453233967"/>
      <w:bookmarkStart w:id="112" w:name="_Toc495649326"/>
      <w:r>
        <w:rPr>
          <w:rStyle w:val="Nadpis1Char"/>
          <w:bCs/>
          <w:sz w:val="36"/>
          <w:szCs w:val="26"/>
        </w:rPr>
        <w:t>2.3</w:t>
      </w:r>
      <w:r>
        <w:t xml:space="preserve"> </w:t>
      </w:r>
      <w:r>
        <w:rPr>
          <w:rStyle w:val="Nadpis1Char"/>
          <w:bCs/>
          <w:sz w:val="36"/>
          <w:szCs w:val="26"/>
        </w:rPr>
        <w:t xml:space="preserve">Riadiaca dokumentácia na úrovni </w:t>
      </w:r>
      <w:bookmarkEnd w:id="91"/>
      <w:r>
        <w:rPr>
          <w:rStyle w:val="Nadpis1Char"/>
          <w:bCs/>
          <w:sz w:val="36"/>
          <w:szCs w:val="26"/>
        </w:rPr>
        <w:t>operačného programu</w:t>
      </w:r>
      <w:bookmarkEnd w:id="111"/>
      <w:bookmarkEnd w:id="112"/>
    </w:p>
    <w:p w14:paraId="34F4E2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bookmarkStart w:id="113" w:name="_Toc378947483"/>
      <w:r>
        <w:rPr>
          <w:u w:val="single"/>
        </w:rPr>
        <w:t>Relevantná úprava v legislatíve EÚ:</w:t>
      </w:r>
      <w:r>
        <w:rPr>
          <w:bCs/>
          <w:i/>
          <w:iCs/>
          <w:sz w:val="22"/>
        </w:rPr>
        <w:t xml:space="preserve"> </w:t>
      </w:r>
    </w:p>
    <w:p w14:paraId="31A94C3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r>
        <w:rPr>
          <w:bCs/>
          <w:i/>
          <w:iCs/>
          <w:sz w:val="22"/>
        </w:rPr>
        <w:t xml:space="preserve">Čl. 72, 74, 122 a 125 všeobecného nariadenia </w:t>
      </w:r>
    </w:p>
    <w:p w14:paraId="46DD780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
          <w:sz w:val="22"/>
        </w:rPr>
      </w:pPr>
      <w:r>
        <w:rPr>
          <w:bCs/>
          <w:i/>
          <w:iCs/>
          <w:sz w:val="22"/>
        </w:rPr>
        <w:t>Čl. 25 Delegovaného nariadenia EK č. 480/2014</w:t>
      </w:r>
    </w:p>
    <w:p w14:paraId="3952782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2BD8B20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rPr>
      </w:pPr>
      <w:r>
        <w:rPr>
          <w:bCs/>
          <w:i/>
          <w:iCs/>
          <w:sz w:val="22"/>
        </w:rPr>
        <w:t>§ 7 zákona o príspevku z EŠIF</w:t>
      </w:r>
    </w:p>
    <w:p w14:paraId="3331CCE5" w14:textId="77777777" w:rsidR="00B650E5" w:rsidRDefault="00B650E5">
      <w:pPr>
        <w:numPr>
          <w:ilvl w:val="0"/>
          <w:numId w:val="294"/>
        </w:numPr>
        <w:spacing w:before="120" w:after="120"/>
        <w:ind w:left="426" w:hanging="426"/>
        <w:jc w:val="both"/>
        <w:rPr>
          <w:szCs w:val="22"/>
          <w:lang w:eastAsia="en-US"/>
        </w:rPr>
      </w:pPr>
      <w:r>
        <w:rPr>
          <w:szCs w:val="22"/>
          <w:lang w:eastAsia="en-US"/>
        </w:rPr>
        <w:t xml:space="preserve">RO vypracúva riadiacu dokumentáciu na úrovni OP s cieľom splnenia podmienok kladených legislatívou EÚ a SR na riadenie OP v súlade so zásadou riadneho finančného hospodárenia. </w:t>
      </w:r>
    </w:p>
    <w:p w14:paraId="188E42B0" w14:textId="77777777" w:rsidR="00B650E5" w:rsidRDefault="00B650E5">
      <w:pPr>
        <w:numPr>
          <w:ilvl w:val="0"/>
          <w:numId w:val="294"/>
        </w:numPr>
        <w:spacing w:before="120" w:after="120"/>
        <w:ind w:left="426" w:hanging="426"/>
        <w:jc w:val="both"/>
        <w:rPr>
          <w:szCs w:val="22"/>
          <w:lang w:eastAsia="en-US"/>
        </w:rPr>
      </w:pPr>
      <w:r>
        <w:rPr>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14:paraId="24A11715" w14:textId="77777777" w:rsidR="00B650E5" w:rsidRDefault="00B650E5">
      <w:pPr>
        <w:numPr>
          <w:ilvl w:val="0"/>
          <w:numId w:val="294"/>
        </w:numPr>
        <w:spacing w:before="120" w:after="120"/>
        <w:ind w:left="426" w:hanging="426"/>
        <w:jc w:val="both"/>
        <w:rPr>
          <w:color w:val="365F91"/>
        </w:rPr>
      </w:pPr>
      <w:r>
        <w:t>Riadiacu dokumentáciu na úrovni OP RO vypracúva s cieľom bližšej špecifikácie výkonu jednotlivých činností</w:t>
      </w:r>
      <w:r w:rsidR="006F3B93">
        <w:t xml:space="preserve">, </w:t>
      </w:r>
      <w:r>
        <w:t xml:space="preserve"> ako aj bližšieho definovania podmienok a zásad stanovených v príslušnom OP.</w:t>
      </w:r>
    </w:p>
    <w:p w14:paraId="52FF3C7F" w14:textId="77777777" w:rsidR="00B650E5" w:rsidRDefault="00B650E5">
      <w:pPr>
        <w:pStyle w:val="SRK3"/>
      </w:pPr>
      <w:bookmarkStart w:id="114" w:name="_Toc453233968"/>
      <w:bookmarkStart w:id="115" w:name="_Toc495649327"/>
      <w:r>
        <w:t>2.3.1 Manuál procedúr</w:t>
      </w:r>
      <w:bookmarkEnd w:id="113"/>
      <w:bookmarkEnd w:id="114"/>
      <w:bookmarkEnd w:id="115"/>
    </w:p>
    <w:p w14:paraId="24C0B2FF" w14:textId="77777777" w:rsidR="00B650E5" w:rsidRDefault="00B650E5">
      <w:pPr>
        <w:numPr>
          <w:ilvl w:val="0"/>
          <w:numId w:val="295"/>
        </w:numPr>
        <w:spacing w:before="120" w:after="120"/>
        <w:ind w:left="426" w:hanging="426"/>
        <w:jc w:val="both"/>
      </w:pPr>
      <w:bookmarkStart w:id="116" w:name="_Toc378947484"/>
      <w:r>
        <w:t xml:space="preserve">Manuál procedúr v písomnej forme zachytáva procesy a postupy zabezpečenia primeranej kontroly priebehu OP (audit trail) na úrovni jednotlivých pracovných pozícií v organizačnej </w:t>
      </w:r>
      <w:r>
        <w:lastRenderedPageBreak/>
        <w:t>štruktúre RO, SO, PJ alebo gestora HP, časové limity na realizáciu jednotlivých postupov a vstupné a výstupné dokumenty jednotlivých postupov a podmienky uchovávania dokumentov.</w:t>
      </w:r>
    </w:p>
    <w:p w14:paraId="0F9FB8D5" w14:textId="77777777" w:rsidR="00B650E5" w:rsidRDefault="00B650E5">
      <w:pPr>
        <w:numPr>
          <w:ilvl w:val="0"/>
          <w:numId w:val="295"/>
        </w:numPr>
        <w:spacing w:before="120" w:after="120"/>
        <w:ind w:left="426" w:hanging="426"/>
        <w:jc w:val="both"/>
      </w:pPr>
      <w:r>
        <w:t>Manuál procedúr zachytáva procesné aspekty realizácie OP a je vypracovaný v súlade s programovými dokumentmi vypracovanými v zmysle Systému riadenia EŠIF, Systému finančného riadenia a ostatnými relevantnými riadiacimi dokumentmi v súlade so vzorom</w:t>
      </w:r>
      <w:r>
        <w:rPr>
          <w:rStyle w:val="Odkaznapoznmkupodiarou"/>
        </w:rPr>
        <w:footnoteReference w:id="21"/>
      </w:r>
      <w:r>
        <w:t xml:space="preserve"> vydaným CKO, ktorý definuje minimálne požiadavky na jeho obsah. 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r w:rsidR="00760B8C">
        <w:t>.</w:t>
      </w:r>
    </w:p>
    <w:p w14:paraId="7D826ED5" w14:textId="77777777" w:rsidR="00B650E5" w:rsidRDefault="00B650E5">
      <w:pPr>
        <w:numPr>
          <w:ilvl w:val="0"/>
          <w:numId w:val="295"/>
        </w:numPr>
        <w:spacing w:before="120" w:after="120"/>
        <w:ind w:left="426" w:hanging="426"/>
        <w:jc w:val="both"/>
      </w:pPr>
      <w:r>
        <w:t>Za jednotlivými kapitolami manuálu procedúr popisujúcimi procesy a postupy alebo ako samostatnú komplexnú časť manuálu procedúr, RO doplní názorný audit trail jednotlivých procesov a postupov.</w:t>
      </w:r>
    </w:p>
    <w:p w14:paraId="0FE2EF12" w14:textId="77777777" w:rsidR="00B650E5" w:rsidRDefault="00B650E5">
      <w:pPr>
        <w:numPr>
          <w:ilvl w:val="0"/>
          <w:numId w:val="295"/>
        </w:numPr>
        <w:spacing w:before="120" w:after="120"/>
        <w:ind w:left="426" w:hanging="426"/>
        <w:jc w:val="both"/>
      </w:pPr>
      <w:r>
        <w:t>Forma popisu jednotlivých procesov musí spĺňať podmienku dostatočnej prehľadnosti a najmä úplnosti informácie. To znamená, že popis procesu, resp. kombinácia popisov k procesu obsahuje minimálne nasledujúce prvky:</w:t>
      </w:r>
    </w:p>
    <w:p w14:paraId="0FFA4B9A" w14:textId="77777777" w:rsidR="00B650E5" w:rsidRDefault="00B650E5">
      <w:pPr>
        <w:pStyle w:val="Odsekzoznamu"/>
        <w:numPr>
          <w:ilvl w:val="2"/>
          <w:numId w:val="296"/>
        </w:numPr>
        <w:spacing w:before="120" w:after="120"/>
        <w:ind w:left="850" w:hanging="425"/>
        <w:contextualSpacing w:val="0"/>
        <w:jc w:val="both"/>
      </w:pPr>
      <w:r>
        <w:t>názov procesu;</w:t>
      </w:r>
    </w:p>
    <w:p w14:paraId="1033000E" w14:textId="251B3160" w:rsidR="00B650E5" w:rsidRDefault="00B650E5" w:rsidP="00997CB0">
      <w:pPr>
        <w:pStyle w:val="Odsekzoznamu"/>
        <w:numPr>
          <w:ilvl w:val="2"/>
          <w:numId w:val="296"/>
        </w:numPr>
        <w:spacing w:before="120" w:after="120"/>
        <w:ind w:left="851" w:hanging="425"/>
        <w:contextualSpacing w:val="0"/>
        <w:jc w:val="both"/>
      </w:pPr>
      <w:r>
        <w:t xml:space="preserve">zodpovednosť (jednoznačne definovaná na úrovni pracovnej pozície, nesúcej zodpovednosť za danú činnosť v súlade s MP </w:t>
      </w:r>
      <w:r w:rsidR="00760B8C">
        <w:t xml:space="preserve">ÚV SR </w:t>
      </w:r>
      <w:r>
        <w:t>č. 22 k </w:t>
      </w:r>
      <w:r w:rsidR="00760B8C" w:rsidRPr="00760B8C">
        <w:t xml:space="preserve">administratívnym kapacitám </w:t>
      </w:r>
      <w:r w:rsidR="00760B8C">
        <w:t>EŠIF</w:t>
      </w:r>
      <w:r w:rsidR="00760B8C" w:rsidRPr="00760B8C">
        <w:t xml:space="preserve"> subjektov zapojených do riadenia, implementácie, kontroly a auditu</w:t>
      </w:r>
      <w:r>
        <w:t xml:space="preserve"> EŠIF v </w:t>
      </w:r>
      <w:r w:rsidR="00760B8C">
        <w:t>PO</w:t>
      </w:r>
      <w:r>
        <w:t xml:space="preserve"> 2014</w:t>
      </w:r>
      <w:r w:rsidR="0023261D">
        <w:t xml:space="preserve"> </w:t>
      </w:r>
      <w:r>
        <w:t>-</w:t>
      </w:r>
      <w:r w:rsidR="0023261D">
        <w:t xml:space="preserve"> </w:t>
      </w:r>
      <w:r>
        <w:t>2020; ak je to nevyhnuté pre jednoznačné definovanie činnosti, je možné zadefinovať aj participujúce pracovné pozície s jasným vyznačením, že na uvedenej činnosti iba participujú);</w:t>
      </w:r>
    </w:p>
    <w:p w14:paraId="0F95D9E7" w14:textId="77777777" w:rsidR="00B650E5" w:rsidRDefault="00B650E5">
      <w:pPr>
        <w:pStyle w:val="Odsekzoznamu"/>
        <w:numPr>
          <w:ilvl w:val="2"/>
          <w:numId w:val="296"/>
        </w:numPr>
        <w:spacing w:before="120" w:after="120"/>
        <w:ind w:left="850" w:hanging="425"/>
        <w:contextualSpacing w:val="0"/>
        <w:jc w:val="both"/>
      </w:pPr>
      <w:r>
        <w:t>časový limit (lehota na vykonanie danej činnosti, daná zmluvnými vzťahmi, predpismi alebo je z nich odvodená napr. ihneď, 5 pracovných dní a pod.). Lehota môže byť aj podmienená, napr. 5 dní po doručení dokumentu, avšak celkový proces, resp. jeho trvanie musí byť časovo riadené. Lehoty počítané podľa dní sú v manuáli procedúr určované v pracovných dňoch;</w:t>
      </w:r>
    </w:p>
    <w:p w14:paraId="02D52AF8" w14:textId="77777777" w:rsidR="00B650E5" w:rsidRDefault="00B650E5">
      <w:pPr>
        <w:pStyle w:val="Odsekzoznamu"/>
        <w:numPr>
          <w:ilvl w:val="2"/>
          <w:numId w:val="296"/>
        </w:numPr>
        <w:spacing w:before="120" w:after="120"/>
        <w:ind w:left="850" w:hanging="425"/>
        <w:contextualSpacing w:val="0"/>
        <w:jc w:val="both"/>
      </w:pPr>
      <w:r>
        <w:t>dokumenty (dokumenty, ktoré iniciujú danú činnosť (vstupy) a dokumenty, ktoré sa vygenerujú/modifikujú ako výstup činnosti);</w:t>
      </w:r>
    </w:p>
    <w:p w14:paraId="46DE1A79" w14:textId="1F41ECF2" w:rsidR="00B650E5" w:rsidRDefault="00B650E5">
      <w:pPr>
        <w:pStyle w:val="Odsekzoznamu"/>
        <w:numPr>
          <w:ilvl w:val="2"/>
          <w:numId w:val="296"/>
        </w:numPr>
        <w:spacing w:before="120" w:after="120"/>
        <w:ind w:left="850" w:hanging="425"/>
        <w:contextualSpacing w:val="0"/>
        <w:jc w:val="both"/>
      </w:pPr>
      <w:r>
        <w:t>podpora ITMS 2014+ (status procesného prechodu v ITMS 2014+ dosiahnutý danou činnosťou, ak relevantné).</w:t>
      </w:r>
    </w:p>
    <w:p w14:paraId="51AA7E82" w14:textId="0AC4728C" w:rsidR="00B650E5" w:rsidRDefault="00B650E5">
      <w:pPr>
        <w:numPr>
          <w:ilvl w:val="0"/>
          <w:numId w:val="295"/>
        </w:numPr>
        <w:spacing w:before="120" w:after="120"/>
        <w:ind w:left="426" w:hanging="426"/>
        <w:jc w:val="both"/>
      </w:pPr>
      <w:r>
        <w:t>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v priebehu kalendárneho roka tak, že akákoľvek zmena bude vykonaná vydaním konsolidovanej verzie. RO konsolidovanú verziu uchováva minimálne v elektronickej podobe, pričom schváleniu a podpisu podlieha úvodná strana dokumentu s</w:t>
      </w:r>
      <w:r w:rsidR="00760B8C">
        <w:t> </w:t>
      </w:r>
      <w:r>
        <w:t xml:space="preserve">uvedením dátumu platnosti a zoznamom vykonaných zmien. RO konsolidovanú verziu v papierovej podobe v počte rovnopisov podľa vnútorných pravidiel vydáva minimálne vždy </w:t>
      </w:r>
      <w:r>
        <w:lastRenderedPageBreak/>
        <w:t>pri</w:t>
      </w:r>
      <w:r w:rsidR="00760B8C">
        <w:t> </w:t>
      </w:r>
      <w:r>
        <w:t>prvej potrebnej aktualizácii v rámci kalendárneho roka. Pri distribúcii manuálu procedúr RO dodržiava povinnosti uvedené v úlohách RO stanovených v </w:t>
      </w:r>
      <w:hyperlink w:anchor="kapitola_1321" w:tooltip="kapitole 1.3.2.1" w:history="1">
        <w:r>
          <w:rPr>
            <w:rStyle w:val="Hypertextovprepojenie"/>
          </w:rPr>
          <w:t>kapitole 1.3.2.1</w:t>
        </w:r>
      </w:hyperlink>
      <w:r>
        <w:t>.</w:t>
      </w:r>
    </w:p>
    <w:p w14:paraId="14C416F3" w14:textId="77777777" w:rsidR="00B650E5" w:rsidRDefault="00B650E5">
      <w:pPr>
        <w:numPr>
          <w:ilvl w:val="0"/>
          <w:numId w:val="295"/>
        </w:numPr>
        <w:spacing w:before="120" w:after="120"/>
        <w:ind w:left="426" w:hanging="426"/>
        <w:jc w:val="both"/>
      </w:pPr>
      <w:r>
        <w:t>Ustanovenia definované v tejto podkapitole a vo vzore</w:t>
      </w:r>
      <w:r>
        <w:rPr>
          <w:rStyle w:val="Odkaznapoznmkupodiarou"/>
        </w:rPr>
        <w:footnoteReference w:id="22"/>
      </w:r>
      <w:r>
        <w:t xml:space="preserve"> manuálu procedúr sa v prípade manuálov procedúr gestorov HP a CKO aplikujú primerane s ohľadom na ich úlohy vykonávané v rámci implementácie PD a jednotlivých OP.</w:t>
      </w:r>
    </w:p>
    <w:p w14:paraId="41B113F6" w14:textId="77777777" w:rsidR="00B650E5" w:rsidRDefault="00B650E5">
      <w:pPr>
        <w:pStyle w:val="SRK3"/>
      </w:pPr>
      <w:bookmarkStart w:id="117" w:name="_Toc453233969"/>
      <w:bookmarkStart w:id="118" w:name="_Toc495649328"/>
      <w:r>
        <w:t>2.3.2 Opis systému riadenia a kontroly</w:t>
      </w:r>
      <w:bookmarkEnd w:id="116"/>
      <w:bookmarkEnd w:id="117"/>
      <w:bookmarkEnd w:id="118"/>
    </w:p>
    <w:p w14:paraId="41579A3C" w14:textId="6ACF5624" w:rsidR="00B650E5" w:rsidRDefault="00B650E5">
      <w:pPr>
        <w:numPr>
          <w:ilvl w:val="0"/>
          <w:numId w:val="297"/>
        </w:numPr>
        <w:spacing w:before="120" w:after="120"/>
        <w:ind w:left="425" w:hanging="425"/>
        <w:jc w:val="both"/>
        <w:rPr>
          <w:szCs w:val="22"/>
          <w:lang w:eastAsia="en-US"/>
        </w:rPr>
      </w:pPr>
      <w:bookmarkStart w:id="119" w:name="_Toc378947485"/>
      <w:r>
        <w:t xml:space="preserve">Predpokladom pre výkon audítorskej činnosti, ktorú vykonáva nezávislý auditný subjekt počas auditu pripravenosti je </w:t>
      </w:r>
      <w:r w:rsidR="00B73E06">
        <w:t xml:space="preserve">okrem iného aj </w:t>
      </w:r>
      <w:r>
        <w:t>predloženie opisu systémov riadenia a kontroly na úrovni RO. Za prípravu opisu systémov riadenia a kontroly je zodpovedný RO. V závislosti od</w:t>
      </w:r>
      <w:r w:rsidR="00760B8C">
        <w:t> </w:t>
      </w:r>
      <w:r>
        <w:t>nastavenia riadiacich a kontrolných systémov, za prípravu jednotlivých častí opisu systému riadenia a kontroly môžu byť zodpovedné rôzne orgány alebo organizácie. RO je zodpovedný za</w:t>
      </w:r>
      <w:r w:rsidR="00760B8C">
        <w:t> </w:t>
      </w:r>
      <w:r>
        <w:t>opis funkcií delegovaných na SO pod jeho dohľadom.</w:t>
      </w:r>
    </w:p>
    <w:p w14:paraId="58C4CFC7" w14:textId="77777777" w:rsidR="00B650E5" w:rsidRDefault="00B650E5">
      <w:pPr>
        <w:numPr>
          <w:ilvl w:val="0"/>
          <w:numId w:val="297"/>
        </w:numPr>
        <w:spacing w:before="120" w:after="120"/>
        <w:jc w:val="both"/>
        <w:rPr>
          <w:szCs w:val="22"/>
          <w:lang w:eastAsia="en-US"/>
        </w:rPr>
      </w:pPr>
      <w:r>
        <w:rPr>
          <w:szCs w:val="22"/>
          <w:lang w:eastAsia="en-US"/>
        </w:rPr>
        <w:t>RO vypracúva opis systému riadenia a kontroly v súlade so vzorom</w:t>
      </w:r>
      <w:r>
        <w:rPr>
          <w:rStyle w:val="Odkaznapoznmkupodiarou"/>
          <w:szCs w:val="22"/>
          <w:lang w:eastAsia="en-US"/>
        </w:rPr>
        <w:footnoteReference w:id="23"/>
      </w:r>
      <w:r>
        <w:rPr>
          <w:szCs w:val="22"/>
          <w:lang w:eastAsia="en-US"/>
        </w:rPr>
        <w:t xml:space="preserve"> a postupom stanoveným CKO v metodickom pokyne</w:t>
      </w:r>
      <w:r>
        <w:rPr>
          <w:rStyle w:val="Odkaznapoznmkupodiarou"/>
          <w:szCs w:val="22"/>
          <w:lang w:eastAsia="en-US"/>
        </w:rPr>
        <w:footnoteReference w:id="24"/>
      </w:r>
      <w:r>
        <w:rPr>
          <w:szCs w:val="22"/>
          <w:lang w:eastAsia="en-US"/>
        </w:rPr>
        <w:t>.</w:t>
      </w:r>
    </w:p>
    <w:p w14:paraId="1163F949" w14:textId="77777777" w:rsidR="00B650E5" w:rsidRDefault="00B650E5">
      <w:pPr>
        <w:numPr>
          <w:ilvl w:val="0"/>
          <w:numId w:val="297"/>
        </w:numPr>
        <w:spacing w:before="120" w:after="120"/>
        <w:ind w:left="425" w:hanging="425"/>
        <w:jc w:val="both"/>
        <w:rPr>
          <w:szCs w:val="22"/>
          <w:lang w:eastAsia="en-US"/>
        </w:rPr>
      </w:pPr>
      <w:r>
        <w:rPr>
          <w:szCs w:val="22"/>
          <w:lang w:eastAsia="en-US"/>
        </w:rPr>
        <w:t xml:space="preserve">Ustanovenia, ktoré sú súčasťou opisu </w:t>
      </w:r>
      <w:r w:rsidR="00B73E06">
        <w:rPr>
          <w:szCs w:val="22"/>
          <w:lang w:eastAsia="en-US"/>
        </w:rPr>
        <w:t xml:space="preserve">systémov </w:t>
      </w:r>
      <w:r>
        <w:rPr>
          <w:szCs w:val="22"/>
          <w:lang w:eastAsia="en-US"/>
        </w:rPr>
        <w:t>riadenia a kontroly a ktoré vyžadujú podrobnejšiu úpravu procesu, RO upraví v manuáli procedúr. RO zabezpečí, aby nedochádzalo k duplicitnému uvádzaniu totožných údajov v rámci manuálu procedúr a opisu systému riadenia a kontroly.</w:t>
      </w:r>
    </w:p>
    <w:p w14:paraId="435F1FE4" w14:textId="7C0D229B" w:rsidR="00B650E5" w:rsidRPr="00E17A30" w:rsidRDefault="00B650E5">
      <w:pPr>
        <w:numPr>
          <w:ilvl w:val="0"/>
          <w:numId w:val="297"/>
        </w:numPr>
        <w:spacing w:before="120" w:after="120"/>
        <w:ind w:left="425" w:hanging="425"/>
        <w:jc w:val="both"/>
        <w:rPr>
          <w:szCs w:val="22"/>
          <w:lang w:eastAsia="en-US"/>
        </w:rPr>
      </w:pPr>
      <w:r w:rsidRPr="00E17A30">
        <w:rPr>
          <w:szCs w:val="22"/>
          <w:lang w:eastAsia="en-US"/>
        </w:rPr>
        <w:t>Práva a povinnosti subjektov zapojených do procesu určenia RO a CO sú predmetom úpravy v</w:t>
      </w:r>
      <w:r w:rsidR="00E17A30" w:rsidRPr="00E17A30">
        <w:rPr>
          <w:szCs w:val="22"/>
          <w:lang w:eastAsia="en-US"/>
        </w:rPr>
        <w:t> </w:t>
      </w:r>
      <w:r w:rsidRPr="00E17A30">
        <w:rPr>
          <w:szCs w:val="22"/>
          <w:lang w:eastAsia="en-US"/>
        </w:rPr>
        <w:t xml:space="preserve">metodickom </w:t>
      </w:r>
      <w:r w:rsidRPr="003569B9">
        <w:rPr>
          <w:szCs w:val="22"/>
          <w:lang w:eastAsia="en-US"/>
        </w:rPr>
        <w:t>pokyne</w:t>
      </w:r>
      <w:r w:rsidR="00E17A30">
        <w:rPr>
          <w:rStyle w:val="Odkaznapoznmkupodiarou"/>
          <w:szCs w:val="22"/>
          <w:lang w:eastAsia="en-US"/>
        </w:rPr>
        <w:footnoteReference w:id="25"/>
      </w:r>
      <w:r w:rsidRPr="00E17A30">
        <w:rPr>
          <w:szCs w:val="22"/>
          <w:lang w:eastAsia="en-US"/>
        </w:rPr>
        <w:t>.</w:t>
      </w:r>
    </w:p>
    <w:p w14:paraId="33573469" w14:textId="77777777" w:rsidR="00B650E5" w:rsidRDefault="00B650E5">
      <w:pPr>
        <w:pStyle w:val="SRK3"/>
      </w:pPr>
      <w:bookmarkStart w:id="120" w:name="_Toc453233970"/>
      <w:bookmarkStart w:id="121" w:name="_Toc495649329"/>
      <w:r>
        <w:t xml:space="preserve">2.3.3 </w:t>
      </w:r>
      <w:bookmarkEnd w:id="119"/>
      <w:r>
        <w:t>Schémy pomoci</w:t>
      </w:r>
      <w:bookmarkEnd w:id="120"/>
      <w:bookmarkEnd w:id="121"/>
    </w:p>
    <w:p w14:paraId="33827E08" w14:textId="77777777" w:rsidR="00B650E5" w:rsidRDefault="00B650E5">
      <w:pPr>
        <w:pStyle w:val="Odsekzoznamu"/>
        <w:numPr>
          <w:ilvl w:val="0"/>
          <w:numId w:val="298"/>
        </w:numPr>
        <w:spacing w:before="120" w:after="120"/>
        <w:ind w:left="425" w:hanging="425"/>
        <w:contextualSpacing w:val="0"/>
        <w:jc w:val="both"/>
      </w:pPr>
      <w:bookmarkStart w:id="122" w:name="_Toc378947487"/>
      <w:r>
        <w:t>V prípade, ak budú prostriedky poskytované v súlade s pravidlami v oblasti štátnej pomoci, resp. pomoci de minimis</w:t>
      </w:r>
      <w:r w:rsidR="00E17A30">
        <w:t>,</w:t>
      </w:r>
      <w:r>
        <w:t xml:space="preserve"> RO vypracuje v prípade relevantnosti príslušné schémy pomoci.</w:t>
      </w:r>
    </w:p>
    <w:p w14:paraId="3029C33D" w14:textId="77777777" w:rsidR="00B650E5" w:rsidRDefault="00B650E5">
      <w:pPr>
        <w:pStyle w:val="Odsekzoznamu"/>
        <w:numPr>
          <w:ilvl w:val="0"/>
          <w:numId w:val="298"/>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14:paraId="4D33B5D4" w14:textId="77777777" w:rsidR="00B650E5" w:rsidRDefault="00B650E5">
      <w:pPr>
        <w:pStyle w:val="SRK2"/>
        <w:rPr>
          <w:rStyle w:val="Nadpis1Char"/>
          <w:sz w:val="36"/>
          <w:szCs w:val="26"/>
        </w:rPr>
      </w:pPr>
      <w:bookmarkStart w:id="123" w:name="_Toc378947488"/>
      <w:bookmarkStart w:id="124" w:name="_Toc453233971"/>
      <w:bookmarkStart w:id="125" w:name="_Toc495649330"/>
      <w:bookmarkEnd w:id="122"/>
      <w:r>
        <w:rPr>
          <w:rStyle w:val="Nadpis1Char"/>
          <w:bCs/>
          <w:sz w:val="36"/>
          <w:szCs w:val="26"/>
        </w:rPr>
        <w:t>2.4 Riadiaca dokumentácia pre výber a implementáciu projektov</w:t>
      </w:r>
      <w:bookmarkEnd w:id="123"/>
      <w:bookmarkEnd w:id="124"/>
      <w:bookmarkEnd w:id="125"/>
    </w:p>
    <w:p w14:paraId="53D3687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i w:val="0"/>
          <w:color w:val="auto"/>
          <w:u w:val="single"/>
        </w:rPr>
      </w:pPr>
      <w:bookmarkStart w:id="126" w:name="_Toc378947489"/>
      <w:r>
        <w:rPr>
          <w:rStyle w:val="Intenzvnezvraznenie"/>
          <w:b w:val="0"/>
          <w:i w:val="0"/>
          <w:color w:val="auto"/>
          <w:u w:val="single"/>
        </w:rPr>
        <w:t>Relevantná úprava v legislatíve EÚ:</w:t>
      </w:r>
    </w:p>
    <w:p w14:paraId="705BB75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125 ods. 3 všeobecného nariadenia</w:t>
      </w:r>
    </w:p>
    <w:p w14:paraId="099610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19, 21 – 22, 27 ods. 4, 96 ods. 2 všeobecného nariadenia </w:t>
      </w:r>
    </w:p>
    <w:p w14:paraId="5CFA3A3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6 nariadenia o ERDF a Príloha č. 1 nariadenia o EFRR</w:t>
      </w:r>
    </w:p>
    <w:p w14:paraId="06976CE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KF a Príloha č. 1 nariadenia o KF</w:t>
      </w:r>
    </w:p>
    <w:p w14:paraId="7A3A94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ESF a Príloha č. 1 nariadenia o ESF</w:t>
      </w:r>
    </w:p>
    <w:p w14:paraId="3472A66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 nariadenia o EÚS</w:t>
      </w:r>
    </w:p>
    <w:p w14:paraId="2D664D87"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pPr>
      <w:r>
        <w:rPr>
          <w:rStyle w:val="Intenzvnezvraznenie"/>
          <w:b w:val="0"/>
          <w:i w:val="0"/>
          <w:color w:val="auto"/>
          <w:u w:val="single"/>
        </w:rPr>
        <w:t>Relevantná úprava v legislatíve SR:</w:t>
      </w:r>
      <w:r>
        <w:t xml:space="preserve"> </w:t>
      </w:r>
    </w:p>
    <w:p w14:paraId="48B90FE8"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lastRenderedPageBreak/>
        <w:t>§ 15 až § 19 zákon a príspevku z EŠIF</w:t>
      </w:r>
    </w:p>
    <w:p w14:paraId="7EA40547"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i w:val="0"/>
          <w:color w:val="auto"/>
          <w:u w:val="single"/>
        </w:rPr>
      </w:pPr>
      <w:r>
        <w:rPr>
          <w:rStyle w:val="Intenzvnezvraznenie"/>
          <w:b w:val="0"/>
          <w:i w:val="0"/>
          <w:color w:val="auto"/>
          <w:u w:val="single"/>
        </w:rPr>
        <w:t>Relevantné usmernenia EK:</w:t>
      </w:r>
    </w:p>
    <w:p w14:paraId="756B78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Usmernenia EK k Monitorovaniu a hodnoteniu Európskej kohéznej politiky</w:t>
      </w:r>
    </w:p>
    <w:p w14:paraId="36F5867D" w14:textId="77777777" w:rsidR="00B650E5" w:rsidRDefault="00B650E5">
      <w:pPr>
        <w:numPr>
          <w:ilvl w:val="0"/>
          <w:numId w:val="58"/>
        </w:numPr>
        <w:spacing w:before="120" w:after="120"/>
        <w:ind w:left="425" w:hanging="425"/>
        <w:jc w:val="both"/>
        <w:rPr>
          <w:szCs w:val="22"/>
          <w:lang w:eastAsia="en-US"/>
        </w:rPr>
      </w:pPr>
      <w:r>
        <w:rPr>
          <w:szCs w:val="22"/>
          <w:lang w:eastAsia="en-US"/>
        </w:rPr>
        <w:t>RO v súvislosti s výberom projektov a ich implementáciou vypracuje relevantné časti riadiacej dokumentácie</w:t>
      </w:r>
      <w:r>
        <w:rPr>
          <w:b/>
          <w:bCs/>
          <w:i/>
          <w:iCs/>
          <w:color w:val="4F81BD"/>
          <w:szCs w:val="22"/>
          <w:lang w:eastAsia="en-US"/>
        </w:rPr>
        <w:t xml:space="preserve"> </w:t>
      </w:r>
      <w:r>
        <w:rPr>
          <w:szCs w:val="22"/>
          <w:lang w:eastAsia="en-US"/>
        </w:rPr>
        <w:t xml:space="preserve">za účelom definovania záväzných pravidiel týkajúcich sa nastavenia správneho výberového procesu s ohľadom na požiadavky uvedené v čl. 125 ods. 3 všeobecného nariadenia a implementácie vybraných projektov, s ohľadom na dodržanie zásady riadneho finančného hospodárenia. </w:t>
      </w:r>
    </w:p>
    <w:p w14:paraId="0435493F"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14:paraId="0B47B594"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Riadiaca dokumentácia vypracovávaná RO pre účely výberu a implementácie projektov je tvorená nasledovným súborom dokumentov:</w:t>
      </w:r>
    </w:p>
    <w:p w14:paraId="590DB160"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formulár projektového zámeru (ak relevantné) a formulár ŽoNFP, vrátane identifikovania rozsahu povinných príloh oboch dokumentov,</w:t>
      </w:r>
    </w:p>
    <w:p w14:paraId="7D5A9C11"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žiadateľa,</w:t>
      </w:r>
    </w:p>
    <w:p w14:paraId="18224378"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kritériá pre výber projektov a príručka pre odborného hodnotiteľa,</w:t>
      </w:r>
    </w:p>
    <w:p w14:paraId="75831FD8"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prijímateľa a zmluva o NFP,</w:t>
      </w:r>
    </w:p>
    <w:p w14:paraId="426985B9"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merateľné ukazovatele,</w:t>
      </w:r>
    </w:p>
    <w:p w14:paraId="653BE58B"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ďalšia dokumentácia na úrovni projektov.</w:t>
      </w:r>
    </w:p>
    <w:p w14:paraId="45E1EF72" w14:textId="77777777" w:rsidR="00B650E5" w:rsidRDefault="00B650E5">
      <w:pPr>
        <w:pStyle w:val="SRK3"/>
      </w:pPr>
      <w:bookmarkStart w:id="127" w:name="_Toc453233972"/>
      <w:bookmarkStart w:id="128" w:name="_Toc495649331"/>
      <w:r>
        <w:t>2.4.1 Formulár projektového zámeru</w:t>
      </w:r>
      <w:bookmarkEnd w:id="126"/>
      <w:bookmarkEnd w:id="127"/>
      <w:bookmarkEnd w:id="128"/>
    </w:p>
    <w:p w14:paraId="07ABBC1D" w14:textId="2D796612" w:rsidR="00B650E5" w:rsidRDefault="00B650E5">
      <w:pPr>
        <w:numPr>
          <w:ilvl w:val="0"/>
          <w:numId w:val="305"/>
        </w:numPr>
        <w:spacing w:before="120" w:after="120"/>
        <w:ind w:left="425" w:hanging="425"/>
        <w:jc w:val="both"/>
        <w:rPr>
          <w:bCs/>
          <w:iCs/>
          <w:szCs w:val="22"/>
          <w:lang w:eastAsia="en-US"/>
        </w:rPr>
      </w:pPr>
      <w:r>
        <w:rPr>
          <w:bCs/>
          <w:iCs/>
          <w:szCs w:val="22"/>
          <w:lang w:eastAsia="en-US"/>
        </w:rPr>
        <w:t>Formulár projektového zámeru je základným dokumentom, ktorý predkladá žiadateľ na RO na</w:t>
      </w:r>
      <w:r w:rsidR="00E17A30">
        <w:rPr>
          <w:bCs/>
          <w:iCs/>
          <w:szCs w:val="22"/>
          <w:lang w:eastAsia="en-US"/>
        </w:rPr>
        <w:t> </w:t>
      </w:r>
      <w:r>
        <w:rPr>
          <w:bCs/>
          <w:iCs/>
          <w:szCs w:val="22"/>
          <w:lang w:eastAsia="en-US"/>
        </w:rPr>
        <w:t>základe vyhlásenej výzvy na predkladanie projektových zámerov s cieľom preukázať splnenie podmienok na vydanie kladnej hodnotiacej správy projektového zámeru.</w:t>
      </w:r>
    </w:p>
    <w:p w14:paraId="625C53E3"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p>
    <w:p w14:paraId="0B0B23E1"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obsahuje informácie potrebné na posúdenie projektového zámeru a overenie podmienok stanovených RO vo výzve na predkladanie projektových zámerov.</w:t>
      </w:r>
    </w:p>
    <w:p w14:paraId="456C1E3E"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Koncepcia formulára projektového zámeru vychádza z posúdenia hlavných obsahových atribútov potrebných na jednoznačnú selekciu navrhovaných projektových zámerov za účelom výberu projektových zámerov s najväčším potenciálom príspevku k napĺňaniu cieľov OP.</w:t>
      </w:r>
    </w:p>
    <w:p w14:paraId="5FD11081"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sa zameriava najmä na posúdenie vhodnosti navrhovaného projektu vo vzťahu k napĺňaniu cieľov OP a realizovateľnosti navrhovaného projektu.</w:t>
      </w:r>
    </w:p>
    <w:p w14:paraId="727318D9" w14:textId="392DE322"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w:t>
      </w:r>
      <w:r w:rsidR="00D661EE">
        <w:rPr>
          <w:bCs/>
          <w:iCs/>
          <w:szCs w:val="22"/>
          <w:lang w:eastAsia="en-US"/>
        </w:rPr>
        <w:t>môže vychádzať z </w:t>
      </w:r>
      <w:r>
        <w:rPr>
          <w:bCs/>
          <w:iCs/>
          <w:szCs w:val="22"/>
          <w:lang w:eastAsia="en-US"/>
        </w:rPr>
        <w:t>formulára</w:t>
      </w:r>
      <w:r w:rsidR="00D661EE">
        <w:rPr>
          <w:bCs/>
          <w:iCs/>
          <w:szCs w:val="22"/>
          <w:lang w:eastAsia="en-US"/>
        </w:rPr>
        <w:t xml:space="preserve"> ŽoNFP</w:t>
      </w:r>
      <w:r>
        <w:rPr>
          <w:bCs/>
          <w:iCs/>
          <w:szCs w:val="22"/>
          <w:lang w:eastAsia="en-US"/>
        </w:rPr>
        <w:t xml:space="preserve">. RO </w:t>
      </w:r>
      <w:r w:rsidR="00D661EE">
        <w:rPr>
          <w:bCs/>
          <w:iCs/>
          <w:szCs w:val="22"/>
          <w:lang w:eastAsia="en-US"/>
        </w:rPr>
        <w:t>upraví formulár s ohľadom na znenie</w:t>
      </w:r>
      <w:r>
        <w:rPr>
          <w:bCs/>
          <w:iCs/>
          <w:szCs w:val="22"/>
          <w:lang w:eastAsia="en-US"/>
        </w:rPr>
        <w:t xml:space="preserve"> výzvy na predkladanie projektových zámerov. RO je oprávnený definovať povinné prílohy projektového zámeru v nevyhnutnom rozsahu potrebnom na overenie vybraných podmienok pre</w:t>
      </w:r>
      <w:r w:rsidR="00E17A30">
        <w:rPr>
          <w:bCs/>
          <w:iCs/>
          <w:szCs w:val="22"/>
          <w:lang w:eastAsia="en-US"/>
        </w:rPr>
        <w:t> </w:t>
      </w:r>
      <w:r>
        <w:rPr>
          <w:bCs/>
          <w:iCs/>
          <w:szCs w:val="22"/>
          <w:lang w:eastAsia="en-US"/>
        </w:rPr>
        <w:t xml:space="preserve">posúdenie projektového zámeru. </w:t>
      </w:r>
    </w:p>
    <w:p w14:paraId="448D43EE"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lastRenderedPageBreak/>
        <w:t>RO je oprávnený stanoviť ako povinnú prílohu aj relevantné povolenia alebo iné úradné dokumenty, ktoré preukazujú oprávnenie žiadateľa na realizáciu navrhovaných aktivít, a ktorých preukázanie už vo fáze projektového zámeru je nevyhnutné na posúdenie projektového zámeru.</w:t>
      </w:r>
    </w:p>
    <w:p w14:paraId="7A73C81D"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definuje rozsah prípadných povinných príloh tak, aby bolo možné posúdiť splnenie všetkých podmienok pre posúdenie projektového zámeru definovaných vo výzve na predkladanie projektových zámerov.</w:t>
      </w:r>
    </w:p>
    <w:p w14:paraId="46D10BC0"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p>
    <w:p w14:paraId="5CBCB178" w14:textId="306F60A6"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v prípade potreby detailnejších informácií zadefinovať vo výzve na</w:t>
      </w:r>
      <w:r w:rsidR="009A7FA5">
        <w:rPr>
          <w:bCs/>
          <w:iCs/>
          <w:szCs w:val="22"/>
          <w:lang w:eastAsia="en-US"/>
        </w:rPr>
        <w:t> </w:t>
      </w:r>
      <w:r>
        <w:rPr>
          <w:bCs/>
          <w:iCs/>
          <w:szCs w:val="22"/>
          <w:lang w:eastAsia="en-US"/>
        </w:rPr>
        <w:t xml:space="preserve">predkladanie projektového zámeru ako povinnú prílohu opis projektu. </w:t>
      </w:r>
    </w:p>
    <w:p w14:paraId="4DF137F0" w14:textId="619BFEC9" w:rsidR="00B650E5" w:rsidRDefault="00B650E5">
      <w:pPr>
        <w:pStyle w:val="SRK3"/>
      </w:pPr>
      <w:bookmarkStart w:id="129" w:name="_Toc453233973"/>
      <w:bookmarkStart w:id="130" w:name="_Toc495649332"/>
      <w:r>
        <w:t>2.4.2 Formulár žiadosti o poskytnutie nenávratného finančného príspevk</w:t>
      </w:r>
      <w:bookmarkEnd w:id="129"/>
      <w:r>
        <w:t>u</w:t>
      </w:r>
      <w:bookmarkEnd w:id="130"/>
    </w:p>
    <w:p w14:paraId="39FBC8E1" w14:textId="0E085EAD" w:rsidR="00B650E5" w:rsidRDefault="00B650E5">
      <w:pPr>
        <w:numPr>
          <w:ilvl w:val="0"/>
          <w:numId w:val="219"/>
        </w:numPr>
        <w:spacing w:before="120" w:after="120"/>
        <w:ind w:left="425" w:hanging="425"/>
        <w:jc w:val="both"/>
        <w:rPr>
          <w:bCs/>
          <w:iCs/>
          <w:szCs w:val="22"/>
          <w:lang w:eastAsia="en-US"/>
        </w:rPr>
      </w:pPr>
      <w:r>
        <w:rPr>
          <w:bCs/>
          <w:iCs/>
          <w:szCs w:val="22"/>
          <w:lang w:eastAsia="en-US"/>
        </w:rPr>
        <w:t>ŽoNFP je základným dokumentom, ktorým žiadateľ na základe vyhlásenej výzvy žiada RO o</w:t>
      </w:r>
      <w:r w:rsidR="009A7FA5">
        <w:rPr>
          <w:bCs/>
          <w:iCs/>
          <w:szCs w:val="22"/>
          <w:lang w:eastAsia="en-US"/>
        </w:rPr>
        <w:t> </w:t>
      </w:r>
      <w:r>
        <w:rPr>
          <w:bCs/>
          <w:iCs/>
          <w:szCs w:val="22"/>
          <w:lang w:eastAsia="en-US"/>
        </w:rPr>
        <w:t xml:space="preserve">spolufinancovanie projektu z finančných prostriedkov určených na výzvu. </w:t>
      </w:r>
    </w:p>
    <w:p w14:paraId="0B563FA6" w14:textId="26EB001D" w:rsidR="00B650E5" w:rsidRDefault="00B650E5">
      <w:pPr>
        <w:numPr>
          <w:ilvl w:val="0"/>
          <w:numId w:val="219"/>
        </w:numPr>
        <w:spacing w:before="120" w:after="120"/>
        <w:ind w:left="425" w:hanging="425"/>
        <w:jc w:val="both"/>
        <w:rPr>
          <w:bCs/>
          <w:iCs/>
          <w:szCs w:val="22"/>
          <w:lang w:eastAsia="en-US"/>
        </w:rPr>
      </w:pPr>
      <w:r>
        <w:rPr>
          <w:bCs/>
          <w:iCs/>
          <w:szCs w:val="22"/>
          <w:lang w:eastAsia="en-US"/>
        </w:rPr>
        <w:t>V záujme zabezpečenia jednotnej štruktúry formuláru ŽoNFP pre všetkých žiadateľov a s</w:t>
      </w:r>
      <w:r w:rsidR="009A7FA5">
        <w:rPr>
          <w:bCs/>
          <w:iCs/>
          <w:szCs w:val="22"/>
          <w:lang w:eastAsia="en-US"/>
        </w:rPr>
        <w:t> </w:t>
      </w:r>
      <w:r>
        <w:rPr>
          <w:bCs/>
          <w:iCs/>
          <w:szCs w:val="22"/>
          <w:lang w:eastAsia="en-US"/>
        </w:rPr>
        <w:t>prihliadnutím na možnosť definovania špecifických požiadaviek RO v závislosti od charakteru jednotlivých OP/PO, je formulár ŽoNFP rovnaký pre všetky OP, pričom špecifiká potrebné na</w:t>
      </w:r>
      <w:r w:rsidR="00E83C30">
        <w:rPr>
          <w:bCs/>
          <w:iCs/>
          <w:szCs w:val="22"/>
          <w:lang w:eastAsia="en-US"/>
        </w:rPr>
        <w:t> </w:t>
      </w:r>
      <w:r>
        <w:rPr>
          <w:bCs/>
          <w:iCs/>
          <w:szCs w:val="22"/>
          <w:lang w:eastAsia="en-US"/>
        </w:rPr>
        <w:t xml:space="preserve">posúdenie jednotlivých podmienok poskytnutia príspevku stanovených vo výzve zohľadňuje RO v rámci povinných príloh ŽoNFP, </w:t>
      </w:r>
      <w:r w:rsidR="00B6510C">
        <w:rPr>
          <w:bCs/>
          <w:iCs/>
          <w:szCs w:val="22"/>
          <w:lang w:eastAsia="en-US"/>
        </w:rPr>
        <w:t xml:space="preserve">prípadne </w:t>
      </w:r>
      <w:r>
        <w:rPr>
          <w:bCs/>
          <w:iCs/>
          <w:szCs w:val="22"/>
          <w:lang w:eastAsia="en-US"/>
        </w:rPr>
        <w:t>v rámci prílohy, ktorou je Opis projektu. Vzor</w:t>
      </w:r>
      <w:r>
        <w:rPr>
          <w:rStyle w:val="Odkaznapoznmkupodiarou"/>
          <w:bCs/>
          <w:iCs/>
          <w:szCs w:val="22"/>
          <w:lang w:eastAsia="en-US"/>
        </w:rPr>
        <w:footnoteReference w:id="26"/>
      </w:r>
      <w:r>
        <w:rPr>
          <w:bCs/>
          <w:iCs/>
          <w:szCs w:val="22"/>
          <w:lang w:eastAsia="en-US"/>
        </w:rPr>
        <w:t xml:space="preserve"> formuláru  ŽoNFP vydáva CKO. ŽoNFP a jej prílohy obsahujú údaje, ktoré sú nevyhnutné pre</w:t>
      </w:r>
      <w:r w:rsidR="009A7FA5">
        <w:rPr>
          <w:bCs/>
          <w:iCs/>
          <w:szCs w:val="22"/>
          <w:lang w:eastAsia="en-US"/>
        </w:rPr>
        <w:t> </w:t>
      </w:r>
      <w:r>
        <w:rPr>
          <w:bCs/>
          <w:iCs/>
          <w:szCs w:val="22"/>
          <w:lang w:eastAsia="en-US"/>
        </w:rPr>
        <w:t xml:space="preserve">účely posúdenia splnenia podmienok poskytnutia príspevku definovaných vo výzve. ŽoNFP je tvorená formulárom ŽoNFP a prílohami ŽoNFP. </w:t>
      </w:r>
    </w:p>
    <w:p w14:paraId="06D489F7"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14:paraId="22BD8739" w14:textId="09B410C9" w:rsidR="00B650E5" w:rsidRDefault="00B650E5">
      <w:pPr>
        <w:numPr>
          <w:ilvl w:val="0"/>
          <w:numId w:val="219"/>
        </w:numPr>
        <w:spacing w:before="120" w:after="120"/>
        <w:ind w:left="425" w:hanging="425"/>
        <w:jc w:val="both"/>
        <w:rPr>
          <w:bCs/>
          <w:iCs/>
          <w:szCs w:val="22"/>
          <w:lang w:eastAsia="en-US"/>
        </w:rPr>
      </w:pPr>
      <w:r>
        <w:rPr>
          <w:bCs/>
          <w:iCs/>
          <w:szCs w:val="22"/>
          <w:lang w:eastAsia="en-US"/>
        </w:rPr>
        <w:t>RO s cieľom minimalizácie administratívnej záťaže na strane žiadateľov pri definovaní povinných príloh ŽoNFP prioritne využíva priame overenia jednotlivých údajov potrebných na</w:t>
      </w:r>
      <w:r w:rsidR="009A7FA5">
        <w:rPr>
          <w:bCs/>
          <w:iCs/>
          <w:szCs w:val="22"/>
          <w:lang w:eastAsia="en-US"/>
        </w:rPr>
        <w:t> </w:t>
      </w:r>
      <w:r>
        <w:rPr>
          <w:bCs/>
          <w:iCs/>
          <w:szCs w:val="22"/>
          <w:lang w:eastAsia="en-US"/>
        </w:rPr>
        <w:t>posúdenie splnenia podmienok poskytnutia  príspevku, bez ich potreby preukazovania zo</w:t>
      </w:r>
      <w:r w:rsidR="009A7FA5">
        <w:rPr>
          <w:bCs/>
          <w:iCs/>
          <w:szCs w:val="22"/>
          <w:lang w:eastAsia="en-US"/>
        </w:rPr>
        <w:t> </w:t>
      </w:r>
      <w:r>
        <w:rPr>
          <w:bCs/>
          <w:iCs/>
          <w:szCs w:val="22"/>
          <w:lang w:eastAsia="en-US"/>
        </w:rPr>
        <w:t>strany žiadateľov vo forme osobitne predkladaných príloh ŽoNFP.</w:t>
      </w:r>
      <w:r w:rsidR="00AD1CCE">
        <w:rPr>
          <w:bCs/>
          <w:iCs/>
          <w:szCs w:val="22"/>
          <w:lang w:eastAsia="en-US"/>
        </w:rPr>
        <w:t xml:space="preserve"> V prípade </w:t>
      </w:r>
      <w:r w:rsidR="003569B9">
        <w:t>funkčnej integrácie ITMS2014+ s inými informačnými systémami verejnej správy</w:t>
      </w:r>
      <w:r w:rsidR="003569B9">
        <w:rPr>
          <w:bCs/>
          <w:iCs/>
          <w:szCs w:val="22"/>
          <w:lang w:eastAsia="en-US"/>
        </w:rPr>
        <w:t xml:space="preserve"> postupuje RO pri </w:t>
      </w:r>
      <w:r w:rsidR="00AD1CCE">
        <w:rPr>
          <w:bCs/>
          <w:iCs/>
          <w:szCs w:val="22"/>
          <w:lang w:eastAsia="en-US"/>
        </w:rPr>
        <w:t>over</w:t>
      </w:r>
      <w:r w:rsidR="003569B9">
        <w:rPr>
          <w:bCs/>
          <w:iCs/>
          <w:szCs w:val="22"/>
          <w:lang w:eastAsia="en-US"/>
        </w:rPr>
        <w:t>ovaní</w:t>
      </w:r>
      <w:r w:rsidR="00AD1CCE">
        <w:rPr>
          <w:bCs/>
          <w:iCs/>
          <w:szCs w:val="22"/>
          <w:lang w:eastAsia="en-US"/>
        </w:rPr>
        <w:t xml:space="preserve"> podmienok poskytnutia príspevku</w:t>
      </w:r>
      <w:r w:rsidR="003569B9">
        <w:rPr>
          <w:bCs/>
          <w:iCs/>
          <w:szCs w:val="22"/>
          <w:lang w:eastAsia="en-US"/>
        </w:rPr>
        <w:t xml:space="preserve"> v súlade s MP CKO</w:t>
      </w:r>
      <w:r w:rsidR="003569B9">
        <w:rPr>
          <w:rStyle w:val="Odkaznapoznmkupodiarou"/>
          <w:bCs/>
          <w:iCs/>
          <w:szCs w:val="22"/>
          <w:lang w:eastAsia="en-US"/>
        </w:rPr>
        <w:footnoteReference w:id="27"/>
      </w:r>
      <w:r w:rsidR="003569B9">
        <w:rPr>
          <w:bCs/>
          <w:iCs/>
          <w:szCs w:val="22"/>
          <w:lang w:eastAsia="en-US"/>
        </w:rPr>
        <w:t xml:space="preserve">. </w:t>
      </w:r>
    </w:p>
    <w:p w14:paraId="5BF95BEA" w14:textId="53D10AE2" w:rsidR="00B650E5" w:rsidRDefault="00B650E5">
      <w:pPr>
        <w:numPr>
          <w:ilvl w:val="0"/>
          <w:numId w:val="219"/>
        </w:numPr>
        <w:spacing w:before="120" w:after="120"/>
        <w:ind w:left="425" w:hanging="425"/>
        <w:jc w:val="both"/>
        <w:rPr>
          <w:bCs/>
          <w:iCs/>
          <w:szCs w:val="22"/>
          <w:lang w:eastAsia="en-US"/>
        </w:rPr>
      </w:pPr>
      <w:r>
        <w:rPr>
          <w:bCs/>
          <w:iCs/>
          <w:szCs w:val="22"/>
          <w:lang w:eastAsia="en-US"/>
        </w:rPr>
        <w:t>Podmienky poskytnutia príspevku, ktorých overenie zabezpečuje RO iným spôsobom ako na</w:t>
      </w:r>
      <w:r w:rsidR="009A7FA5">
        <w:rPr>
          <w:bCs/>
          <w:iCs/>
          <w:szCs w:val="22"/>
          <w:lang w:eastAsia="en-US"/>
        </w:rPr>
        <w:t> </w:t>
      </w:r>
      <w:r>
        <w:rPr>
          <w:bCs/>
          <w:iCs/>
          <w:szCs w:val="22"/>
          <w:lang w:eastAsia="en-US"/>
        </w:rPr>
        <w:t>základe informácií a dokladov predložených žiadateľmi, RO identifikuje ešte pred vyhlásením výzvy, pričom spôsob overenia jednotlivých podmienok je uvedený v rámci Príručky pre</w:t>
      </w:r>
      <w:r w:rsidR="009A7FA5">
        <w:rPr>
          <w:bCs/>
          <w:iCs/>
          <w:szCs w:val="22"/>
          <w:lang w:eastAsia="en-US"/>
        </w:rPr>
        <w:t> </w:t>
      </w:r>
      <w:r>
        <w:rPr>
          <w:bCs/>
          <w:iCs/>
          <w:szCs w:val="22"/>
          <w:lang w:eastAsia="en-US"/>
        </w:rPr>
        <w:t>žiadateľa. Bez ohľadu na spôsob preukázania splnenia podmienky poskytnutia príspevku je RO oprávnený v každom prípade vyžadovať preukázanie jej splnenia aj predložením relevantného dokumentu alebo informácie zo strany žiadateľa (nevyhnutné najmä v prípade, ak by z technických dôvodov nebolo možné overenie relevantnej podmienky zo strany RO).</w:t>
      </w:r>
    </w:p>
    <w:p w14:paraId="0848016B"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Pre účely zisťovania splnenia podmienok poskytnutia príspevku a overenia súladu predložených dokumentov s osobitnými predpismi RO zabezpečí, aby zoznam povinných príloh ŽoNFP bol zostavený tak, aby boli relevantné prílohy priraditeľné ku konkrétnym podmienkam poskytnutia </w:t>
      </w:r>
      <w:r>
        <w:rPr>
          <w:bCs/>
          <w:iCs/>
          <w:szCs w:val="22"/>
          <w:lang w:eastAsia="en-US"/>
        </w:rPr>
        <w:lastRenderedPageBreak/>
        <w:t>príspevku (jedna príloha môže byť relevantná pre overenie viacerých podmienok poskytnutia príspevku a naopak, viacero príloh môže byť relevantných pre overenie jednej podmienky poskytnutia príspevku).</w:t>
      </w:r>
    </w:p>
    <w:p w14:paraId="4D6B1E7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pri stanovení rozsahu povinných príloh identifikuje všetky podmienky poskytnutia príspevku a priradí k nim zodpovedajúci zdroj overenia. Pri tých podmienkach poskytnutia príspevku, kde je overenie potrebné na základe dokumentov predložených žiadateľom, RO definuje rozsah a formu povinnej prílohy ŽoNFP. </w:t>
      </w:r>
    </w:p>
    <w:p w14:paraId="21BD4952" w14:textId="1C310E59" w:rsidR="00B650E5" w:rsidRPr="00997CB0" w:rsidRDefault="00B650E5" w:rsidP="00997CB0">
      <w:pPr>
        <w:numPr>
          <w:ilvl w:val="0"/>
          <w:numId w:val="219"/>
        </w:numPr>
        <w:spacing w:before="120" w:after="120"/>
        <w:ind w:left="425" w:hanging="425"/>
        <w:jc w:val="both"/>
        <w:rPr>
          <w:bCs/>
          <w:iCs/>
          <w:szCs w:val="22"/>
          <w:lang w:eastAsia="en-US"/>
        </w:rPr>
      </w:pPr>
      <w:r w:rsidRPr="00997CB0">
        <w:rPr>
          <w:bCs/>
          <w:iCs/>
          <w:szCs w:val="22"/>
          <w:lang w:eastAsia="en-US"/>
        </w:rPr>
        <w:t>RO informuje žiadateľa vo výzve o</w:t>
      </w:r>
      <w:r w:rsidRPr="00F12951">
        <w:rPr>
          <w:bCs/>
          <w:iCs/>
          <w:szCs w:val="22"/>
          <w:lang w:eastAsia="en-US"/>
        </w:rPr>
        <w:t> </w:t>
      </w:r>
      <w:r w:rsidRPr="00997CB0">
        <w:rPr>
          <w:bCs/>
          <w:iCs/>
          <w:szCs w:val="22"/>
          <w:lang w:eastAsia="en-US"/>
        </w:rPr>
        <w:t xml:space="preserve">možnosti </w:t>
      </w:r>
      <w:r w:rsidR="00FB1D18">
        <w:rPr>
          <w:bCs/>
          <w:iCs/>
          <w:szCs w:val="22"/>
          <w:lang w:eastAsia="en-US"/>
        </w:rPr>
        <w:t>ex ante</w:t>
      </w:r>
      <w:r w:rsidRPr="00997CB0">
        <w:rPr>
          <w:bCs/>
          <w:iCs/>
          <w:szCs w:val="22"/>
          <w:lang w:eastAsia="en-US"/>
        </w:rPr>
        <w:t xml:space="preserve"> overenia splnenia podmienok poskytnutia príspevku zo strany žiadateľa v</w:t>
      </w:r>
      <w:r w:rsidRPr="00F12951">
        <w:rPr>
          <w:bCs/>
          <w:iCs/>
          <w:szCs w:val="22"/>
          <w:lang w:eastAsia="en-US"/>
        </w:rPr>
        <w:t> </w:t>
      </w:r>
      <w:r w:rsidRPr="00997CB0">
        <w:rPr>
          <w:bCs/>
          <w:iCs/>
          <w:szCs w:val="22"/>
          <w:lang w:eastAsia="en-US"/>
        </w:rPr>
        <w:t>príslušných elektronických verejných registroch, resp. v</w:t>
      </w:r>
      <w:r>
        <w:rPr>
          <w:bCs/>
          <w:iCs/>
          <w:szCs w:val="22"/>
          <w:lang w:eastAsia="en-US"/>
        </w:rPr>
        <w:t> </w:t>
      </w:r>
      <w:r w:rsidRPr="00997CB0">
        <w:rPr>
          <w:bCs/>
          <w:iCs/>
          <w:szCs w:val="22"/>
          <w:lang w:eastAsia="en-US"/>
        </w:rPr>
        <w:t>ITMS</w:t>
      </w:r>
      <w:r>
        <w:rPr>
          <w:bCs/>
          <w:iCs/>
          <w:szCs w:val="22"/>
          <w:lang w:eastAsia="en-US"/>
        </w:rPr>
        <w:t xml:space="preserve"> </w:t>
      </w:r>
      <w:r w:rsidRPr="00997CB0">
        <w:rPr>
          <w:bCs/>
          <w:iCs/>
          <w:szCs w:val="22"/>
          <w:lang w:eastAsia="en-US"/>
        </w:rPr>
        <w:t>2014+</w:t>
      </w:r>
      <w:r w:rsidR="00797401">
        <w:rPr>
          <w:bCs/>
          <w:iCs/>
          <w:szCs w:val="22"/>
          <w:lang w:eastAsia="en-US"/>
        </w:rPr>
        <w:t xml:space="preserve"> (overenie slúži </w:t>
      </w:r>
      <w:r w:rsidR="00F94427">
        <w:rPr>
          <w:bCs/>
          <w:iCs/>
          <w:szCs w:val="22"/>
          <w:lang w:eastAsia="en-US"/>
        </w:rPr>
        <w:t>výhradne</w:t>
      </w:r>
      <w:r w:rsidR="00797401">
        <w:rPr>
          <w:bCs/>
          <w:iCs/>
          <w:szCs w:val="22"/>
          <w:lang w:eastAsia="en-US"/>
        </w:rPr>
        <w:t xml:space="preserve"> </w:t>
      </w:r>
      <w:r w:rsidR="009F6E1D">
        <w:rPr>
          <w:bCs/>
          <w:iCs/>
          <w:szCs w:val="22"/>
          <w:lang w:eastAsia="en-US"/>
        </w:rPr>
        <w:t>na</w:t>
      </w:r>
      <w:r w:rsidR="00797401">
        <w:rPr>
          <w:bCs/>
          <w:iCs/>
          <w:szCs w:val="22"/>
          <w:lang w:eastAsia="en-US"/>
        </w:rPr>
        <w:t xml:space="preserve"> uistenie sa žiadateľa o</w:t>
      </w:r>
      <w:r w:rsidR="00F94427">
        <w:rPr>
          <w:bCs/>
          <w:iCs/>
          <w:szCs w:val="22"/>
          <w:lang w:eastAsia="en-US"/>
        </w:rPr>
        <w:t xml:space="preserve"> jeho </w:t>
      </w:r>
      <w:r w:rsidR="00797401">
        <w:rPr>
          <w:bCs/>
          <w:iCs/>
          <w:szCs w:val="22"/>
          <w:lang w:eastAsia="en-US"/>
        </w:rPr>
        <w:t>sta</w:t>
      </w:r>
      <w:r w:rsidR="00F94427">
        <w:rPr>
          <w:bCs/>
          <w:iCs/>
          <w:szCs w:val="22"/>
          <w:lang w:eastAsia="en-US"/>
        </w:rPr>
        <w:t>tuse</w:t>
      </w:r>
      <w:r w:rsidR="00797401">
        <w:rPr>
          <w:bCs/>
          <w:iCs/>
          <w:szCs w:val="22"/>
          <w:lang w:eastAsia="en-US"/>
        </w:rPr>
        <w:t xml:space="preserve"> v</w:t>
      </w:r>
      <w:r w:rsidR="00F94427">
        <w:rPr>
          <w:bCs/>
          <w:iCs/>
          <w:szCs w:val="22"/>
          <w:lang w:eastAsia="en-US"/>
        </w:rPr>
        <w:t>o</w:t>
      </w:r>
      <w:r w:rsidR="00797401">
        <w:rPr>
          <w:bCs/>
          <w:iCs/>
          <w:szCs w:val="22"/>
          <w:lang w:eastAsia="en-US"/>
        </w:rPr>
        <w:t> </w:t>
      </w:r>
      <w:r w:rsidR="00F94427">
        <w:rPr>
          <w:bCs/>
          <w:iCs/>
          <w:szCs w:val="22"/>
          <w:lang w:eastAsia="en-US"/>
        </w:rPr>
        <w:t xml:space="preserve">verejnom </w:t>
      </w:r>
      <w:r w:rsidR="00797401">
        <w:rPr>
          <w:bCs/>
          <w:iCs/>
          <w:szCs w:val="22"/>
          <w:lang w:eastAsia="en-US"/>
        </w:rPr>
        <w:t>registri)</w:t>
      </w:r>
      <w:r w:rsidRPr="00997CB0">
        <w:rPr>
          <w:bCs/>
          <w:iCs/>
          <w:szCs w:val="22"/>
          <w:lang w:eastAsia="en-US"/>
        </w:rPr>
        <w:t>. Ak žiadateľ zistí v</w:t>
      </w:r>
      <w:r w:rsidRPr="00F12951">
        <w:rPr>
          <w:bCs/>
          <w:iCs/>
          <w:szCs w:val="22"/>
          <w:lang w:eastAsia="en-US"/>
        </w:rPr>
        <w:t> </w:t>
      </w:r>
      <w:r w:rsidRPr="00997CB0">
        <w:rPr>
          <w:bCs/>
          <w:iCs/>
          <w:szCs w:val="22"/>
          <w:lang w:eastAsia="en-US"/>
        </w:rPr>
        <w:t>elektronických verejných registroch/ITMS</w:t>
      </w:r>
      <w:r>
        <w:rPr>
          <w:bCs/>
          <w:iCs/>
          <w:szCs w:val="22"/>
          <w:lang w:eastAsia="en-US"/>
        </w:rPr>
        <w:t xml:space="preserve"> </w:t>
      </w:r>
      <w:r w:rsidRPr="00997CB0">
        <w:rPr>
          <w:bCs/>
          <w:iCs/>
          <w:szCs w:val="22"/>
          <w:lang w:eastAsia="en-US"/>
        </w:rPr>
        <w:t>2014+ nesúlad s</w:t>
      </w:r>
      <w:r w:rsidRPr="00F12951">
        <w:rPr>
          <w:bCs/>
          <w:iCs/>
          <w:szCs w:val="22"/>
          <w:lang w:eastAsia="en-US"/>
        </w:rPr>
        <w:t> </w:t>
      </w:r>
      <w:r w:rsidRPr="00997CB0">
        <w:rPr>
          <w:bCs/>
          <w:iCs/>
          <w:szCs w:val="22"/>
          <w:lang w:eastAsia="en-US"/>
        </w:rPr>
        <w:t>podmienkou poskytnutia príspevku, je oprávnený predložiť dokument (resp. zdôvodnenie absencie dokumentu) aj bez výzvy na doplnenie ŽoNFP, ako súčasť predkladanej ŽoNFP v</w:t>
      </w:r>
      <w:r>
        <w:rPr>
          <w:bCs/>
          <w:iCs/>
          <w:szCs w:val="22"/>
          <w:lang w:eastAsia="en-US"/>
        </w:rPr>
        <w:t> </w:t>
      </w:r>
      <w:r w:rsidRPr="00997CB0">
        <w:rPr>
          <w:bCs/>
          <w:iCs/>
          <w:szCs w:val="22"/>
          <w:lang w:eastAsia="en-US"/>
        </w:rPr>
        <w:t>ITMS</w:t>
      </w:r>
      <w:r>
        <w:rPr>
          <w:bCs/>
          <w:iCs/>
          <w:szCs w:val="22"/>
          <w:lang w:eastAsia="en-US"/>
        </w:rPr>
        <w:t xml:space="preserve"> </w:t>
      </w:r>
      <w:r w:rsidRPr="00997CB0">
        <w:rPr>
          <w:bCs/>
          <w:iCs/>
          <w:szCs w:val="22"/>
          <w:lang w:eastAsia="en-US"/>
        </w:rPr>
        <w:t>2014+. Ide napríklad o</w:t>
      </w:r>
      <w:r w:rsidRPr="00F12951">
        <w:rPr>
          <w:bCs/>
          <w:iCs/>
          <w:szCs w:val="22"/>
          <w:lang w:eastAsia="en-US"/>
        </w:rPr>
        <w:t> </w:t>
      </w:r>
      <w:r w:rsidRPr="00997CB0">
        <w:rPr>
          <w:bCs/>
          <w:iCs/>
          <w:szCs w:val="22"/>
          <w:lang w:eastAsia="en-US"/>
        </w:rPr>
        <w:t>situácie, ak žiadateľ uzavrel s</w:t>
      </w:r>
      <w:r w:rsidRPr="00F12951">
        <w:rPr>
          <w:bCs/>
          <w:iCs/>
          <w:szCs w:val="22"/>
          <w:lang w:eastAsia="en-US"/>
        </w:rPr>
        <w:t> </w:t>
      </w:r>
      <w:r w:rsidRPr="00997CB0">
        <w:rPr>
          <w:bCs/>
          <w:iCs/>
          <w:szCs w:val="22"/>
          <w:lang w:eastAsia="en-US"/>
        </w:rPr>
        <w:t>veriteľom dohodu o</w:t>
      </w:r>
      <w:r w:rsidRPr="00F12951">
        <w:rPr>
          <w:bCs/>
          <w:iCs/>
          <w:szCs w:val="22"/>
          <w:lang w:eastAsia="en-US"/>
        </w:rPr>
        <w:t> </w:t>
      </w:r>
      <w:r w:rsidRPr="00997CB0">
        <w:rPr>
          <w:bCs/>
          <w:iCs/>
          <w:szCs w:val="22"/>
          <w:lang w:eastAsia="en-US"/>
        </w:rPr>
        <w:t>splátkach a</w:t>
      </w:r>
      <w:r w:rsidRPr="00F12951">
        <w:rPr>
          <w:bCs/>
          <w:iCs/>
          <w:szCs w:val="22"/>
          <w:lang w:eastAsia="en-US"/>
        </w:rPr>
        <w:t> </w:t>
      </w:r>
      <w:r w:rsidRPr="00997CB0">
        <w:rPr>
          <w:bCs/>
          <w:iCs/>
          <w:szCs w:val="22"/>
          <w:lang w:eastAsia="en-US"/>
        </w:rPr>
        <w:t>RO akceptuje v</w:t>
      </w:r>
      <w:r w:rsidRPr="00F12951">
        <w:rPr>
          <w:bCs/>
          <w:iCs/>
          <w:szCs w:val="22"/>
          <w:lang w:eastAsia="en-US"/>
        </w:rPr>
        <w:t> </w:t>
      </w:r>
      <w:r w:rsidRPr="00997CB0">
        <w:rPr>
          <w:bCs/>
          <w:iCs/>
          <w:szCs w:val="22"/>
          <w:lang w:eastAsia="en-US"/>
        </w:rPr>
        <w:t>zmysle výzvy dohodu o</w:t>
      </w:r>
      <w:r w:rsidRPr="00F12951">
        <w:rPr>
          <w:bCs/>
          <w:iCs/>
          <w:szCs w:val="22"/>
          <w:lang w:eastAsia="en-US"/>
        </w:rPr>
        <w:t> </w:t>
      </w:r>
      <w:r w:rsidRPr="00997CB0">
        <w:rPr>
          <w:bCs/>
          <w:iCs/>
          <w:szCs w:val="22"/>
          <w:lang w:eastAsia="en-US"/>
        </w:rPr>
        <w:t>splátkach, ktorú riadne plní ako splnenie podmienky nebyť dlžníkom, ale v</w:t>
      </w:r>
      <w:r w:rsidRPr="00F12951">
        <w:rPr>
          <w:bCs/>
          <w:iCs/>
          <w:szCs w:val="22"/>
          <w:lang w:eastAsia="en-US"/>
        </w:rPr>
        <w:t> </w:t>
      </w:r>
      <w:r w:rsidRPr="00997CB0">
        <w:rPr>
          <w:bCs/>
          <w:iCs/>
          <w:szCs w:val="22"/>
          <w:lang w:eastAsia="en-US"/>
        </w:rPr>
        <w:t>elektronickom verejnom registri/ITMS</w:t>
      </w:r>
      <w:r>
        <w:rPr>
          <w:bCs/>
          <w:iCs/>
          <w:szCs w:val="22"/>
          <w:lang w:eastAsia="en-US"/>
        </w:rPr>
        <w:t xml:space="preserve"> </w:t>
      </w:r>
      <w:r w:rsidRPr="00997CB0">
        <w:rPr>
          <w:bCs/>
          <w:iCs/>
          <w:szCs w:val="22"/>
          <w:lang w:eastAsia="en-US"/>
        </w:rPr>
        <w:t>2014+ figuruje stále ako dlžník; ak v</w:t>
      </w:r>
      <w:r w:rsidRPr="00F12951">
        <w:rPr>
          <w:bCs/>
          <w:iCs/>
          <w:szCs w:val="22"/>
          <w:lang w:eastAsia="en-US"/>
        </w:rPr>
        <w:t> </w:t>
      </w:r>
      <w:r w:rsidRPr="00997CB0">
        <w:rPr>
          <w:bCs/>
          <w:iCs/>
          <w:szCs w:val="22"/>
          <w:lang w:eastAsia="en-US"/>
        </w:rPr>
        <w:t>elektronickom verejnom</w:t>
      </w:r>
      <w:r w:rsidRPr="00F12951">
        <w:rPr>
          <w:bCs/>
          <w:iCs/>
          <w:szCs w:val="22"/>
          <w:lang w:eastAsia="en-US"/>
        </w:rPr>
        <w:t> </w:t>
      </w:r>
      <w:r w:rsidRPr="00997CB0">
        <w:rPr>
          <w:bCs/>
          <w:iCs/>
          <w:szCs w:val="22"/>
          <w:lang w:eastAsia="en-US"/>
        </w:rPr>
        <w:t>registri/ITMS</w:t>
      </w:r>
      <w:r>
        <w:rPr>
          <w:bCs/>
          <w:iCs/>
          <w:szCs w:val="22"/>
          <w:lang w:eastAsia="en-US"/>
        </w:rPr>
        <w:t xml:space="preserve"> </w:t>
      </w:r>
      <w:r w:rsidRPr="00997CB0">
        <w:rPr>
          <w:bCs/>
          <w:iCs/>
          <w:szCs w:val="22"/>
          <w:lang w:eastAsia="en-US"/>
        </w:rPr>
        <w:t>2014+ nie je dostupná účtovná závierka subjektu a pod.</w:t>
      </w:r>
    </w:p>
    <w:p w14:paraId="75B29020" w14:textId="77777777" w:rsidR="00B650E5" w:rsidRDefault="00B650E5" w:rsidP="00CB2FF3">
      <w:pPr>
        <w:numPr>
          <w:ilvl w:val="0"/>
          <w:numId w:val="219"/>
        </w:numPr>
        <w:spacing w:before="120" w:after="120"/>
        <w:ind w:left="425" w:hanging="425"/>
        <w:jc w:val="both"/>
        <w:rPr>
          <w:bCs/>
          <w:iCs/>
          <w:szCs w:val="22"/>
          <w:lang w:eastAsia="en-US"/>
        </w:rPr>
      </w:pPr>
      <w:r w:rsidRPr="00997CB0">
        <w:rPr>
          <w:bCs/>
          <w:iCs/>
          <w:szCs w:val="22"/>
          <w:lang w:eastAsia="en-US"/>
        </w:rPr>
        <w:t>Pri podmienkach poskytnutia príspevku, ktoré RO overuje prostredníctvom ITMS</w:t>
      </w:r>
      <w:r>
        <w:rPr>
          <w:bCs/>
          <w:iCs/>
          <w:szCs w:val="22"/>
          <w:lang w:eastAsia="en-US"/>
        </w:rPr>
        <w:t xml:space="preserve"> </w:t>
      </w:r>
      <w:r w:rsidRPr="00997CB0">
        <w:rPr>
          <w:bCs/>
          <w:iCs/>
          <w:szCs w:val="22"/>
          <w:lang w:eastAsia="en-US"/>
        </w:rPr>
        <w:t>2014+ alebo v</w:t>
      </w:r>
      <w:r w:rsidRPr="00F12951">
        <w:rPr>
          <w:bCs/>
          <w:iCs/>
          <w:szCs w:val="22"/>
          <w:lang w:eastAsia="en-US"/>
        </w:rPr>
        <w:t> </w:t>
      </w:r>
      <w:r w:rsidRPr="00997CB0">
        <w:rPr>
          <w:bCs/>
          <w:iCs/>
          <w:szCs w:val="22"/>
          <w:lang w:eastAsia="en-US"/>
        </w:rPr>
        <w:t>elektronických verejných registroch, RO zadefinuje vo výzve možnosť v</w:t>
      </w:r>
      <w:r w:rsidRPr="00F12951">
        <w:rPr>
          <w:bCs/>
          <w:iCs/>
          <w:szCs w:val="22"/>
          <w:lang w:eastAsia="en-US"/>
        </w:rPr>
        <w:t> </w:t>
      </w:r>
      <w:r w:rsidRPr="00997CB0">
        <w:rPr>
          <w:bCs/>
          <w:iCs/>
          <w:szCs w:val="22"/>
          <w:lang w:eastAsia="en-US"/>
        </w:rPr>
        <w:t>prípade akýchkoľvek pochybností vyzvať žiadateľa na</w:t>
      </w:r>
      <w:r w:rsidRPr="00F12951">
        <w:rPr>
          <w:bCs/>
          <w:iCs/>
          <w:szCs w:val="22"/>
          <w:lang w:eastAsia="en-US"/>
        </w:rPr>
        <w:t> </w:t>
      </w:r>
      <w:r w:rsidRPr="00997CB0">
        <w:rPr>
          <w:bCs/>
          <w:iCs/>
          <w:szCs w:val="22"/>
          <w:lang w:eastAsia="en-US"/>
        </w:rPr>
        <w:t xml:space="preserve">preukázanie splnenia podmienky. </w:t>
      </w:r>
    </w:p>
    <w:p w14:paraId="3EC78E1D" w14:textId="45C3F799" w:rsidR="00B650E5" w:rsidRPr="00CB2FF3" w:rsidRDefault="00B650E5" w:rsidP="00CB2FF3">
      <w:pPr>
        <w:numPr>
          <w:ilvl w:val="0"/>
          <w:numId w:val="219"/>
        </w:numPr>
        <w:spacing w:before="120" w:after="120"/>
        <w:ind w:left="425" w:hanging="425"/>
        <w:jc w:val="both"/>
        <w:rPr>
          <w:bCs/>
          <w:iCs/>
          <w:szCs w:val="22"/>
          <w:lang w:eastAsia="en-US"/>
        </w:rPr>
      </w:pPr>
      <w:r w:rsidRPr="00CB2FF3">
        <w:rPr>
          <w:bCs/>
          <w:iCs/>
          <w:szCs w:val="22"/>
          <w:lang w:eastAsia="en-US"/>
        </w:rPr>
        <w:t>V prípade zistenia nesplnenia podmienky poskytnutia príspevku na základe overenia v </w:t>
      </w:r>
      <w:r w:rsidRPr="00997CB0">
        <w:rPr>
          <w:bCs/>
          <w:iCs/>
          <w:szCs w:val="22"/>
          <w:lang w:eastAsia="en-US"/>
        </w:rPr>
        <w:t>elektronických verejných registroch alebo v</w:t>
      </w:r>
      <w:r>
        <w:rPr>
          <w:bCs/>
          <w:iCs/>
          <w:szCs w:val="22"/>
          <w:lang w:eastAsia="en-US"/>
        </w:rPr>
        <w:t> </w:t>
      </w:r>
      <w:r w:rsidRPr="00997CB0">
        <w:rPr>
          <w:bCs/>
          <w:iCs/>
          <w:szCs w:val="22"/>
          <w:lang w:eastAsia="en-US"/>
        </w:rPr>
        <w:t>ITMS</w:t>
      </w:r>
      <w:r w:rsidR="000141F4">
        <w:rPr>
          <w:bCs/>
          <w:iCs/>
          <w:szCs w:val="22"/>
          <w:lang w:eastAsia="en-US"/>
        </w:rPr>
        <w:t xml:space="preserve"> </w:t>
      </w:r>
      <w:r w:rsidRPr="00997CB0">
        <w:rPr>
          <w:bCs/>
          <w:iCs/>
          <w:szCs w:val="22"/>
          <w:lang w:eastAsia="en-US"/>
        </w:rPr>
        <w:t>2014+ je RO povinný vyzvať žiadateľa na</w:t>
      </w:r>
      <w:r w:rsidRPr="00F12951">
        <w:rPr>
          <w:bCs/>
          <w:iCs/>
          <w:szCs w:val="22"/>
          <w:lang w:eastAsia="en-US"/>
        </w:rPr>
        <w:t> </w:t>
      </w:r>
      <w:r w:rsidRPr="00997CB0">
        <w:rPr>
          <w:bCs/>
          <w:iCs/>
          <w:szCs w:val="22"/>
          <w:lang w:eastAsia="en-US"/>
        </w:rPr>
        <w:t xml:space="preserve">doplnenie ŽoNFP </w:t>
      </w:r>
      <w:r w:rsidRPr="00F12951">
        <w:rPr>
          <w:bCs/>
          <w:iCs/>
          <w:szCs w:val="22"/>
          <w:lang w:eastAsia="en-US"/>
        </w:rPr>
        <w:t>–</w:t>
      </w:r>
      <w:r w:rsidRPr="00997CB0">
        <w:rPr>
          <w:bCs/>
          <w:iCs/>
          <w:szCs w:val="22"/>
          <w:lang w:eastAsia="en-US"/>
        </w:rPr>
        <w:t xml:space="preserve"> doručenie potvrdenia o</w:t>
      </w:r>
      <w:r w:rsidRPr="00F12951">
        <w:rPr>
          <w:bCs/>
          <w:iCs/>
          <w:szCs w:val="22"/>
          <w:lang w:eastAsia="en-US"/>
        </w:rPr>
        <w:t> </w:t>
      </w:r>
      <w:r w:rsidRPr="00997CB0">
        <w:rPr>
          <w:bCs/>
          <w:iCs/>
          <w:szCs w:val="22"/>
          <w:lang w:eastAsia="en-US"/>
        </w:rPr>
        <w:t>splnení podmienky poskytnutia príspevku.</w:t>
      </w:r>
    </w:p>
    <w:p w14:paraId="08A3BC50" w14:textId="77777777" w:rsidR="0093167C" w:rsidRDefault="0093167C" w:rsidP="0093167C">
      <w:pPr>
        <w:numPr>
          <w:ilvl w:val="0"/>
          <w:numId w:val="219"/>
        </w:numPr>
        <w:spacing w:before="120" w:after="120"/>
        <w:ind w:left="425" w:hanging="425"/>
        <w:jc w:val="both"/>
        <w:rPr>
          <w:bCs/>
          <w:iCs/>
          <w:szCs w:val="22"/>
          <w:lang w:eastAsia="en-US"/>
        </w:rPr>
      </w:pPr>
      <w:r w:rsidRPr="009078F6">
        <w:rPr>
          <w:bCs/>
          <w:iCs/>
          <w:szCs w:val="22"/>
          <w:lang w:eastAsia="en-US"/>
        </w:rPr>
        <w:t xml:space="preserve">Odporúčaný rozsah </w:t>
      </w:r>
      <w:r w:rsidRPr="007A00B7">
        <w:rPr>
          <w:bCs/>
          <w:iCs/>
          <w:szCs w:val="22"/>
          <w:lang w:eastAsia="en-US"/>
        </w:rPr>
        <w:t>podmienok poskytnutia príspevku, ktorých relevantnosť by mal RO posúdiť v rámci prípravy každej výzvy je uvádzaný v tabuľke nižšie. RO definuje v konkrétnej výzve iba relevantné podmienky s ohľadom na charakter konkrétnej výzvy. Pri definovaní podmienok poskytnutia príspevku vo výzve je RO povinný dodržať minimálne povinný rozsah podmienok poskytnutia príspevku v súlade s § 17 ods. 3 zákona o príspevku z EŠIF.</w:t>
      </w:r>
    </w:p>
    <w:p w14:paraId="0C7C115F" w14:textId="77777777" w:rsidR="00D55F9D" w:rsidRDefault="00D55F9D" w:rsidP="0093167C">
      <w:pPr>
        <w:numPr>
          <w:ilvl w:val="0"/>
          <w:numId w:val="219"/>
        </w:numPr>
        <w:spacing w:before="120" w:after="120"/>
        <w:ind w:left="425" w:hanging="425"/>
        <w:jc w:val="both"/>
        <w:rPr>
          <w:bCs/>
          <w:iCs/>
          <w:szCs w:val="22"/>
          <w:lang w:eastAsia="en-US"/>
        </w:rPr>
      </w:pPr>
      <w:r>
        <w:rPr>
          <w:bCs/>
          <w:iCs/>
          <w:szCs w:val="22"/>
          <w:lang w:eastAsia="en-US"/>
        </w:rPr>
        <w:t>Odporúčaný rozsah podmienok poskytnutia príspevku:</w:t>
      </w:r>
    </w:p>
    <w:p w14:paraId="0A0CB4D5" w14:textId="77777777" w:rsidR="00B650E5" w:rsidRPr="00333A38" w:rsidRDefault="00B650E5">
      <w:pPr>
        <w:numPr>
          <w:ilvl w:val="0"/>
          <w:numId w:val="219"/>
        </w:numPr>
        <w:spacing w:before="120" w:after="120"/>
        <w:ind w:left="425" w:hanging="425"/>
        <w:jc w:val="both"/>
        <w:rPr>
          <w:bCs/>
          <w:iCs/>
          <w:szCs w:val="22"/>
          <w:lang w:eastAsia="en-US"/>
        </w:rPr>
        <w:sectPr w:rsidR="00B650E5" w:rsidRPr="00333A38" w:rsidSect="00803C14">
          <w:headerReference w:type="default" r:id="rId39"/>
          <w:footerReference w:type="default" r:id="rId40"/>
          <w:pgSz w:w="11906" w:h="16838"/>
          <w:pgMar w:top="1440" w:right="991" w:bottom="1440" w:left="1080" w:header="708" w:footer="708" w:gutter="0"/>
          <w:cols w:space="708"/>
          <w:rtlGutter/>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483"/>
        <w:gridCol w:w="1881"/>
        <w:gridCol w:w="3165"/>
        <w:gridCol w:w="6946"/>
        <w:gridCol w:w="2836"/>
      </w:tblGrid>
      <w:tr w:rsidR="00B650E5" w14:paraId="5BF49328" w14:textId="77777777">
        <w:trPr>
          <w:trHeight w:val="1140"/>
        </w:trPr>
        <w:tc>
          <w:tcPr>
            <w:tcW w:w="483" w:type="dxa"/>
            <w:shd w:val="clear" w:color="000000" w:fill="4F81BD"/>
            <w:vAlign w:val="center"/>
          </w:tcPr>
          <w:p w14:paraId="248212AB" w14:textId="77777777" w:rsidR="00B650E5" w:rsidRDefault="00B650E5">
            <w:pPr>
              <w:jc w:val="center"/>
              <w:rPr>
                <w:b/>
                <w:bCs/>
                <w:color w:val="FFFFFF"/>
              </w:rPr>
            </w:pPr>
            <w:r>
              <w:rPr>
                <w:b/>
                <w:bCs/>
                <w:iCs/>
                <w:color w:val="FFFFFF"/>
                <w:sz w:val="22"/>
                <w:szCs w:val="22"/>
                <w:lang w:eastAsia="en-US"/>
              </w:rPr>
              <w:lastRenderedPageBreak/>
              <w:t>P.č.</w:t>
            </w:r>
          </w:p>
        </w:tc>
        <w:tc>
          <w:tcPr>
            <w:tcW w:w="1881" w:type="dxa"/>
            <w:shd w:val="clear" w:color="000000" w:fill="4F81BD"/>
            <w:vAlign w:val="center"/>
          </w:tcPr>
          <w:p w14:paraId="2D12E1F2" w14:textId="77777777" w:rsidR="00B650E5" w:rsidRDefault="00B650E5">
            <w:pPr>
              <w:jc w:val="center"/>
              <w:rPr>
                <w:b/>
                <w:bCs/>
                <w:color w:val="FFFFFF"/>
              </w:rPr>
            </w:pPr>
            <w:r>
              <w:rPr>
                <w:b/>
                <w:bCs/>
                <w:iCs/>
                <w:color w:val="FFFFFF"/>
                <w:sz w:val="22"/>
                <w:szCs w:val="22"/>
                <w:lang w:eastAsia="en-US"/>
              </w:rPr>
              <w:t>Kategória podmienok poskytnutia príspevku</w:t>
            </w:r>
          </w:p>
        </w:tc>
        <w:tc>
          <w:tcPr>
            <w:tcW w:w="3165" w:type="dxa"/>
            <w:shd w:val="clear" w:color="000000" w:fill="4F81BD"/>
            <w:vAlign w:val="center"/>
          </w:tcPr>
          <w:p w14:paraId="4872C0C1" w14:textId="77777777" w:rsidR="00B650E5" w:rsidRDefault="00B650E5">
            <w:pPr>
              <w:jc w:val="center"/>
              <w:rPr>
                <w:b/>
                <w:bCs/>
                <w:color w:val="FFFFFF"/>
              </w:rPr>
            </w:pPr>
            <w:r>
              <w:rPr>
                <w:b/>
                <w:bCs/>
                <w:iCs/>
                <w:color w:val="FFFFFF"/>
                <w:sz w:val="22"/>
                <w:szCs w:val="22"/>
                <w:lang w:eastAsia="en-US"/>
              </w:rPr>
              <w:t>Znenie podmienky poskytnutia príspevku</w:t>
            </w:r>
          </w:p>
        </w:tc>
        <w:tc>
          <w:tcPr>
            <w:tcW w:w="6946" w:type="dxa"/>
            <w:shd w:val="clear" w:color="000000" w:fill="4F81BD"/>
            <w:vAlign w:val="center"/>
          </w:tcPr>
          <w:p w14:paraId="75597CA9" w14:textId="77777777" w:rsidR="00B650E5" w:rsidRDefault="00B650E5">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r>
              <w:rPr>
                <w:rStyle w:val="Odkaznapoznmkupodiarou"/>
                <w:b/>
                <w:bCs/>
                <w:color w:val="FFFFFF"/>
                <w:sz w:val="22"/>
                <w:szCs w:val="22"/>
              </w:rPr>
              <w:footnoteReference w:id="28"/>
            </w:r>
          </w:p>
        </w:tc>
        <w:tc>
          <w:tcPr>
            <w:tcW w:w="2836" w:type="dxa"/>
            <w:shd w:val="clear" w:color="000000" w:fill="4F81BD"/>
            <w:vAlign w:val="center"/>
          </w:tcPr>
          <w:p w14:paraId="0510435A" w14:textId="77777777" w:rsidR="00B650E5" w:rsidRDefault="00B650E5">
            <w:pPr>
              <w:jc w:val="center"/>
              <w:rPr>
                <w:b/>
                <w:bCs/>
                <w:color w:val="FFFFFF"/>
              </w:rPr>
            </w:pPr>
            <w:r>
              <w:rPr>
                <w:b/>
                <w:bCs/>
                <w:iCs/>
                <w:color w:val="FFFFFF"/>
                <w:sz w:val="22"/>
                <w:szCs w:val="22"/>
                <w:lang w:eastAsia="en-US"/>
              </w:rPr>
              <w:t>Poznámka/Odporúčanie</w:t>
            </w:r>
          </w:p>
        </w:tc>
      </w:tr>
      <w:tr w:rsidR="00B650E5" w14:paraId="0B5C1442" w14:textId="77777777">
        <w:trPr>
          <w:trHeight w:val="1523"/>
        </w:trPr>
        <w:tc>
          <w:tcPr>
            <w:tcW w:w="483" w:type="dxa"/>
            <w:vAlign w:val="center"/>
          </w:tcPr>
          <w:p w14:paraId="50BE5FF7" w14:textId="77777777" w:rsidR="00B650E5" w:rsidRDefault="00B650E5">
            <w:pPr>
              <w:jc w:val="center"/>
              <w:rPr>
                <w:b/>
                <w:bCs/>
                <w:sz w:val="20"/>
                <w:szCs w:val="20"/>
              </w:rPr>
            </w:pPr>
            <w:r>
              <w:rPr>
                <w:b/>
                <w:bCs/>
                <w:iCs/>
                <w:sz w:val="20"/>
                <w:szCs w:val="20"/>
                <w:lang w:eastAsia="en-US"/>
              </w:rPr>
              <w:t>1.</w:t>
            </w:r>
          </w:p>
        </w:tc>
        <w:tc>
          <w:tcPr>
            <w:tcW w:w="1881" w:type="dxa"/>
            <w:vAlign w:val="center"/>
          </w:tcPr>
          <w:p w14:paraId="327458EE" w14:textId="77777777" w:rsidR="00B650E5" w:rsidRDefault="00B650E5">
            <w:pPr>
              <w:jc w:val="center"/>
              <w:rPr>
                <w:sz w:val="20"/>
                <w:szCs w:val="20"/>
              </w:rPr>
            </w:pPr>
            <w:r>
              <w:rPr>
                <w:sz w:val="20"/>
                <w:szCs w:val="20"/>
              </w:rPr>
              <w:t>Oprávnenosť žiadateľa</w:t>
            </w:r>
          </w:p>
        </w:tc>
        <w:tc>
          <w:tcPr>
            <w:tcW w:w="3165" w:type="dxa"/>
            <w:vAlign w:val="center"/>
          </w:tcPr>
          <w:p w14:paraId="34845FE7" w14:textId="77777777" w:rsidR="00B650E5" w:rsidRDefault="00B650E5">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46" w:type="dxa"/>
            <w:vAlign w:val="center"/>
          </w:tcPr>
          <w:p w14:paraId="555FF8A8" w14:textId="6DCD198F" w:rsidR="00B650E5" w:rsidRDefault="00B650E5">
            <w:pPr>
              <w:rPr>
                <w:sz w:val="20"/>
                <w:szCs w:val="20"/>
              </w:rPr>
            </w:pPr>
            <w:r>
              <w:rPr>
                <w:b/>
                <w:bCs/>
                <w:sz w:val="20"/>
                <w:szCs w:val="20"/>
              </w:rPr>
              <w:t xml:space="preserve">Forma preukázania: </w:t>
            </w:r>
            <w:r w:rsidR="00DF0D33" w:rsidRPr="00997CB0">
              <w:rPr>
                <w:bCs/>
                <w:sz w:val="20"/>
                <w:szCs w:val="20"/>
              </w:rPr>
              <w:t>nevyžaduje sa</w:t>
            </w:r>
            <w:r>
              <w:rPr>
                <w:sz w:val="20"/>
                <w:szCs w:val="20"/>
              </w:rPr>
              <w:br/>
            </w:r>
            <w:r w:rsidRPr="005243B9">
              <w:rPr>
                <w:b/>
                <w:sz w:val="20"/>
                <w:szCs w:val="20"/>
              </w:rPr>
              <w:t>Spôsob overenia:</w:t>
            </w:r>
            <w:r>
              <w:rPr>
                <w:sz w:val="20"/>
                <w:szCs w:val="20"/>
              </w:rPr>
              <w:t xml:space="preserve"> ITMS 2014+ / </w:t>
            </w:r>
            <w:r w:rsidRPr="005243B9">
              <w:rPr>
                <w:sz w:val="20"/>
                <w:szCs w:val="20"/>
              </w:rPr>
              <w:t>https://rpo.statistics.sk</w:t>
            </w:r>
          </w:p>
        </w:tc>
        <w:tc>
          <w:tcPr>
            <w:tcW w:w="2836" w:type="dxa"/>
            <w:vAlign w:val="center"/>
          </w:tcPr>
          <w:p w14:paraId="5DD339C5" w14:textId="59B71450" w:rsidR="00B650E5" w:rsidRDefault="00B650E5">
            <w:pPr>
              <w:jc w:val="center"/>
              <w:rPr>
                <w:sz w:val="20"/>
                <w:szCs w:val="20"/>
              </w:rPr>
            </w:pPr>
          </w:p>
        </w:tc>
      </w:tr>
      <w:tr w:rsidR="00B650E5" w14:paraId="1C440618" w14:textId="77777777">
        <w:trPr>
          <w:trHeight w:val="1036"/>
        </w:trPr>
        <w:tc>
          <w:tcPr>
            <w:tcW w:w="483" w:type="dxa"/>
            <w:shd w:val="clear" w:color="000000" w:fill="C5D9F1"/>
            <w:vAlign w:val="center"/>
          </w:tcPr>
          <w:p w14:paraId="6681EBB6" w14:textId="77777777" w:rsidR="00B650E5" w:rsidRDefault="00B650E5">
            <w:pPr>
              <w:jc w:val="center"/>
              <w:rPr>
                <w:b/>
                <w:bCs/>
                <w:sz w:val="20"/>
                <w:szCs w:val="20"/>
              </w:rPr>
            </w:pPr>
            <w:r>
              <w:rPr>
                <w:b/>
                <w:bCs/>
                <w:iCs/>
                <w:sz w:val="20"/>
                <w:szCs w:val="20"/>
                <w:lang w:eastAsia="en-US"/>
              </w:rPr>
              <w:t>2.</w:t>
            </w:r>
          </w:p>
        </w:tc>
        <w:tc>
          <w:tcPr>
            <w:tcW w:w="1881" w:type="dxa"/>
            <w:shd w:val="clear" w:color="000000" w:fill="C5D9F1"/>
            <w:vAlign w:val="center"/>
          </w:tcPr>
          <w:p w14:paraId="213C86C0"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2A0A413A" w14:textId="77777777" w:rsidR="00B650E5" w:rsidRDefault="00B650E5" w:rsidP="009F1EAD">
            <w:pPr>
              <w:jc w:val="center"/>
              <w:rPr>
                <w:sz w:val="20"/>
                <w:szCs w:val="20"/>
              </w:rPr>
            </w:pPr>
            <w:r>
              <w:rPr>
                <w:sz w:val="20"/>
                <w:szCs w:val="20"/>
              </w:rPr>
              <w:t>Podmienka nebyť dlžníkom na daniach</w:t>
            </w:r>
            <w:r w:rsidR="009F1EAD">
              <w:rPr>
                <w:sz w:val="20"/>
                <w:szCs w:val="20"/>
              </w:rPr>
              <w:t>, vedených miestne príslušným daňovým úradom</w:t>
            </w:r>
          </w:p>
        </w:tc>
        <w:tc>
          <w:tcPr>
            <w:tcW w:w="6946" w:type="dxa"/>
            <w:shd w:val="clear" w:color="000000" w:fill="C5D9F1"/>
            <w:vAlign w:val="center"/>
          </w:tcPr>
          <w:p w14:paraId="667520DD" w14:textId="175B0A50" w:rsidR="00B650E5" w:rsidRPr="007A00B7" w:rsidRDefault="00B650E5" w:rsidP="00913352">
            <w:pPr>
              <w:rPr>
                <w:sz w:val="20"/>
                <w:szCs w:val="20"/>
              </w:rPr>
            </w:pPr>
            <w:r>
              <w:rPr>
                <w:b/>
                <w:bCs/>
                <w:sz w:val="20"/>
                <w:szCs w:val="20"/>
              </w:rPr>
              <w:t xml:space="preserve">Forma preukázania: </w:t>
            </w:r>
            <w:r w:rsidRPr="005243B9">
              <w:rPr>
                <w:bCs/>
                <w:sz w:val="20"/>
                <w:szCs w:val="20"/>
                <w:lang w:eastAsia="en-US"/>
              </w:rPr>
              <w:t>Čestné vyhlásenie</w:t>
            </w:r>
            <w:r w:rsidRPr="009078F6">
              <w:rPr>
                <w:sz w:val="20"/>
                <w:szCs w:val="20"/>
                <w:lang w:eastAsia="en-US"/>
              </w:rPr>
              <w:br/>
            </w:r>
            <w:r w:rsidRPr="000B18B1">
              <w:rPr>
                <w:b/>
                <w:sz w:val="20"/>
                <w:szCs w:val="20"/>
              </w:rPr>
              <w:t>Spôsob overenia:</w:t>
            </w:r>
            <w:r>
              <w:rPr>
                <w:sz w:val="20"/>
                <w:szCs w:val="20"/>
              </w:rPr>
              <w:t xml:space="preserve"> </w:t>
            </w:r>
            <w:r w:rsidRPr="009078F6">
              <w:rPr>
                <w:sz w:val="20"/>
                <w:szCs w:val="20"/>
                <w:lang w:eastAsia="en-US"/>
              </w:rPr>
              <w:t>ITMS</w:t>
            </w:r>
            <w:r>
              <w:rPr>
                <w:sz w:val="20"/>
                <w:szCs w:val="20"/>
                <w:lang w:eastAsia="en-US"/>
              </w:rPr>
              <w:t xml:space="preserve"> </w:t>
            </w:r>
            <w:r w:rsidRPr="009078F6">
              <w:rPr>
                <w:sz w:val="20"/>
                <w:szCs w:val="20"/>
                <w:lang w:eastAsia="en-US"/>
              </w:rPr>
              <w:t>2014+</w:t>
            </w:r>
          </w:p>
        </w:tc>
        <w:tc>
          <w:tcPr>
            <w:tcW w:w="2836" w:type="dxa"/>
            <w:shd w:val="clear" w:color="000000" w:fill="C5D9F1"/>
            <w:vAlign w:val="center"/>
          </w:tcPr>
          <w:p w14:paraId="367AB379" w14:textId="77777777" w:rsidR="00B650E5" w:rsidRPr="007A00B7" w:rsidRDefault="00B650E5">
            <w:pPr>
              <w:jc w:val="center"/>
              <w:rPr>
                <w:sz w:val="20"/>
                <w:szCs w:val="20"/>
              </w:rPr>
            </w:pPr>
            <w:r w:rsidRPr="007A00B7">
              <w:rPr>
                <w:iCs/>
                <w:sz w:val="20"/>
                <w:szCs w:val="20"/>
                <w:lang w:eastAsia="en-US"/>
              </w:rPr>
              <w:t> </w:t>
            </w:r>
          </w:p>
        </w:tc>
      </w:tr>
      <w:tr w:rsidR="00B650E5" w14:paraId="27B3EC21" w14:textId="77777777">
        <w:trPr>
          <w:trHeight w:val="981"/>
        </w:trPr>
        <w:tc>
          <w:tcPr>
            <w:tcW w:w="483" w:type="dxa"/>
            <w:vAlign w:val="center"/>
          </w:tcPr>
          <w:p w14:paraId="78AA9816" w14:textId="77777777" w:rsidR="00B650E5" w:rsidRDefault="00B650E5">
            <w:pPr>
              <w:jc w:val="center"/>
              <w:rPr>
                <w:b/>
                <w:bCs/>
                <w:sz w:val="20"/>
                <w:szCs w:val="20"/>
              </w:rPr>
            </w:pPr>
            <w:r>
              <w:rPr>
                <w:b/>
                <w:bCs/>
                <w:iCs/>
                <w:sz w:val="20"/>
                <w:szCs w:val="20"/>
                <w:lang w:eastAsia="en-US"/>
              </w:rPr>
              <w:t>3.</w:t>
            </w:r>
          </w:p>
        </w:tc>
        <w:tc>
          <w:tcPr>
            <w:tcW w:w="1881" w:type="dxa"/>
            <w:vAlign w:val="center"/>
          </w:tcPr>
          <w:p w14:paraId="43998E3C" w14:textId="77777777" w:rsidR="00B650E5" w:rsidRDefault="00B650E5">
            <w:pPr>
              <w:jc w:val="center"/>
              <w:rPr>
                <w:sz w:val="20"/>
                <w:szCs w:val="20"/>
              </w:rPr>
            </w:pPr>
            <w:r>
              <w:rPr>
                <w:bCs/>
                <w:iCs/>
                <w:sz w:val="20"/>
                <w:szCs w:val="20"/>
                <w:lang w:eastAsia="en-US"/>
              </w:rPr>
              <w:t> </w:t>
            </w:r>
          </w:p>
        </w:tc>
        <w:tc>
          <w:tcPr>
            <w:tcW w:w="3165" w:type="dxa"/>
            <w:vAlign w:val="center"/>
          </w:tcPr>
          <w:p w14:paraId="74F27294" w14:textId="77777777" w:rsidR="00B650E5" w:rsidRDefault="00B650E5">
            <w:pPr>
              <w:jc w:val="center"/>
              <w:rPr>
                <w:sz w:val="20"/>
                <w:szCs w:val="20"/>
              </w:rPr>
            </w:pPr>
            <w:r>
              <w:rPr>
                <w:sz w:val="20"/>
                <w:szCs w:val="20"/>
              </w:rPr>
              <w:t>Podmienka nebyť dlžníkom poistného na zdravotnom poistení</w:t>
            </w:r>
          </w:p>
        </w:tc>
        <w:tc>
          <w:tcPr>
            <w:tcW w:w="6946" w:type="dxa"/>
            <w:vAlign w:val="center"/>
          </w:tcPr>
          <w:p w14:paraId="14228F5B"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0CE245A4" w14:textId="2C3E515C" w:rsidR="00B650E5" w:rsidRPr="009078F6" w:rsidRDefault="00B650E5" w:rsidP="00CB2FF3">
            <w:pPr>
              <w:rPr>
                <w:sz w:val="20"/>
                <w:szCs w:val="20"/>
              </w:rPr>
            </w:pPr>
            <w:r w:rsidRPr="000B18B1">
              <w:rPr>
                <w:b/>
                <w:sz w:val="20"/>
                <w:szCs w:val="20"/>
              </w:rPr>
              <w:t>Spôsob overenia:</w:t>
            </w:r>
            <w:r>
              <w:rPr>
                <w:sz w:val="20"/>
                <w:szCs w:val="20"/>
                <w:lang w:eastAsia="en-US"/>
              </w:rPr>
              <w:t xml:space="preserve"> </w:t>
            </w:r>
            <w:r w:rsidRPr="009078F6">
              <w:rPr>
                <w:sz w:val="20"/>
                <w:szCs w:val="20"/>
                <w:lang w:eastAsia="en-US"/>
              </w:rPr>
              <w:t>ITMS</w:t>
            </w:r>
            <w:r>
              <w:rPr>
                <w:sz w:val="20"/>
                <w:szCs w:val="20"/>
                <w:lang w:eastAsia="en-US"/>
              </w:rPr>
              <w:t xml:space="preserve"> </w:t>
            </w:r>
            <w:r w:rsidRPr="009078F6">
              <w:rPr>
                <w:sz w:val="20"/>
                <w:szCs w:val="20"/>
                <w:lang w:eastAsia="en-US"/>
              </w:rPr>
              <w:t>2014+</w:t>
            </w:r>
            <w:r>
              <w:rPr>
                <w:sz w:val="20"/>
                <w:szCs w:val="20"/>
                <w:lang w:eastAsia="en-US"/>
              </w:rPr>
              <w:t xml:space="preserve"> </w:t>
            </w:r>
            <w:r w:rsidRPr="009078F6">
              <w:rPr>
                <w:sz w:val="20"/>
                <w:szCs w:val="20"/>
                <w:lang w:eastAsia="en-US"/>
              </w:rPr>
              <w:t>/</w:t>
            </w:r>
            <w:r>
              <w:rPr>
                <w:sz w:val="20"/>
                <w:szCs w:val="20"/>
                <w:lang w:eastAsia="en-US"/>
              </w:rPr>
              <w:t xml:space="preserve"> </w:t>
            </w:r>
            <w:hyperlink r:id="rId41" w:history="1">
              <w:r w:rsidRPr="000E6473">
                <w:rPr>
                  <w:rStyle w:val="Hypertextovprepojenie"/>
                  <w:sz w:val="20"/>
                  <w:szCs w:val="20"/>
                </w:rPr>
                <w:t>https://www.vszp.sk/platitelia/platenie-poistneho/zoznam-dlznikov.html</w:t>
              </w:r>
            </w:hyperlink>
            <w:r w:rsidRPr="005243B9">
              <w:rPr>
                <w:sz w:val="20"/>
                <w:szCs w:val="20"/>
              </w:rPr>
              <w:t xml:space="preserve">; </w:t>
            </w:r>
            <w:hyperlink r:id="rId42" w:history="1">
              <w:r w:rsidRPr="000E6473">
                <w:rPr>
                  <w:rStyle w:val="Hypertextovprepojenie"/>
                  <w:sz w:val="20"/>
                  <w:szCs w:val="20"/>
                </w:rPr>
                <w:t>http://www.dovera.sk/overenia/dlznici/zoznam-dlznikov</w:t>
              </w:r>
            </w:hyperlink>
            <w:r w:rsidRPr="005243B9">
              <w:rPr>
                <w:sz w:val="20"/>
                <w:szCs w:val="20"/>
              </w:rPr>
              <w:t xml:space="preserve">; </w:t>
            </w:r>
            <w:hyperlink r:id="rId43" w:history="1">
              <w:r w:rsidRPr="000E6473">
                <w:rPr>
                  <w:rStyle w:val="Hypertextovprepojenie"/>
                  <w:sz w:val="20"/>
                  <w:szCs w:val="20"/>
                </w:rPr>
                <w:t>https://www.union.sk/zoznam-dlznikov</w:t>
              </w:r>
            </w:hyperlink>
            <w:r>
              <w:rPr>
                <w:sz w:val="20"/>
                <w:szCs w:val="20"/>
              </w:rPr>
              <w:t xml:space="preserve"> </w:t>
            </w:r>
            <w:r w:rsidRPr="005243B9">
              <w:rPr>
                <w:sz w:val="20"/>
                <w:szCs w:val="20"/>
              </w:rPr>
              <w:t>/ čestné vyhlásenie</w:t>
            </w:r>
          </w:p>
        </w:tc>
        <w:tc>
          <w:tcPr>
            <w:tcW w:w="2836" w:type="dxa"/>
            <w:vAlign w:val="center"/>
          </w:tcPr>
          <w:p w14:paraId="5F96652A" w14:textId="77777777" w:rsidR="00B650E5" w:rsidRPr="007A00B7" w:rsidRDefault="00B650E5" w:rsidP="00913352">
            <w:pPr>
              <w:jc w:val="center"/>
              <w:rPr>
                <w:sz w:val="20"/>
                <w:szCs w:val="20"/>
              </w:rPr>
            </w:pPr>
            <w:r w:rsidRPr="005243B9">
              <w:rPr>
                <w:sz w:val="20"/>
                <w:szCs w:val="20"/>
              </w:rPr>
              <w:t>V prípade overenia iba na</w:t>
            </w:r>
            <w:r>
              <w:rPr>
                <w:sz w:val="20"/>
                <w:szCs w:val="20"/>
              </w:rPr>
              <w:t> </w:t>
            </w:r>
            <w:r w:rsidRPr="005243B9">
              <w:rPr>
                <w:sz w:val="20"/>
                <w:szCs w:val="20"/>
              </w:rPr>
              <w:t xml:space="preserve">základe čestného vyhlásenia je RO </w:t>
            </w:r>
            <w:r w:rsidRPr="00EF1320">
              <w:rPr>
                <w:sz w:val="20"/>
                <w:szCs w:val="20"/>
              </w:rPr>
              <w:t xml:space="preserve">povinný overiť podmienku </w:t>
            </w:r>
            <w:r w:rsidRPr="00450D3D">
              <w:rPr>
                <w:sz w:val="20"/>
                <w:szCs w:val="20"/>
              </w:rPr>
              <w:t>najn</w:t>
            </w:r>
            <w:r w:rsidRPr="000B18B1">
              <w:rPr>
                <w:sz w:val="20"/>
                <w:szCs w:val="20"/>
              </w:rPr>
              <w:t>eskôr do 6 mesiacov od</w:t>
            </w:r>
            <w:r>
              <w:rPr>
                <w:sz w:val="20"/>
                <w:szCs w:val="20"/>
              </w:rPr>
              <w:t> </w:t>
            </w:r>
            <w:r w:rsidRPr="000B18B1">
              <w:rPr>
                <w:sz w:val="20"/>
                <w:szCs w:val="20"/>
              </w:rPr>
              <w:t>začatia realizácie hlavných aktivít projektu</w:t>
            </w:r>
            <w:r>
              <w:rPr>
                <w:sz w:val="20"/>
                <w:szCs w:val="20"/>
              </w:rPr>
              <w:t>.</w:t>
            </w:r>
            <w:r w:rsidRPr="007A00B7">
              <w:rPr>
                <w:iCs/>
                <w:sz w:val="20"/>
                <w:szCs w:val="20"/>
                <w:lang w:eastAsia="en-US"/>
              </w:rPr>
              <w:t>  </w:t>
            </w:r>
          </w:p>
        </w:tc>
      </w:tr>
      <w:tr w:rsidR="00B650E5" w14:paraId="5C430BD9" w14:textId="77777777">
        <w:trPr>
          <w:trHeight w:val="981"/>
        </w:trPr>
        <w:tc>
          <w:tcPr>
            <w:tcW w:w="483" w:type="dxa"/>
            <w:shd w:val="clear" w:color="000000" w:fill="C5D9F1"/>
            <w:vAlign w:val="center"/>
          </w:tcPr>
          <w:p w14:paraId="3C7668BC" w14:textId="77777777" w:rsidR="00B650E5" w:rsidRDefault="00B650E5">
            <w:pPr>
              <w:jc w:val="center"/>
              <w:rPr>
                <w:b/>
                <w:bCs/>
                <w:sz w:val="20"/>
                <w:szCs w:val="20"/>
              </w:rPr>
            </w:pPr>
            <w:r>
              <w:rPr>
                <w:b/>
                <w:bCs/>
                <w:iCs/>
                <w:sz w:val="20"/>
                <w:szCs w:val="20"/>
                <w:lang w:eastAsia="en-US"/>
              </w:rPr>
              <w:t>4.</w:t>
            </w:r>
          </w:p>
        </w:tc>
        <w:tc>
          <w:tcPr>
            <w:tcW w:w="1881" w:type="dxa"/>
            <w:shd w:val="clear" w:color="000000" w:fill="C5D9F1"/>
            <w:vAlign w:val="center"/>
          </w:tcPr>
          <w:p w14:paraId="259CB75C" w14:textId="77777777" w:rsidR="00B650E5" w:rsidRDefault="00B650E5">
            <w:pPr>
              <w:jc w:val="center"/>
              <w:rPr>
                <w:sz w:val="20"/>
                <w:szCs w:val="20"/>
              </w:rPr>
            </w:pPr>
            <w:r>
              <w:rPr>
                <w:iCs/>
                <w:sz w:val="20"/>
                <w:szCs w:val="20"/>
                <w:lang w:eastAsia="en-US"/>
              </w:rPr>
              <w:t> </w:t>
            </w:r>
          </w:p>
        </w:tc>
        <w:tc>
          <w:tcPr>
            <w:tcW w:w="3165" w:type="dxa"/>
            <w:shd w:val="clear" w:color="000000" w:fill="C5D9F1"/>
            <w:vAlign w:val="center"/>
          </w:tcPr>
          <w:p w14:paraId="08330DB5" w14:textId="77777777" w:rsidR="00B650E5" w:rsidRDefault="00B650E5">
            <w:pPr>
              <w:jc w:val="center"/>
              <w:rPr>
                <w:sz w:val="20"/>
                <w:szCs w:val="20"/>
              </w:rPr>
            </w:pPr>
            <w:r>
              <w:rPr>
                <w:sz w:val="20"/>
                <w:szCs w:val="20"/>
              </w:rPr>
              <w:t xml:space="preserve">Podmienka nebyť dlžníkom na sociálnom poistení </w:t>
            </w:r>
          </w:p>
        </w:tc>
        <w:tc>
          <w:tcPr>
            <w:tcW w:w="6946" w:type="dxa"/>
            <w:shd w:val="clear" w:color="000000" w:fill="C5D9F1"/>
            <w:vAlign w:val="center"/>
          </w:tcPr>
          <w:p w14:paraId="29A17E98"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33825CA5" w14:textId="5053F027" w:rsidR="00B650E5" w:rsidRPr="009078F6" w:rsidRDefault="00B650E5" w:rsidP="00CB2FF3">
            <w:pPr>
              <w:rPr>
                <w:sz w:val="20"/>
                <w:szCs w:val="20"/>
              </w:rPr>
            </w:pPr>
            <w:r w:rsidRPr="000B18B1">
              <w:rPr>
                <w:b/>
                <w:sz w:val="20"/>
                <w:szCs w:val="20"/>
              </w:rPr>
              <w:t>Spôsob overenia:</w:t>
            </w:r>
            <w:r>
              <w:rPr>
                <w:sz w:val="20"/>
                <w:szCs w:val="20"/>
              </w:rPr>
              <w:t xml:space="preserve"> </w:t>
            </w:r>
            <w:r w:rsidRPr="009078F6">
              <w:rPr>
                <w:sz w:val="20"/>
                <w:szCs w:val="20"/>
              </w:rPr>
              <w:t>ITMS</w:t>
            </w:r>
            <w:r>
              <w:rPr>
                <w:sz w:val="20"/>
                <w:szCs w:val="20"/>
              </w:rPr>
              <w:t xml:space="preserve"> </w:t>
            </w:r>
            <w:r w:rsidRPr="009078F6">
              <w:rPr>
                <w:sz w:val="20"/>
                <w:szCs w:val="20"/>
              </w:rPr>
              <w:t>2014+</w:t>
            </w:r>
            <w:r>
              <w:rPr>
                <w:sz w:val="20"/>
                <w:szCs w:val="20"/>
              </w:rPr>
              <w:t xml:space="preserve"> </w:t>
            </w:r>
            <w:r w:rsidRPr="009078F6">
              <w:rPr>
                <w:sz w:val="20"/>
                <w:szCs w:val="20"/>
              </w:rPr>
              <w:t xml:space="preserve">/ </w:t>
            </w:r>
            <w:hyperlink r:id="rId44" w:history="1">
              <w:r w:rsidRPr="000E6473">
                <w:rPr>
                  <w:rStyle w:val="Hypertextovprepojenie"/>
                  <w:sz w:val="20"/>
                  <w:szCs w:val="20"/>
                </w:rPr>
                <w:t>http://www.socpoist.sk/zoznam-dlznikov-emw/487s</w:t>
              </w:r>
            </w:hyperlink>
            <w:r>
              <w:rPr>
                <w:sz w:val="20"/>
                <w:szCs w:val="20"/>
              </w:rPr>
              <w:t xml:space="preserve">  / čestné vyhlásenie</w:t>
            </w:r>
          </w:p>
        </w:tc>
        <w:tc>
          <w:tcPr>
            <w:tcW w:w="2836" w:type="dxa"/>
            <w:shd w:val="clear" w:color="000000" w:fill="C5D9F1"/>
            <w:vAlign w:val="center"/>
          </w:tcPr>
          <w:p w14:paraId="2B28EE19" w14:textId="77777777" w:rsidR="00B650E5" w:rsidRPr="007A00B7" w:rsidRDefault="00B650E5" w:rsidP="00913352">
            <w:pPr>
              <w:jc w:val="center"/>
              <w:rPr>
                <w:sz w:val="20"/>
                <w:szCs w:val="20"/>
              </w:rPr>
            </w:pPr>
            <w:r w:rsidRPr="000B18B1">
              <w:rPr>
                <w:sz w:val="20"/>
                <w:szCs w:val="20"/>
              </w:rPr>
              <w:t>V prípade overenia iba na</w:t>
            </w:r>
            <w:r>
              <w:rPr>
                <w:sz w:val="20"/>
                <w:szCs w:val="20"/>
              </w:rPr>
              <w:t> </w:t>
            </w:r>
            <w:r w:rsidRPr="000B18B1">
              <w:rPr>
                <w:sz w:val="20"/>
                <w:szCs w:val="20"/>
              </w:rPr>
              <w:t>základe čestného vyhlásenia je RO povinný overiť podmienku najneskôr do 6 mesiacov od</w:t>
            </w:r>
            <w:r>
              <w:rPr>
                <w:sz w:val="20"/>
                <w:szCs w:val="20"/>
              </w:rPr>
              <w:t> </w:t>
            </w:r>
            <w:r w:rsidRPr="000B18B1">
              <w:rPr>
                <w:sz w:val="20"/>
                <w:szCs w:val="20"/>
              </w:rPr>
              <w:t>začatia realizácie hlavných aktivít projektu</w:t>
            </w:r>
            <w:r>
              <w:rPr>
                <w:sz w:val="20"/>
                <w:szCs w:val="20"/>
              </w:rPr>
              <w:t>.</w:t>
            </w:r>
            <w:r w:rsidRPr="007A00B7">
              <w:rPr>
                <w:iCs/>
                <w:sz w:val="20"/>
                <w:szCs w:val="20"/>
                <w:lang w:eastAsia="en-US"/>
              </w:rPr>
              <w:t>  </w:t>
            </w:r>
          </w:p>
        </w:tc>
      </w:tr>
      <w:tr w:rsidR="00B650E5" w14:paraId="598888EB" w14:textId="77777777">
        <w:trPr>
          <w:trHeight w:val="952"/>
        </w:trPr>
        <w:tc>
          <w:tcPr>
            <w:tcW w:w="483" w:type="dxa"/>
            <w:vAlign w:val="center"/>
          </w:tcPr>
          <w:p w14:paraId="132A6AB6" w14:textId="77777777" w:rsidR="00B650E5" w:rsidRDefault="00B650E5">
            <w:pPr>
              <w:jc w:val="center"/>
              <w:rPr>
                <w:b/>
                <w:bCs/>
                <w:sz w:val="20"/>
                <w:szCs w:val="20"/>
              </w:rPr>
            </w:pPr>
            <w:r>
              <w:rPr>
                <w:b/>
                <w:bCs/>
                <w:iCs/>
                <w:sz w:val="20"/>
                <w:szCs w:val="20"/>
                <w:lang w:eastAsia="en-US"/>
              </w:rPr>
              <w:t>5.</w:t>
            </w:r>
          </w:p>
        </w:tc>
        <w:tc>
          <w:tcPr>
            <w:tcW w:w="1881" w:type="dxa"/>
            <w:vAlign w:val="center"/>
          </w:tcPr>
          <w:p w14:paraId="5D4C8AA7" w14:textId="77777777" w:rsidR="00B650E5" w:rsidRDefault="00B650E5">
            <w:pPr>
              <w:jc w:val="center"/>
              <w:rPr>
                <w:sz w:val="20"/>
                <w:szCs w:val="20"/>
              </w:rPr>
            </w:pPr>
            <w:r>
              <w:rPr>
                <w:bCs/>
                <w:iCs/>
                <w:sz w:val="20"/>
                <w:szCs w:val="20"/>
                <w:lang w:eastAsia="en-US"/>
              </w:rPr>
              <w:t> </w:t>
            </w:r>
          </w:p>
        </w:tc>
        <w:tc>
          <w:tcPr>
            <w:tcW w:w="3165" w:type="dxa"/>
            <w:vAlign w:val="center"/>
          </w:tcPr>
          <w:p w14:paraId="5C700DE5" w14:textId="77777777" w:rsidR="00B650E5" w:rsidRDefault="00B650E5">
            <w:pPr>
              <w:jc w:val="center"/>
              <w:rPr>
                <w:sz w:val="20"/>
                <w:szCs w:val="20"/>
              </w:rPr>
            </w:pPr>
            <w:r>
              <w:rPr>
                <w:sz w:val="20"/>
                <w:szCs w:val="20"/>
              </w:rPr>
              <w:t>Podmienka, že voči žiadateľovi nie je vedené konkurzné konanie, reštrukturalizačné konanie, nie  je v konkurze alebo v reštrukturalizácii</w:t>
            </w:r>
          </w:p>
        </w:tc>
        <w:tc>
          <w:tcPr>
            <w:tcW w:w="6946" w:type="dxa"/>
            <w:vAlign w:val="center"/>
          </w:tcPr>
          <w:p w14:paraId="51D1F33D"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7E6D5E52" w14:textId="28F1D60C" w:rsidR="00B650E5" w:rsidRPr="009078F6" w:rsidRDefault="00B650E5" w:rsidP="00913352">
            <w:pPr>
              <w:rPr>
                <w:sz w:val="20"/>
                <w:szCs w:val="20"/>
              </w:rPr>
            </w:pPr>
            <w:r w:rsidRPr="000B18B1">
              <w:rPr>
                <w:b/>
                <w:sz w:val="20"/>
                <w:szCs w:val="20"/>
              </w:rPr>
              <w:t>Spôsob overenia:</w:t>
            </w:r>
            <w:r>
              <w:rPr>
                <w:sz w:val="20"/>
                <w:szCs w:val="20"/>
              </w:rPr>
              <w:t xml:space="preserve"> </w:t>
            </w:r>
            <w:r w:rsidRPr="009078F6">
              <w:rPr>
                <w:sz w:val="20"/>
                <w:szCs w:val="20"/>
                <w:lang w:eastAsia="en-US"/>
              </w:rPr>
              <w:t>ITMS</w:t>
            </w:r>
            <w:r>
              <w:rPr>
                <w:sz w:val="20"/>
                <w:szCs w:val="20"/>
                <w:lang w:eastAsia="en-US"/>
              </w:rPr>
              <w:t xml:space="preserve"> </w:t>
            </w:r>
            <w:r w:rsidRPr="009078F6">
              <w:rPr>
                <w:sz w:val="20"/>
                <w:szCs w:val="20"/>
                <w:lang w:eastAsia="en-US"/>
              </w:rPr>
              <w:t xml:space="preserve">2014+ </w:t>
            </w:r>
          </w:p>
        </w:tc>
        <w:tc>
          <w:tcPr>
            <w:tcW w:w="2836" w:type="dxa"/>
            <w:vAlign w:val="center"/>
          </w:tcPr>
          <w:p w14:paraId="44C876F6" w14:textId="77777777" w:rsidR="00B650E5" w:rsidRPr="007A00B7" w:rsidRDefault="00B650E5">
            <w:pPr>
              <w:jc w:val="center"/>
              <w:rPr>
                <w:sz w:val="20"/>
                <w:szCs w:val="20"/>
              </w:rPr>
            </w:pPr>
            <w:r w:rsidRPr="009078F6">
              <w:rPr>
                <w:sz w:val="20"/>
                <w:szCs w:val="20"/>
              </w:rPr>
              <w:t xml:space="preserve">Podmienka sa nevzťahuje na </w:t>
            </w:r>
            <w:r>
              <w:rPr>
                <w:sz w:val="20"/>
                <w:szCs w:val="20"/>
              </w:rPr>
              <w:t>subjekty</w:t>
            </w:r>
            <w:r w:rsidRPr="007A00B7">
              <w:rPr>
                <w:sz w:val="20"/>
                <w:szCs w:val="20"/>
              </w:rPr>
              <w:t> podľa § 2 zákona  o konkurze a reštrukturalizácii</w:t>
            </w:r>
          </w:p>
        </w:tc>
      </w:tr>
      <w:tr w:rsidR="00B650E5" w14:paraId="17A368D7" w14:textId="77777777">
        <w:trPr>
          <w:trHeight w:val="900"/>
        </w:trPr>
        <w:tc>
          <w:tcPr>
            <w:tcW w:w="483" w:type="dxa"/>
            <w:shd w:val="clear" w:color="000000" w:fill="C5D9F1"/>
            <w:vAlign w:val="center"/>
          </w:tcPr>
          <w:p w14:paraId="65F97922" w14:textId="77777777" w:rsidR="00B650E5" w:rsidRDefault="00B650E5">
            <w:pPr>
              <w:jc w:val="center"/>
              <w:rPr>
                <w:b/>
                <w:bCs/>
                <w:sz w:val="20"/>
                <w:szCs w:val="20"/>
              </w:rPr>
            </w:pPr>
            <w:r>
              <w:rPr>
                <w:b/>
                <w:bCs/>
                <w:iCs/>
                <w:sz w:val="20"/>
                <w:szCs w:val="20"/>
                <w:lang w:eastAsia="en-US"/>
              </w:rPr>
              <w:t>6.</w:t>
            </w:r>
          </w:p>
        </w:tc>
        <w:tc>
          <w:tcPr>
            <w:tcW w:w="1881" w:type="dxa"/>
            <w:shd w:val="clear" w:color="000000" w:fill="C5D9F1"/>
            <w:vAlign w:val="center"/>
          </w:tcPr>
          <w:p w14:paraId="2EA8FE6B"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24352C62" w14:textId="77777777" w:rsidR="00B650E5" w:rsidRDefault="00B650E5">
            <w:pPr>
              <w:jc w:val="center"/>
              <w:rPr>
                <w:sz w:val="20"/>
                <w:szCs w:val="20"/>
              </w:rPr>
            </w:pPr>
            <w:r>
              <w:rPr>
                <w:sz w:val="20"/>
                <w:szCs w:val="20"/>
              </w:rPr>
              <w:t xml:space="preserve">Podmienka zákazu vedenia výkonu rozhodnutia voči žiadateľovi  </w:t>
            </w:r>
          </w:p>
          <w:p w14:paraId="26F47974" w14:textId="77777777" w:rsidR="00B650E5" w:rsidRDefault="00B650E5">
            <w:pPr>
              <w:jc w:val="center"/>
              <w:rPr>
                <w:sz w:val="20"/>
                <w:szCs w:val="20"/>
              </w:rPr>
            </w:pPr>
          </w:p>
        </w:tc>
        <w:tc>
          <w:tcPr>
            <w:tcW w:w="6946" w:type="dxa"/>
            <w:shd w:val="clear" w:color="000000" w:fill="C5D9F1"/>
            <w:vAlign w:val="center"/>
          </w:tcPr>
          <w:p w14:paraId="0BE4266B" w14:textId="086E3AC1" w:rsidR="00B650E5" w:rsidRPr="007A00B7" w:rsidRDefault="00B650E5" w:rsidP="00913352">
            <w:pPr>
              <w:rPr>
                <w:sz w:val="20"/>
                <w:szCs w:val="20"/>
              </w:rPr>
            </w:pPr>
            <w:r>
              <w:rPr>
                <w:b/>
                <w:bCs/>
                <w:sz w:val="20"/>
                <w:szCs w:val="20"/>
              </w:rPr>
              <w:t xml:space="preserve">Forma preukázania: </w:t>
            </w:r>
            <w:r w:rsidRPr="00997CB0">
              <w:rPr>
                <w:bCs/>
                <w:sz w:val="20"/>
                <w:szCs w:val="20"/>
                <w:lang w:eastAsia="en-US"/>
              </w:rPr>
              <w:t>Čestné vyhlásenie</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Čestné vyhlásenie</w:t>
            </w:r>
          </w:p>
        </w:tc>
        <w:tc>
          <w:tcPr>
            <w:tcW w:w="2836" w:type="dxa"/>
            <w:shd w:val="clear" w:color="000000" w:fill="C5D9F1"/>
            <w:vAlign w:val="center"/>
          </w:tcPr>
          <w:p w14:paraId="4AA29117" w14:textId="77777777" w:rsidR="00B650E5" w:rsidRPr="007A00B7" w:rsidRDefault="00B650E5">
            <w:pPr>
              <w:jc w:val="center"/>
              <w:rPr>
                <w:sz w:val="20"/>
                <w:szCs w:val="20"/>
              </w:rPr>
            </w:pPr>
            <w:r w:rsidRPr="007A00B7">
              <w:rPr>
                <w:sz w:val="20"/>
                <w:szCs w:val="20"/>
              </w:rPr>
              <w:t xml:space="preserve">V rámci tejto podmienky poskytnutia príspevku je RO povinný zabezpečiť, aby v prípade relevantných prípadov </w:t>
            </w:r>
            <w:r w:rsidRPr="007A00B7">
              <w:rPr>
                <w:sz w:val="20"/>
                <w:szCs w:val="20"/>
              </w:rPr>
              <w:lastRenderedPageBreak/>
              <w:t>bola overená aj skutočnosť, že projekt nezahŕňa činnosti, ktoré boli súčasťou operácie,</w:t>
            </w:r>
          </w:p>
          <w:p w14:paraId="59A4FE5D" w14:textId="77777777" w:rsidR="00B650E5" w:rsidRPr="007A00B7" w:rsidRDefault="00B650E5">
            <w:pPr>
              <w:jc w:val="center"/>
              <w:rPr>
                <w:sz w:val="20"/>
                <w:szCs w:val="20"/>
              </w:rPr>
            </w:pPr>
            <w:r w:rsidRPr="007A00B7">
              <w:rPr>
                <w:sz w:val="20"/>
                <w:szCs w:val="20"/>
              </w:rPr>
              <w:t>v prípade ktorej sa začalo alebo malo začať vymáhacie</w:t>
            </w:r>
          </w:p>
          <w:p w14:paraId="29BF1BEA" w14:textId="77777777" w:rsidR="00B650E5" w:rsidRPr="007A00B7" w:rsidRDefault="00B650E5">
            <w:pPr>
              <w:jc w:val="center"/>
              <w:rPr>
                <w:sz w:val="20"/>
                <w:szCs w:val="20"/>
              </w:rPr>
            </w:pPr>
            <w:r w:rsidRPr="007A00B7">
              <w:rPr>
                <w:sz w:val="20"/>
                <w:szCs w:val="20"/>
              </w:rPr>
              <w:t>konanie v súlade s článkom 71 všeobecného nariadenia po premiestnení výrobnej</w:t>
            </w:r>
          </w:p>
          <w:p w14:paraId="239EA997" w14:textId="77777777" w:rsidR="00B650E5" w:rsidRPr="007A00B7" w:rsidRDefault="00B650E5">
            <w:pPr>
              <w:jc w:val="center"/>
              <w:rPr>
                <w:sz w:val="20"/>
                <w:szCs w:val="20"/>
              </w:rPr>
            </w:pPr>
            <w:r w:rsidRPr="007A00B7">
              <w:rPr>
                <w:sz w:val="20"/>
                <w:szCs w:val="20"/>
              </w:rPr>
              <w:t xml:space="preserve">činnosti mimo oblasti programu. </w:t>
            </w:r>
          </w:p>
          <w:p w14:paraId="18DCC792" w14:textId="07D0AF7F" w:rsidR="00B650E5" w:rsidRPr="007A00B7" w:rsidRDefault="00B650E5">
            <w:pPr>
              <w:jc w:val="center"/>
              <w:rPr>
                <w:sz w:val="20"/>
                <w:szCs w:val="20"/>
              </w:rPr>
            </w:pPr>
            <w:r w:rsidRPr="007A00B7">
              <w:rPr>
                <w:sz w:val="20"/>
                <w:szCs w:val="20"/>
              </w:rPr>
              <w:t xml:space="preserve">Podmienka sa netýka výkonu rozhodnutia voči členom riadiacich a dozorných orgánov žiadateľa, ale je relevantná vo vzťahu k subjektu žiadateľa. Nerelevantné pre ministerstvá, ostatné ústredné orgány štátnej správy a ostatné štátne rozpočtové organizácie. </w:t>
            </w:r>
          </w:p>
          <w:p w14:paraId="68E0EAFA" w14:textId="77777777" w:rsidR="00B650E5" w:rsidRPr="007A00B7" w:rsidRDefault="00B650E5">
            <w:pPr>
              <w:jc w:val="center"/>
              <w:rPr>
                <w:sz w:val="20"/>
                <w:szCs w:val="20"/>
              </w:rPr>
            </w:pPr>
          </w:p>
        </w:tc>
      </w:tr>
      <w:tr w:rsidR="00B650E5" w14:paraId="163E4441" w14:textId="77777777">
        <w:trPr>
          <w:trHeight w:val="1408"/>
        </w:trPr>
        <w:tc>
          <w:tcPr>
            <w:tcW w:w="483" w:type="dxa"/>
            <w:vAlign w:val="center"/>
          </w:tcPr>
          <w:p w14:paraId="72F9C8C8" w14:textId="77777777" w:rsidR="00B650E5" w:rsidRDefault="00B650E5">
            <w:pPr>
              <w:jc w:val="center"/>
              <w:rPr>
                <w:b/>
                <w:bCs/>
                <w:sz w:val="20"/>
                <w:szCs w:val="20"/>
              </w:rPr>
            </w:pPr>
            <w:r>
              <w:rPr>
                <w:b/>
                <w:bCs/>
                <w:iCs/>
                <w:sz w:val="20"/>
                <w:szCs w:val="20"/>
                <w:lang w:eastAsia="en-US"/>
              </w:rPr>
              <w:lastRenderedPageBreak/>
              <w:t>7.</w:t>
            </w:r>
          </w:p>
        </w:tc>
        <w:tc>
          <w:tcPr>
            <w:tcW w:w="1881" w:type="dxa"/>
            <w:vAlign w:val="center"/>
          </w:tcPr>
          <w:p w14:paraId="7398A833" w14:textId="77777777" w:rsidR="00B650E5" w:rsidRDefault="00B650E5">
            <w:pPr>
              <w:jc w:val="center"/>
              <w:rPr>
                <w:sz w:val="20"/>
                <w:szCs w:val="20"/>
              </w:rPr>
            </w:pPr>
            <w:r>
              <w:rPr>
                <w:bCs/>
                <w:iCs/>
                <w:sz w:val="20"/>
                <w:szCs w:val="20"/>
                <w:lang w:eastAsia="en-US"/>
              </w:rPr>
              <w:t> </w:t>
            </w:r>
          </w:p>
        </w:tc>
        <w:tc>
          <w:tcPr>
            <w:tcW w:w="3165" w:type="dxa"/>
            <w:vAlign w:val="center"/>
          </w:tcPr>
          <w:p w14:paraId="42799CFF" w14:textId="77777777" w:rsidR="00B650E5" w:rsidRPr="009078F6" w:rsidRDefault="00B650E5">
            <w:pPr>
              <w:jc w:val="center"/>
              <w:rPr>
                <w:sz w:val="20"/>
                <w:szCs w:val="20"/>
              </w:rPr>
            </w:pPr>
            <w:r w:rsidRPr="009078F6">
              <w:rPr>
                <w:sz w:val="20"/>
                <w:szCs w:val="20"/>
              </w:rPr>
              <w:t>Podmienka, že žiadateľ nie je podnikom v ťažkostiach</w:t>
            </w:r>
          </w:p>
        </w:tc>
        <w:tc>
          <w:tcPr>
            <w:tcW w:w="6946" w:type="dxa"/>
            <w:vAlign w:val="center"/>
          </w:tcPr>
          <w:p w14:paraId="4E88AED7" w14:textId="65F45D96" w:rsidR="00B650E5" w:rsidRDefault="00B650E5" w:rsidP="00913352">
            <w:pPr>
              <w:rPr>
                <w:sz w:val="20"/>
                <w:szCs w:val="20"/>
                <w:lang w:eastAsia="en-US"/>
              </w:rPr>
            </w:pPr>
            <w:r>
              <w:rPr>
                <w:b/>
                <w:bCs/>
                <w:sz w:val="20"/>
                <w:szCs w:val="20"/>
              </w:rPr>
              <w:t xml:space="preserve">Forma preukázania: </w:t>
            </w:r>
            <w:r w:rsidRPr="000B18B1">
              <w:rPr>
                <w:bCs/>
                <w:sz w:val="20"/>
                <w:szCs w:val="20"/>
                <w:lang w:eastAsia="en-US"/>
              </w:rPr>
              <w:t>Čestné vyhlásenie</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I</w:t>
            </w:r>
            <w:r w:rsidRPr="009078F6">
              <w:rPr>
                <w:sz w:val="20"/>
                <w:szCs w:val="20"/>
                <w:lang w:eastAsia="en-US"/>
              </w:rPr>
              <w:t>nformáci</w:t>
            </w:r>
            <w:r>
              <w:rPr>
                <w:sz w:val="20"/>
                <w:szCs w:val="20"/>
                <w:lang w:eastAsia="en-US"/>
              </w:rPr>
              <w:t>e</w:t>
            </w:r>
            <w:r w:rsidRPr="009078F6">
              <w:rPr>
                <w:sz w:val="20"/>
                <w:szCs w:val="20"/>
                <w:lang w:eastAsia="en-US"/>
              </w:rPr>
              <w:t xml:space="preserve"> potrebn</w:t>
            </w:r>
            <w:r>
              <w:rPr>
                <w:sz w:val="20"/>
                <w:szCs w:val="20"/>
                <w:lang w:eastAsia="en-US"/>
              </w:rPr>
              <w:t>é</w:t>
            </w:r>
            <w:r w:rsidRPr="009078F6">
              <w:rPr>
                <w:sz w:val="20"/>
                <w:szCs w:val="20"/>
                <w:lang w:eastAsia="en-US"/>
              </w:rPr>
              <w:t xml:space="preserve"> pre overenie toho, že žiadateľ nie je podnikom v ťažko</w:t>
            </w:r>
            <w:r w:rsidRPr="007A00B7">
              <w:rPr>
                <w:sz w:val="20"/>
                <w:szCs w:val="20"/>
                <w:lang w:eastAsia="en-US"/>
              </w:rPr>
              <w:t>stiach v zmysle všeobecného nariadenie o skupinových výnimkách 651/2014, resp. Usmernenie o štátnej pomoci na záchranu a reštrukturalizáciu nefinančných podnikov v ťažkostiach (2014/C 249/01) v závislosti od toho, v režime ktorého nariadenia/usmernenia sa štátna pomoc poskytuje,  na základe údajov z účtovnej závierky (napr. zadefinovanie kritérií pre test  podniku v ťažkostiach)</w:t>
            </w:r>
            <w:r>
              <w:rPr>
                <w:sz w:val="20"/>
                <w:szCs w:val="20"/>
                <w:lang w:eastAsia="en-US"/>
              </w:rPr>
              <w:t>.</w:t>
            </w:r>
          </w:p>
          <w:p w14:paraId="6CA83D87" w14:textId="123FC5C3" w:rsidR="00B650E5" w:rsidRPr="007A00B7" w:rsidRDefault="00B650E5" w:rsidP="00CA2631">
            <w:pPr>
              <w:rPr>
                <w:sz w:val="20"/>
                <w:szCs w:val="20"/>
              </w:rPr>
            </w:pPr>
            <w:r>
              <w:rPr>
                <w:sz w:val="20"/>
                <w:szCs w:val="20"/>
                <w:lang w:eastAsia="en-US"/>
              </w:rPr>
              <w:t>Účtovná závierka je získavaná prostredníctvom ITMS 2014+ (v</w:t>
            </w:r>
            <w:r w:rsidRPr="005243B9">
              <w:rPr>
                <w:sz w:val="20"/>
                <w:szCs w:val="20"/>
                <w:lang w:eastAsia="en-US"/>
              </w:rPr>
              <w:t> prípade, ak nie je účtovnú závierku</w:t>
            </w:r>
            <w:r w:rsidR="00CA2631">
              <w:rPr>
                <w:sz w:val="20"/>
                <w:szCs w:val="20"/>
                <w:lang w:eastAsia="en-US"/>
              </w:rPr>
              <w:t xml:space="preserve">, resp. jej časť </w:t>
            </w:r>
            <w:r w:rsidRPr="005243B9">
              <w:rPr>
                <w:sz w:val="20"/>
                <w:szCs w:val="20"/>
                <w:lang w:eastAsia="en-US"/>
              </w:rPr>
              <w:t>možné získať z</w:t>
            </w:r>
            <w:r>
              <w:rPr>
                <w:sz w:val="20"/>
                <w:szCs w:val="20"/>
                <w:lang w:eastAsia="en-US"/>
              </w:rPr>
              <w:t> </w:t>
            </w:r>
            <w:r w:rsidRPr="005243B9">
              <w:rPr>
                <w:sz w:val="20"/>
                <w:szCs w:val="20"/>
                <w:lang w:eastAsia="en-US"/>
              </w:rPr>
              <w:t>ITMS</w:t>
            </w:r>
            <w:r>
              <w:rPr>
                <w:sz w:val="20"/>
                <w:szCs w:val="20"/>
                <w:lang w:eastAsia="en-US"/>
              </w:rPr>
              <w:t xml:space="preserve"> </w:t>
            </w:r>
            <w:r w:rsidRPr="005243B9">
              <w:rPr>
                <w:sz w:val="20"/>
                <w:szCs w:val="20"/>
                <w:lang w:eastAsia="en-US"/>
              </w:rPr>
              <w:t>2014+, žiadateľ predkladá účtovnú závierku vo forme skenu).</w:t>
            </w:r>
          </w:p>
        </w:tc>
        <w:tc>
          <w:tcPr>
            <w:tcW w:w="2836" w:type="dxa"/>
            <w:vAlign w:val="center"/>
          </w:tcPr>
          <w:p w14:paraId="0D4D5291" w14:textId="77777777" w:rsidR="00B650E5" w:rsidRPr="007A00B7" w:rsidRDefault="00B650E5">
            <w:pPr>
              <w:jc w:val="center"/>
              <w:rPr>
                <w:sz w:val="20"/>
                <w:szCs w:val="20"/>
              </w:rPr>
            </w:pPr>
          </w:p>
          <w:p w14:paraId="6A653527" w14:textId="77777777" w:rsidR="00B650E5" w:rsidRPr="009078F6" w:rsidRDefault="00B650E5">
            <w:pPr>
              <w:jc w:val="center"/>
              <w:rPr>
                <w:sz w:val="20"/>
                <w:szCs w:val="20"/>
              </w:rPr>
            </w:pPr>
            <w:r w:rsidRPr="007A00B7">
              <w:rPr>
                <w:sz w:val="20"/>
                <w:szCs w:val="20"/>
              </w:rPr>
              <w:t xml:space="preserve">Nie je relevantné pre štátne rozpočtové organizácie. Nie je relevantné pre štátne príspevkové organizácie, obce a nimi zriadené rozpočtové a príspevkové organizácie, ak charakter ich činnosti, ktorú budú vykonávať v súvislosti s projektom, nemá charakter hospodárskej činnosti ako vyplýva z práva EÚ. Poskytovateľ sa môže rozhodnúť, že overenie, či štátna príspevková organizácia, obec alebo nimi zriadená rozpočtová alebo príspevková organizácia je podnikom v ťažkostiach vykoná bez ohľadu na charakter činnosti, ktorú budú tieto subjekty vykonávať v súvislosti </w:t>
            </w:r>
            <w:r w:rsidRPr="007A00B7">
              <w:rPr>
                <w:sz w:val="20"/>
                <w:szCs w:val="20"/>
              </w:rPr>
              <w:lastRenderedPageBreak/>
              <w:t>s </w:t>
            </w:r>
            <w:r w:rsidRPr="009078F6">
              <w:rPr>
                <w:sz w:val="20"/>
                <w:szCs w:val="20"/>
              </w:rPr>
              <w:t>projektom.</w:t>
            </w:r>
          </w:p>
          <w:p w14:paraId="47B50703" w14:textId="33929585" w:rsidR="00B650E5" w:rsidRDefault="00B650E5">
            <w:pPr>
              <w:jc w:val="center"/>
              <w:rPr>
                <w:sz w:val="20"/>
                <w:szCs w:val="20"/>
              </w:rPr>
            </w:pPr>
            <w:r w:rsidRPr="009078F6">
              <w:rPr>
                <w:sz w:val="20"/>
                <w:szCs w:val="20"/>
              </w:rPr>
              <w:t>Podmienka sa týka osobitne aj  projektov financovaných z  Kohézneho fondu v nadväznosti na čl. 2, ods. 2, písm. e) nariadenia o </w:t>
            </w:r>
            <w:r w:rsidRPr="007A00B7">
              <w:rPr>
                <w:sz w:val="20"/>
                <w:szCs w:val="20"/>
              </w:rPr>
              <w:t>KF a projektov financovaných  Európskeho fondu regionálneho rozvoja podľa čl. 3 ods. 3, písm. d) nariadenia o</w:t>
            </w:r>
            <w:r>
              <w:rPr>
                <w:sz w:val="20"/>
                <w:szCs w:val="20"/>
              </w:rPr>
              <w:t> </w:t>
            </w:r>
            <w:r w:rsidRPr="007A00B7">
              <w:rPr>
                <w:sz w:val="20"/>
                <w:szCs w:val="20"/>
              </w:rPr>
              <w:t>EFRR</w:t>
            </w:r>
            <w:r>
              <w:rPr>
                <w:sz w:val="20"/>
                <w:szCs w:val="20"/>
              </w:rPr>
              <w:t xml:space="preserve">. </w:t>
            </w:r>
          </w:p>
          <w:p w14:paraId="06DAE2DF" w14:textId="77777777" w:rsidR="00B650E5" w:rsidRPr="007A00B7" w:rsidRDefault="00B650E5">
            <w:pPr>
              <w:jc w:val="center"/>
              <w:rPr>
                <w:sz w:val="20"/>
                <w:szCs w:val="20"/>
              </w:rPr>
            </w:pPr>
            <w:r w:rsidRPr="005243B9">
              <w:rPr>
                <w:sz w:val="20"/>
                <w:szCs w:val="20"/>
              </w:rPr>
              <w:t>Pri projektoch, financovaných z ESF a ENRF sa podmienka overuje iba v prípade, ak sú podporované v rámci schém štátnej pomoci</w:t>
            </w:r>
            <w:r>
              <w:rPr>
                <w:sz w:val="20"/>
                <w:szCs w:val="20"/>
              </w:rPr>
              <w:t>.</w:t>
            </w:r>
          </w:p>
        </w:tc>
      </w:tr>
      <w:tr w:rsidR="00B650E5" w14:paraId="4B55FF00" w14:textId="77777777">
        <w:trPr>
          <w:trHeight w:val="600"/>
        </w:trPr>
        <w:tc>
          <w:tcPr>
            <w:tcW w:w="483" w:type="dxa"/>
            <w:shd w:val="clear" w:color="000000" w:fill="C5D9F1"/>
            <w:vAlign w:val="center"/>
          </w:tcPr>
          <w:p w14:paraId="6DCD30C6" w14:textId="77777777" w:rsidR="00B650E5" w:rsidRDefault="00B650E5">
            <w:pPr>
              <w:jc w:val="center"/>
              <w:rPr>
                <w:b/>
                <w:bCs/>
                <w:sz w:val="20"/>
                <w:szCs w:val="20"/>
              </w:rPr>
            </w:pPr>
            <w:r>
              <w:rPr>
                <w:b/>
                <w:bCs/>
                <w:iCs/>
                <w:sz w:val="20"/>
                <w:szCs w:val="20"/>
                <w:lang w:eastAsia="en-US"/>
              </w:rPr>
              <w:lastRenderedPageBreak/>
              <w:t>8.</w:t>
            </w:r>
          </w:p>
        </w:tc>
        <w:tc>
          <w:tcPr>
            <w:tcW w:w="1881" w:type="dxa"/>
            <w:shd w:val="clear" w:color="000000" w:fill="C5D9F1"/>
            <w:vAlign w:val="center"/>
          </w:tcPr>
          <w:p w14:paraId="73D520DA"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525A2E06" w14:textId="77777777" w:rsidR="00B650E5" w:rsidRPr="009078F6" w:rsidRDefault="00B650E5">
            <w:pPr>
              <w:jc w:val="center"/>
              <w:rPr>
                <w:sz w:val="20"/>
                <w:szCs w:val="20"/>
              </w:rPr>
            </w:pPr>
            <w:r w:rsidRPr="009078F6">
              <w:rPr>
                <w:sz w:val="20"/>
                <w:szCs w:val="20"/>
              </w:rPr>
              <w:t>Podmienka, že voči žiadateľovi sa nenárokuje vrátenie pomoci na základe rozhodnutia EK, ktorým bola pomoc označená za neoprávnenú a nezlučiteľnú so spoločným trhom</w:t>
            </w:r>
          </w:p>
        </w:tc>
        <w:tc>
          <w:tcPr>
            <w:tcW w:w="6946" w:type="dxa"/>
            <w:shd w:val="clear" w:color="000000" w:fill="C5D9F1"/>
            <w:vAlign w:val="center"/>
          </w:tcPr>
          <w:p w14:paraId="68A48C7F" w14:textId="08FD27AE" w:rsidR="00B650E5" w:rsidRPr="007A00B7" w:rsidRDefault="00B650E5">
            <w:pPr>
              <w:rPr>
                <w:sz w:val="20"/>
                <w:szCs w:val="20"/>
              </w:rPr>
            </w:pPr>
            <w:r>
              <w:rPr>
                <w:b/>
                <w:bCs/>
                <w:sz w:val="20"/>
                <w:szCs w:val="20"/>
              </w:rPr>
              <w:t xml:space="preserve">Forma preukázania: </w:t>
            </w:r>
            <w:r w:rsidRPr="00997CB0">
              <w:rPr>
                <w:bCs/>
                <w:sz w:val="20"/>
                <w:szCs w:val="20"/>
                <w:lang w:eastAsia="en-US"/>
              </w:rPr>
              <w:t>Čestné vyhlásenie</w:t>
            </w:r>
            <w:r w:rsidRPr="009078F6">
              <w:rPr>
                <w:sz w:val="20"/>
                <w:szCs w:val="20"/>
                <w:lang w:eastAsia="en-US"/>
              </w:rPr>
              <w:br/>
            </w:r>
            <w:r w:rsidRPr="000B18B1">
              <w:rPr>
                <w:b/>
                <w:sz w:val="20"/>
                <w:szCs w:val="20"/>
              </w:rPr>
              <w:t>Spôsob overenia:</w:t>
            </w:r>
            <w:r>
              <w:rPr>
                <w:b/>
                <w:sz w:val="20"/>
                <w:szCs w:val="20"/>
              </w:rPr>
              <w:t xml:space="preserve"> </w:t>
            </w:r>
            <w:r w:rsidR="00385D6F" w:rsidRPr="00385D6F">
              <w:rPr>
                <w:sz w:val="20"/>
                <w:szCs w:val="20"/>
              </w:rPr>
              <w:t>http://ec.europa.eu/competition/state_aid/studies_reports/recovery.html</w:t>
            </w:r>
          </w:p>
        </w:tc>
        <w:tc>
          <w:tcPr>
            <w:tcW w:w="2836" w:type="dxa"/>
            <w:shd w:val="clear" w:color="000000" w:fill="C5D9F1"/>
            <w:vAlign w:val="center"/>
          </w:tcPr>
          <w:p w14:paraId="0BAEC8B2" w14:textId="77777777" w:rsidR="00B650E5" w:rsidRPr="007A00B7" w:rsidRDefault="00B650E5">
            <w:pPr>
              <w:jc w:val="center"/>
              <w:rPr>
                <w:sz w:val="20"/>
                <w:szCs w:val="20"/>
              </w:rPr>
            </w:pPr>
            <w:r w:rsidRPr="007A00B7">
              <w:rPr>
                <w:sz w:val="20"/>
                <w:szCs w:val="20"/>
              </w:rPr>
              <w:t>Relevantné v prípade subjektov, pre ktoré je v zmysle výzvy povinné preukázať splnenie predmetnej podmienky poskytnutia príspevku</w:t>
            </w:r>
          </w:p>
        </w:tc>
      </w:tr>
      <w:tr w:rsidR="00B650E5" w14:paraId="7A459F99" w14:textId="77777777" w:rsidTr="00997CB0">
        <w:trPr>
          <w:trHeight w:val="360"/>
        </w:trPr>
        <w:tc>
          <w:tcPr>
            <w:tcW w:w="483" w:type="dxa"/>
            <w:vAlign w:val="center"/>
          </w:tcPr>
          <w:p w14:paraId="3D246E87" w14:textId="77777777" w:rsidR="00B650E5" w:rsidRDefault="00B650E5">
            <w:pPr>
              <w:jc w:val="center"/>
              <w:rPr>
                <w:b/>
                <w:bCs/>
                <w:sz w:val="20"/>
                <w:szCs w:val="20"/>
              </w:rPr>
            </w:pPr>
            <w:r>
              <w:rPr>
                <w:b/>
                <w:bCs/>
                <w:iCs/>
                <w:sz w:val="20"/>
                <w:szCs w:val="20"/>
                <w:lang w:eastAsia="en-US"/>
              </w:rPr>
              <w:t>9.</w:t>
            </w:r>
          </w:p>
        </w:tc>
        <w:tc>
          <w:tcPr>
            <w:tcW w:w="1881" w:type="dxa"/>
            <w:vAlign w:val="center"/>
          </w:tcPr>
          <w:p w14:paraId="39B10E7B" w14:textId="77777777" w:rsidR="00B650E5" w:rsidRDefault="00B650E5">
            <w:pPr>
              <w:jc w:val="center"/>
              <w:rPr>
                <w:sz w:val="20"/>
                <w:szCs w:val="20"/>
              </w:rPr>
            </w:pPr>
            <w:r>
              <w:rPr>
                <w:bCs/>
                <w:iCs/>
                <w:sz w:val="20"/>
                <w:szCs w:val="20"/>
                <w:lang w:eastAsia="en-US"/>
              </w:rPr>
              <w:t> </w:t>
            </w:r>
          </w:p>
        </w:tc>
        <w:tc>
          <w:tcPr>
            <w:tcW w:w="3165" w:type="dxa"/>
            <w:vAlign w:val="center"/>
          </w:tcPr>
          <w:p w14:paraId="58854B91" w14:textId="77777777" w:rsidR="00B650E5" w:rsidRPr="009078F6" w:rsidRDefault="00B650E5">
            <w:pPr>
              <w:jc w:val="center"/>
              <w:rPr>
                <w:sz w:val="20"/>
                <w:szCs w:val="20"/>
              </w:rPr>
            </w:pPr>
            <w:r w:rsidRPr="009078F6">
              <w:rPr>
                <w:sz w:val="20"/>
                <w:szCs w:val="20"/>
              </w:rPr>
              <w:t>Podmienka finančnej spôsobilosti spolufinancovania projektu</w:t>
            </w:r>
          </w:p>
        </w:tc>
        <w:tc>
          <w:tcPr>
            <w:tcW w:w="6946" w:type="dxa"/>
            <w:vAlign w:val="center"/>
          </w:tcPr>
          <w:p w14:paraId="0CB0CD13" w14:textId="77777777" w:rsidR="00B650E5"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75B80BBE" w14:textId="77777777" w:rsidR="00B650E5" w:rsidRPr="005243B9" w:rsidRDefault="00B650E5" w:rsidP="00913352">
            <w:pPr>
              <w:rPr>
                <w:bCs/>
                <w:sz w:val="20"/>
                <w:szCs w:val="20"/>
                <w:lang w:eastAsia="en-US"/>
              </w:rPr>
            </w:pPr>
            <w:r w:rsidRPr="000B18B1">
              <w:rPr>
                <w:b/>
                <w:sz w:val="20"/>
                <w:szCs w:val="20"/>
              </w:rPr>
              <w:t>Spôsob overenia:</w:t>
            </w:r>
            <w:r>
              <w:rPr>
                <w:sz w:val="20"/>
                <w:szCs w:val="20"/>
              </w:rPr>
              <w:t xml:space="preserve"> </w:t>
            </w:r>
            <w:r w:rsidRPr="00EF1320">
              <w:rPr>
                <w:bCs/>
                <w:sz w:val="20"/>
                <w:szCs w:val="20"/>
                <w:lang w:eastAsia="en-US"/>
              </w:rPr>
              <w:t>ITMS</w:t>
            </w:r>
            <w:r>
              <w:rPr>
                <w:bCs/>
                <w:sz w:val="20"/>
                <w:szCs w:val="20"/>
                <w:lang w:eastAsia="en-US"/>
              </w:rPr>
              <w:t xml:space="preserve"> </w:t>
            </w:r>
            <w:r w:rsidRPr="00EF1320">
              <w:rPr>
                <w:bCs/>
                <w:sz w:val="20"/>
                <w:szCs w:val="20"/>
                <w:lang w:eastAsia="en-US"/>
              </w:rPr>
              <w:t>2014+ (</w:t>
            </w:r>
            <w:r>
              <w:rPr>
                <w:bCs/>
                <w:sz w:val="20"/>
                <w:szCs w:val="20"/>
                <w:lang w:eastAsia="en-US"/>
              </w:rPr>
              <w:t>ú</w:t>
            </w:r>
            <w:r w:rsidRPr="005243B9">
              <w:rPr>
                <w:bCs/>
                <w:sz w:val="20"/>
                <w:szCs w:val="20"/>
                <w:lang w:eastAsia="en-US"/>
              </w:rPr>
              <w:t>daje z účtovnej závierky)</w:t>
            </w:r>
            <w:r>
              <w:rPr>
                <w:bCs/>
                <w:sz w:val="20"/>
                <w:szCs w:val="20"/>
                <w:lang w:eastAsia="en-US"/>
              </w:rPr>
              <w:t xml:space="preserve"> /</w:t>
            </w:r>
            <w:r w:rsidRPr="005243B9">
              <w:rPr>
                <w:bCs/>
                <w:sz w:val="20"/>
                <w:szCs w:val="20"/>
                <w:lang w:eastAsia="en-US"/>
              </w:rPr>
              <w:t xml:space="preserve"> </w:t>
            </w:r>
            <w:r>
              <w:rPr>
                <w:bCs/>
                <w:sz w:val="20"/>
                <w:szCs w:val="20"/>
                <w:lang w:eastAsia="en-US"/>
              </w:rPr>
              <w:t xml:space="preserve">čestné vyhlásenie / </w:t>
            </w:r>
          </w:p>
          <w:p w14:paraId="30A780EB" w14:textId="028D46F6" w:rsidR="00B650E5" w:rsidRPr="007A00B7" w:rsidRDefault="00B650E5" w:rsidP="00913352">
            <w:pPr>
              <w:rPr>
                <w:sz w:val="20"/>
                <w:szCs w:val="20"/>
              </w:rPr>
            </w:pPr>
            <w:r w:rsidRPr="005243B9">
              <w:rPr>
                <w:bCs/>
                <w:sz w:val="20"/>
                <w:szCs w:val="20"/>
                <w:lang w:eastAsia="en-US"/>
              </w:rPr>
              <w:t>údaje zo zoskenovaného dokumentu</w:t>
            </w:r>
            <w:r>
              <w:rPr>
                <w:bCs/>
                <w:sz w:val="20"/>
                <w:szCs w:val="20"/>
                <w:lang w:eastAsia="en-US"/>
              </w:rPr>
              <w:t xml:space="preserve"> (</w:t>
            </w:r>
            <w:r w:rsidRPr="007A00B7">
              <w:rPr>
                <w:sz w:val="20"/>
                <w:szCs w:val="20"/>
                <w:lang w:eastAsia="en-US"/>
              </w:rPr>
              <w:t xml:space="preserve">RO </w:t>
            </w:r>
            <w:r>
              <w:rPr>
                <w:sz w:val="20"/>
                <w:szCs w:val="20"/>
                <w:lang w:eastAsia="en-US"/>
              </w:rPr>
              <w:t xml:space="preserve">môže v prípade potreby </w:t>
            </w:r>
            <w:r w:rsidRPr="007A00B7">
              <w:rPr>
                <w:sz w:val="20"/>
                <w:szCs w:val="20"/>
                <w:lang w:eastAsia="en-US"/>
              </w:rPr>
              <w:t>defin</w:t>
            </w:r>
            <w:r>
              <w:rPr>
                <w:sz w:val="20"/>
                <w:szCs w:val="20"/>
                <w:lang w:eastAsia="en-US"/>
              </w:rPr>
              <w:t>ovať</w:t>
            </w:r>
            <w:r w:rsidRPr="007A00B7">
              <w:rPr>
                <w:sz w:val="20"/>
                <w:szCs w:val="20"/>
                <w:lang w:eastAsia="en-US"/>
              </w:rPr>
              <w:t xml:space="preserve"> povinnú prílohu predkladanú žiadateľom v závislosti od charakteru a veľkosti projektu a predpokladanej dĺžky realizácie projektu </w:t>
            </w:r>
            <w:r>
              <w:rPr>
                <w:sz w:val="20"/>
                <w:szCs w:val="20"/>
                <w:lang w:eastAsia="en-US"/>
              </w:rPr>
              <w:t>/</w:t>
            </w:r>
            <w:r w:rsidRPr="007A00B7">
              <w:rPr>
                <w:sz w:val="20"/>
                <w:szCs w:val="20"/>
                <w:lang w:eastAsia="en-US"/>
              </w:rPr>
              <w:t>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w:t>
            </w:r>
            <w:r>
              <w:rPr>
                <w:sz w:val="20"/>
                <w:szCs w:val="20"/>
                <w:lang w:eastAsia="en-US"/>
              </w:rPr>
              <w:t>/</w:t>
            </w:r>
            <w:r w:rsidRPr="007A00B7">
              <w:rPr>
                <w:sz w:val="20"/>
                <w:szCs w:val="20"/>
                <w:lang w:eastAsia="en-US"/>
              </w:rPr>
              <w:t xml:space="preserve">) </w:t>
            </w:r>
          </w:p>
        </w:tc>
        <w:tc>
          <w:tcPr>
            <w:tcW w:w="2836" w:type="dxa"/>
            <w:vAlign w:val="center"/>
          </w:tcPr>
          <w:p w14:paraId="25098BD1" w14:textId="77777777" w:rsidR="00B650E5" w:rsidRPr="007A00B7" w:rsidRDefault="00B650E5">
            <w:pPr>
              <w:jc w:val="center"/>
              <w:rPr>
                <w:sz w:val="20"/>
                <w:szCs w:val="20"/>
              </w:rPr>
            </w:pPr>
            <w:r w:rsidRPr="007A00B7">
              <w:rPr>
                <w:bCs/>
                <w:iCs/>
                <w:sz w:val="20"/>
                <w:szCs w:val="20"/>
                <w:lang w:eastAsia="en-US"/>
              </w:rPr>
              <w:t xml:space="preserve">Relevantné pre prípady subjektov s povinným spolufinancovaním v zmysle podmienok určených vo výzve. Zadefinovanie podmienky poskytnutia príspevku je s ohľadom na rozhodnutie RO a charakter projektov možné napr. v podobe, </w:t>
            </w:r>
            <w:r>
              <w:rPr>
                <w:bCs/>
                <w:iCs/>
                <w:sz w:val="20"/>
                <w:szCs w:val="20"/>
                <w:lang w:eastAsia="en-US"/>
              </w:rPr>
              <w:t xml:space="preserve">že </w:t>
            </w:r>
            <w:r w:rsidRPr="007A00B7">
              <w:rPr>
                <w:bCs/>
                <w:iCs/>
                <w:sz w:val="20"/>
                <w:szCs w:val="20"/>
                <w:lang w:eastAsia="en-US"/>
              </w:rPr>
              <w:t>žiadateľ bude povinný preukázať spolufinancovanie, napr. minimálne vo výške 50</w:t>
            </w:r>
            <w:r w:rsidR="00C93F30">
              <w:rPr>
                <w:bCs/>
                <w:iCs/>
                <w:sz w:val="20"/>
                <w:szCs w:val="20"/>
                <w:lang w:eastAsia="en-US"/>
              </w:rPr>
              <w:t xml:space="preserve"> </w:t>
            </w:r>
            <w:r w:rsidRPr="007A00B7">
              <w:rPr>
                <w:bCs/>
                <w:iCs/>
                <w:sz w:val="20"/>
                <w:szCs w:val="20"/>
                <w:lang w:eastAsia="en-US"/>
              </w:rPr>
              <w:t>% výšky povinného spolufinancovania oprávnených výdavkov projektu.</w:t>
            </w:r>
          </w:p>
        </w:tc>
      </w:tr>
      <w:tr w:rsidR="00B650E5" w14:paraId="3FA048EC" w14:textId="77777777" w:rsidTr="00997CB0">
        <w:trPr>
          <w:trHeight w:val="1200"/>
        </w:trPr>
        <w:tc>
          <w:tcPr>
            <w:tcW w:w="483" w:type="dxa"/>
            <w:tcBorders>
              <w:bottom w:val="single" w:sz="4" w:space="0" w:color="auto"/>
            </w:tcBorders>
            <w:shd w:val="clear" w:color="000000" w:fill="C5D9F1"/>
            <w:vAlign w:val="center"/>
          </w:tcPr>
          <w:p w14:paraId="5C08A625" w14:textId="77777777" w:rsidR="00B650E5" w:rsidRDefault="00B650E5">
            <w:pPr>
              <w:jc w:val="center"/>
              <w:rPr>
                <w:b/>
                <w:bCs/>
                <w:sz w:val="20"/>
                <w:szCs w:val="20"/>
              </w:rPr>
            </w:pPr>
            <w:r>
              <w:rPr>
                <w:b/>
                <w:bCs/>
                <w:iCs/>
                <w:sz w:val="20"/>
                <w:szCs w:val="20"/>
                <w:lang w:eastAsia="en-US"/>
              </w:rPr>
              <w:t>10.</w:t>
            </w:r>
          </w:p>
        </w:tc>
        <w:tc>
          <w:tcPr>
            <w:tcW w:w="1881" w:type="dxa"/>
            <w:tcBorders>
              <w:bottom w:val="single" w:sz="4" w:space="0" w:color="auto"/>
            </w:tcBorders>
            <w:shd w:val="clear" w:color="000000" w:fill="C5D9F1"/>
            <w:vAlign w:val="center"/>
          </w:tcPr>
          <w:p w14:paraId="52DAB321" w14:textId="77777777" w:rsidR="00B650E5" w:rsidRDefault="00B650E5">
            <w:pPr>
              <w:jc w:val="center"/>
              <w:rPr>
                <w:sz w:val="20"/>
                <w:szCs w:val="20"/>
              </w:rPr>
            </w:pPr>
            <w:r>
              <w:rPr>
                <w:iCs/>
                <w:sz w:val="20"/>
                <w:szCs w:val="20"/>
                <w:lang w:eastAsia="en-US"/>
              </w:rPr>
              <w:t> </w:t>
            </w:r>
          </w:p>
        </w:tc>
        <w:tc>
          <w:tcPr>
            <w:tcW w:w="3165" w:type="dxa"/>
            <w:tcBorders>
              <w:bottom w:val="single" w:sz="4" w:space="0" w:color="auto"/>
            </w:tcBorders>
            <w:shd w:val="clear" w:color="000000" w:fill="C5D9F1"/>
            <w:vAlign w:val="center"/>
          </w:tcPr>
          <w:p w14:paraId="2B16E317" w14:textId="77777777" w:rsidR="00B650E5" w:rsidRPr="007A00B7" w:rsidRDefault="00B650E5">
            <w:pPr>
              <w:jc w:val="center"/>
              <w:rPr>
                <w:sz w:val="20"/>
                <w:szCs w:val="20"/>
              </w:rPr>
            </w:pP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xml:space="preserve">§ 8a ods. 4 zákona </w:t>
            </w:r>
            <w:r w:rsidRPr="007A00B7">
              <w:rPr>
                <w:sz w:val="20"/>
                <w:szCs w:val="20"/>
                <w:lang w:eastAsia="en-US"/>
              </w:rPr>
              <w:lastRenderedPageBreak/>
              <w:t>o podpore regionálneho rozvoja</w:t>
            </w:r>
          </w:p>
        </w:tc>
        <w:tc>
          <w:tcPr>
            <w:tcW w:w="6946" w:type="dxa"/>
            <w:tcBorders>
              <w:bottom w:val="single" w:sz="4" w:space="0" w:color="auto"/>
            </w:tcBorders>
            <w:shd w:val="clear" w:color="000000" w:fill="C5D9F1"/>
            <w:vAlign w:val="center"/>
          </w:tcPr>
          <w:p w14:paraId="2812A4A0" w14:textId="77777777" w:rsidR="00B650E5" w:rsidRDefault="00B650E5">
            <w:pPr>
              <w:rPr>
                <w:bCs/>
                <w:sz w:val="20"/>
                <w:szCs w:val="20"/>
              </w:rPr>
            </w:pPr>
            <w:r>
              <w:rPr>
                <w:b/>
                <w:bCs/>
                <w:sz w:val="20"/>
                <w:szCs w:val="20"/>
              </w:rPr>
              <w:lastRenderedPageBreak/>
              <w:t xml:space="preserve">Forma preukázania: </w:t>
            </w:r>
            <w:r w:rsidRPr="00997CB0">
              <w:rPr>
                <w:bCs/>
                <w:sz w:val="20"/>
                <w:szCs w:val="20"/>
              </w:rPr>
              <w:t>Uznesenie (výpis z</w:t>
            </w:r>
            <w:r w:rsidRPr="00F12951">
              <w:rPr>
                <w:bCs/>
                <w:sz w:val="20"/>
                <w:szCs w:val="20"/>
              </w:rPr>
              <w:t> </w:t>
            </w:r>
            <w:r w:rsidRPr="00997CB0">
              <w:rPr>
                <w:bCs/>
                <w:sz w:val="20"/>
                <w:szCs w:val="20"/>
              </w:rPr>
              <w:t>uznesenia) o</w:t>
            </w:r>
            <w:r w:rsidRPr="00F12951">
              <w:rPr>
                <w:bCs/>
                <w:sz w:val="20"/>
                <w:szCs w:val="20"/>
              </w:rPr>
              <w:t> </w:t>
            </w:r>
            <w:r w:rsidRPr="00997CB0">
              <w:rPr>
                <w:bCs/>
                <w:sz w:val="20"/>
                <w:szCs w:val="20"/>
              </w:rPr>
              <w:t>schválení programu rozvoja a</w:t>
            </w:r>
            <w:r w:rsidRPr="00F12951">
              <w:rPr>
                <w:bCs/>
                <w:sz w:val="20"/>
                <w:szCs w:val="20"/>
              </w:rPr>
              <w:t> </w:t>
            </w:r>
            <w:r w:rsidRPr="00997CB0">
              <w:rPr>
                <w:bCs/>
                <w:sz w:val="20"/>
                <w:szCs w:val="20"/>
              </w:rPr>
              <w:t>príslušnej územnoplánovacej dokumentácie</w:t>
            </w:r>
            <w:r>
              <w:rPr>
                <w:bCs/>
                <w:sz w:val="20"/>
                <w:szCs w:val="20"/>
              </w:rPr>
              <w:t xml:space="preserve"> (sken)</w:t>
            </w:r>
          </w:p>
          <w:p w14:paraId="6E425B99" w14:textId="77777777" w:rsidR="00B650E5" w:rsidRPr="007A00B7" w:rsidRDefault="00B650E5" w:rsidP="00913352">
            <w:pPr>
              <w:rPr>
                <w:sz w:val="20"/>
                <w:szCs w:val="20"/>
              </w:rPr>
            </w:pPr>
            <w:r w:rsidRPr="000B18B1">
              <w:rPr>
                <w:b/>
                <w:sz w:val="20"/>
                <w:szCs w:val="20"/>
              </w:rPr>
              <w:t>Spôsob overenia:</w:t>
            </w:r>
            <w:r>
              <w:rPr>
                <w:b/>
                <w:sz w:val="20"/>
                <w:szCs w:val="20"/>
              </w:rPr>
              <w:t xml:space="preserve"> </w:t>
            </w:r>
            <w:r w:rsidRPr="005243B9">
              <w:rPr>
                <w:bCs/>
                <w:sz w:val="20"/>
                <w:szCs w:val="20"/>
              </w:rPr>
              <w:t>Uznesenie (výpis z uznesenia) o schválení programu rozvoja a príslušnej územnoplánovacej dokumentácie</w:t>
            </w:r>
            <w:r>
              <w:rPr>
                <w:bCs/>
                <w:sz w:val="20"/>
                <w:szCs w:val="20"/>
              </w:rPr>
              <w:t xml:space="preserve"> (sken)</w:t>
            </w:r>
            <w:r w:rsidRPr="007A00B7">
              <w:rPr>
                <w:sz w:val="20"/>
                <w:szCs w:val="20"/>
              </w:rPr>
              <w:br/>
            </w:r>
          </w:p>
        </w:tc>
        <w:tc>
          <w:tcPr>
            <w:tcW w:w="2836" w:type="dxa"/>
            <w:tcBorders>
              <w:bottom w:val="single" w:sz="4" w:space="0" w:color="auto"/>
            </w:tcBorders>
            <w:shd w:val="clear" w:color="000000" w:fill="C5D9F1"/>
            <w:vAlign w:val="center"/>
          </w:tcPr>
          <w:p w14:paraId="02C0F5BF" w14:textId="77777777" w:rsidR="00B650E5" w:rsidRPr="007A00B7" w:rsidRDefault="00B650E5">
            <w:pPr>
              <w:jc w:val="center"/>
              <w:rPr>
                <w:sz w:val="20"/>
                <w:szCs w:val="20"/>
              </w:rPr>
            </w:pPr>
            <w:r w:rsidRPr="007A00B7">
              <w:rPr>
                <w:sz w:val="20"/>
                <w:szCs w:val="20"/>
              </w:rPr>
              <w:t>Relevantné pre subjekty územnej samosprávy</w:t>
            </w:r>
          </w:p>
        </w:tc>
      </w:tr>
      <w:tr w:rsidR="00B650E5" w14:paraId="299FFAD8" w14:textId="77777777" w:rsidTr="00997CB0">
        <w:trPr>
          <w:trHeight w:val="274"/>
        </w:trPr>
        <w:tc>
          <w:tcPr>
            <w:tcW w:w="483" w:type="dxa"/>
            <w:tcBorders>
              <w:top w:val="single" w:sz="4" w:space="0" w:color="auto"/>
              <w:left w:val="single" w:sz="4" w:space="0" w:color="auto"/>
              <w:bottom w:val="single" w:sz="4" w:space="0" w:color="auto"/>
              <w:right w:val="single" w:sz="4" w:space="0" w:color="auto"/>
            </w:tcBorders>
          </w:tcPr>
          <w:p w14:paraId="031A69D8" w14:textId="77777777" w:rsidR="00B650E5" w:rsidRDefault="00B650E5">
            <w:pPr>
              <w:jc w:val="center"/>
              <w:rPr>
                <w:b/>
                <w:bCs/>
                <w:sz w:val="20"/>
                <w:szCs w:val="20"/>
              </w:rPr>
            </w:pPr>
            <w:r>
              <w:rPr>
                <w:b/>
                <w:bCs/>
                <w:iCs/>
                <w:sz w:val="20"/>
                <w:szCs w:val="20"/>
                <w:lang w:eastAsia="en-US"/>
              </w:rPr>
              <w:t>11.</w:t>
            </w:r>
          </w:p>
        </w:tc>
        <w:tc>
          <w:tcPr>
            <w:tcW w:w="1881" w:type="dxa"/>
            <w:tcBorders>
              <w:top w:val="single" w:sz="4" w:space="0" w:color="auto"/>
              <w:left w:val="single" w:sz="4" w:space="0" w:color="auto"/>
              <w:bottom w:val="single" w:sz="4" w:space="0" w:color="auto"/>
              <w:right w:val="single" w:sz="4" w:space="0" w:color="auto"/>
            </w:tcBorders>
          </w:tcPr>
          <w:p w14:paraId="275B415D" w14:textId="77777777" w:rsidR="00B650E5" w:rsidRDefault="00B650E5">
            <w:pPr>
              <w:jc w:val="center"/>
              <w:rPr>
                <w:sz w:val="20"/>
                <w:szCs w:val="20"/>
              </w:rPr>
            </w:pPr>
            <w:r>
              <w:rPr>
                <w:bCs/>
                <w:iCs/>
                <w:sz w:val="20"/>
                <w:szCs w:val="20"/>
                <w:lang w:eastAsia="en-US"/>
              </w:rPr>
              <w:t> </w:t>
            </w:r>
          </w:p>
        </w:tc>
        <w:tc>
          <w:tcPr>
            <w:tcW w:w="3165" w:type="dxa"/>
            <w:tcBorders>
              <w:top w:val="single" w:sz="4" w:space="0" w:color="auto"/>
              <w:left w:val="single" w:sz="4" w:space="0" w:color="auto"/>
              <w:bottom w:val="single" w:sz="4" w:space="0" w:color="auto"/>
              <w:right w:val="single" w:sz="4" w:space="0" w:color="auto"/>
            </w:tcBorders>
          </w:tcPr>
          <w:p w14:paraId="72E7419C" w14:textId="5C2EB86A" w:rsidR="00B650E5" w:rsidRDefault="00B650E5" w:rsidP="003D4A37">
            <w:pPr>
              <w:jc w:val="center"/>
              <w:rPr>
                <w:sz w:val="20"/>
                <w:szCs w:val="20"/>
              </w:rPr>
            </w:pPr>
            <w:r>
              <w:rPr>
                <w:sz w:val="20"/>
                <w:szCs w:val="20"/>
              </w:rPr>
              <w:t xml:space="preserve">Podmienka, že žiadateľ ani jeho štatutárny orgán, ani žiadny člen štatutárneho orgánu, ani prokurista/i, ani osoba splnomocnená zastupovať žiadateľa v konaní  o ŽoNFP  neboli právoplatne odsúdení za trestný čin korupcie, za trestný čin poškodzovania finančných záujmov </w:t>
            </w:r>
            <w:r w:rsidR="003D4A37">
              <w:rPr>
                <w:sz w:val="20"/>
                <w:szCs w:val="20"/>
              </w:rPr>
              <w:t>Európskej únie</w:t>
            </w:r>
            <w:r>
              <w:rPr>
                <w:sz w:val="20"/>
                <w:szCs w:val="20"/>
              </w:rPr>
              <w:t>, za trestný čin legalizácie príjmu z trestnej činnosti, za trestný čin založenia, zosnovania a podporovania zločineckej skupiny, alebo za trestný čin machinácie pri verejnom obstarávaní a verejnej dražbe </w:t>
            </w:r>
          </w:p>
        </w:tc>
        <w:tc>
          <w:tcPr>
            <w:tcW w:w="6946" w:type="dxa"/>
            <w:tcBorders>
              <w:top w:val="single" w:sz="4" w:space="0" w:color="auto"/>
              <w:left w:val="single" w:sz="4" w:space="0" w:color="auto"/>
              <w:bottom w:val="single" w:sz="4" w:space="0" w:color="auto"/>
              <w:right w:val="single" w:sz="4" w:space="0" w:color="auto"/>
            </w:tcBorders>
          </w:tcPr>
          <w:p w14:paraId="2CCCF0B0" w14:textId="77777777" w:rsidR="00B650E5"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4D3A62E2" w14:textId="159993E3" w:rsidR="00B650E5" w:rsidRDefault="00B650E5" w:rsidP="00913352">
            <w:pPr>
              <w:rPr>
                <w:sz w:val="20"/>
                <w:szCs w:val="20"/>
                <w:lang w:eastAsia="en-US"/>
              </w:rPr>
            </w:pPr>
            <w:r w:rsidRPr="000B18B1">
              <w:rPr>
                <w:b/>
                <w:sz w:val="20"/>
                <w:szCs w:val="20"/>
              </w:rPr>
              <w:t>Spôsob overenia:</w:t>
            </w:r>
            <w:r>
              <w:rPr>
                <w:sz w:val="20"/>
                <w:szCs w:val="20"/>
              </w:rPr>
              <w:t xml:space="preserve"> </w:t>
            </w:r>
            <w:r>
              <w:rPr>
                <w:sz w:val="20"/>
                <w:szCs w:val="20"/>
                <w:lang w:eastAsia="en-US"/>
              </w:rPr>
              <w:t xml:space="preserve">ITMS 2014+ / čestné vyhlásenie / výpis z registra trestov </w:t>
            </w:r>
          </w:p>
          <w:p w14:paraId="53F054DD" w14:textId="4C1FB4C2" w:rsidR="00B650E5" w:rsidRDefault="00B650E5" w:rsidP="00913352">
            <w:pPr>
              <w:rPr>
                <w:sz w:val="20"/>
                <w:szCs w:val="20"/>
                <w:lang w:eastAsia="en-US"/>
              </w:rPr>
            </w:pPr>
            <w:r>
              <w:rPr>
                <w:sz w:val="20"/>
                <w:szCs w:val="20"/>
                <w:lang w:eastAsia="en-US"/>
              </w:rPr>
              <w:t xml:space="preserve">Systém včasného </w:t>
            </w:r>
            <w:r w:rsidR="00724C46">
              <w:rPr>
                <w:sz w:val="20"/>
                <w:szCs w:val="20"/>
                <w:lang w:eastAsia="en-US"/>
              </w:rPr>
              <w:t>odhaľovania rizika</w:t>
            </w:r>
            <w:r w:rsidR="00CA2631">
              <w:rPr>
                <w:sz w:val="20"/>
                <w:szCs w:val="20"/>
                <w:lang w:eastAsia="en-US"/>
              </w:rPr>
              <w:t> </w:t>
            </w:r>
            <w:r w:rsidR="00724C46">
              <w:rPr>
                <w:sz w:val="20"/>
                <w:szCs w:val="20"/>
                <w:lang w:eastAsia="en-US"/>
              </w:rPr>
              <w:t xml:space="preserve">a </w:t>
            </w:r>
            <w:r>
              <w:rPr>
                <w:sz w:val="20"/>
                <w:szCs w:val="20"/>
                <w:lang w:eastAsia="en-US"/>
              </w:rPr>
              <w:t>vylúčen</w:t>
            </w:r>
            <w:r w:rsidR="00724C46">
              <w:rPr>
                <w:sz w:val="20"/>
                <w:szCs w:val="20"/>
                <w:lang w:eastAsia="en-US"/>
              </w:rPr>
              <w:t>ých</w:t>
            </w:r>
            <w:r w:rsidR="00CA2631">
              <w:rPr>
                <w:sz w:val="20"/>
                <w:szCs w:val="20"/>
                <w:lang w:eastAsia="en-US"/>
              </w:rPr>
              <w:t xml:space="preserve"> subjektov</w:t>
            </w:r>
          </w:p>
          <w:p w14:paraId="45F4772E" w14:textId="77777777" w:rsidR="00B650E5" w:rsidRDefault="00B650E5">
            <w:pPr>
              <w:rPr>
                <w:sz w:val="20"/>
                <w:szCs w:val="20"/>
              </w:rPr>
            </w:pPr>
          </w:p>
        </w:tc>
        <w:tc>
          <w:tcPr>
            <w:tcW w:w="2836" w:type="dxa"/>
            <w:tcBorders>
              <w:top w:val="single" w:sz="4" w:space="0" w:color="auto"/>
              <w:left w:val="single" w:sz="4" w:space="0" w:color="auto"/>
              <w:bottom w:val="single" w:sz="4" w:space="0" w:color="auto"/>
              <w:right w:val="single" w:sz="4" w:space="0" w:color="auto"/>
            </w:tcBorders>
          </w:tcPr>
          <w:p w14:paraId="4E8CF1D5" w14:textId="77666418" w:rsidR="00B650E5" w:rsidRDefault="00B650E5">
            <w:pPr>
              <w:jc w:val="center"/>
              <w:rPr>
                <w:iCs/>
                <w:sz w:val="20"/>
                <w:szCs w:val="20"/>
                <w:lang w:eastAsia="en-US"/>
              </w:rPr>
            </w:pPr>
            <w:r>
              <w:rPr>
                <w:iCs/>
                <w:sz w:val="20"/>
                <w:szCs w:val="20"/>
                <w:lang w:eastAsia="en-US"/>
              </w:rPr>
              <w:t>RO je oprávnený pri organizáciách, pri ktorých práva a povinnosti zmluvných vzťahov štatutárnych orgánov k organizácii, resp. spôsob vymenovania štatutárneho orgánu upravuje osobitný predpis</w:t>
            </w:r>
            <w:r>
              <w:rPr>
                <w:rStyle w:val="Odkaznapoznmkupodiarou"/>
                <w:iCs/>
                <w:sz w:val="20"/>
                <w:szCs w:val="20"/>
                <w:lang w:eastAsia="en-US"/>
              </w:rPr>
              <w:footnoteReference w:id="29"/>
            </w:r>
            <w:r>
              <w:rPr>
                <w:iCs/>
                <w:sz w:val="20"/>
                <w:szCs w:val="20"/>
                <w:lang w:eastAsia="en-US"/>
              </w:rPr>
              <w:t>, nahradiť výpis z registra trestov, napr. čestným vyhlásením žiadateľa, že všetci členovia štatutárneho orgánu žiadateľa a osoba splnomocnená zastupovať žiadateľa v konaní o ŽoNFP neboli právoplatne odsúdení za trestný čin korupcie, za trestný čin poškodzovania finančných záujmov E</w:t>
            </w:r>
            <w:r w:rsidR="003D4A37">
              <w:rPr>
                <w:iCs/>
                <w:sz w:val="20"/>
                <w:szCs w:val="20"/>
                <w:lang w:eastAsia="en-US"/>
              </w:rPr>
              <w:t>Ú</w:t>
            </w:r>
            <w:r>
              <w:rPr>
                <w:iCs/>
                <w:sz w:val="20"/>
                <w:szCs w:val="20"/>
                <w:lang w:eastAsia="en-US"/>
              </w:rPr>
              <w:t>, za trestný čin legalizácie príjmu z trestnej činnosti, za trestný čin založenia, zosnovania a podporovania zločineckej skupiny alebo za trestný čin machinácií pri verejnom obstarávaní a verejnej dražbe.</w:t>
            </w:r>
          </w:p>
          <w:p w14:paraId="10265538" w14:textId="77777777" w:rsidR="00B650E5" w:rsidRDefault="00B650E5">
            <w:pPr>
              <w:jc w:val="center"/>
              <w:rPr>
                <w:sz w:val="20"/>
                <w:szCs w:val="20"/>
              </w:rPr>
            </w:pPr>
            <w:r w:rsidRPr="000B18B1">
              <w:rPr>
                <w:sz w:val="20"/>
                <w:szCs w:val="20"/>
              </w:rPr>
              <w:t>V prípade overenia iba na základe čestného vyhlásenia je RO povinný overiť podmienku najneskôr do 6 mesiacov od začatia realizácie hlavných aktivít projektu</w:t>
            </w:r>
            <w:r>
              <w:rPr>
                <w:sz w:val="20"/>
                <w:szCs w:val="20"/>
              </w:rPr>
              <w:t>.</w:t>
            </w:r>
          </w:p>
        </w:tc>
      </w:tr>
      <w:tr w:rsidR="00B650E5" w14:paraId="1ACBF1D6" w14:textId="77777777" w:rsidTr="00997CB0">
        <w:trPr>
          <w:trHeight w:val="274"/>
        </w:trPr>
        <w:tc>
          <w:tcPr>
            <w:tcW w:w="483" w:type="dxa"/>
            <w:tcBorders>
              <w:top w:val="single" w:sz="4" w:space="0" w:color="auto"/>
              <w:left w:val="single" w:sz="4" w:space="0" w:color="auto"/>
              <w:bottom w:val="single" w:sz="4" w:space="0" w:color="auto"/>
              <w:right w:val="single" w:sz="4" w:space="0" w:color="auto"/>
            </w:tcBorders>
            <w:shd w:val="clear" w:color="auto" w:fill="C6D9F1"/>
          </w:tcPr>
          <w:p w14:paraId="7966FE77" w14:textId="77777777" w:rsidR="00B650E5" w:rsidRDefault="00B650E5">
            <w:pPr>
              <w:jc w:val="center"/>
              <w:rPr>
                <w:b/>
                <w:bCs/>
                <w:iCs/>
                <w:sz w:val="20"/>
                <w:szCs w:val="20"/>
                <w:lang w:eastAsia="en-US"/>
              </w:rPr>
            </w:pPr>
            <w:r>
              <w:rPr>
                <w:b/>
                <w:bCs/>
                <w:iCs/>
                <w:sz w:val="20"/>
                <w:szCs w:val="20"/>
                <w:lang w:eastAsia="en-US"/>
              </w:rPr>
              <w:t>12.</w:t>
            </w:r>
          </w:p>
        </w:tc>
        <w:tc>
          <w:tcPr>
            <w:tcW w:w="1881" w:type="dxa"/>
            <w:tcBorders>
              <w:top w:val="single" w:sz="4" w:space="0" w:color="auto"/>
              <w:left w:val="single" w:sz="4" w:space="0" w:color="auto"/>
              <w:bottom w:val="single" w:sz="4" w:space="0" w:color="auto"/>
              <w:right w:val="single" w:sz="4" w:space="0" w:color="auto"/>
            </w:tcBorders>
            <w:shd w:val="clear" w:color="auto" w:fill="C6D9F1"/>
          </w:tcPr>
          <w:p w14:paraId="7F3D1ECD" w14:textId="77777777" w:rsidR="00B650E5" w:rsidRDefault="00B650E5">
            <w:pPr>
              <w:jc w:val="center"/>
              <w:rPr>
                <w:bCs/>
                <w:iCs/>
                <w:sz w:val="20"/>
                <w:szCs w:val="20"/>
                <w:lang w:eastAsia="en-US"/>
              </w:rPr>
            </w:pPr>
          </w:p>
        </w:tc>
        <w:tc>
          <w:tcPr>
            <w:tcW w:w="3165" w:type="dxa"/>
            <w:tcBorders>
              <w:top w:val="single" w:sz="4" w:space="0" w:color="auto"/>
              <w:left w:val="single" w:sz="4" w:space="0" w:color="auto"/>
              <w:bottom w:val="single" w:sz="4" w:space="0" w:color="auto"/>
              <w:right w:val="single" w:sz="4" w:space="0" w:color="auto"/>
            </w:tcBorders>
            <w:shd w:val="clear" w:color="auto" w:fill="C6D9F1"/>
          </w:tcPr>
          <w:p w14:paraId="66D39D2D" w14:textId="77777777" w:rsidR="00B650E5" w:rsidRDefault="00B650E5">
            <w:pPr>
              <w:jc w:val="center"/>
              <w:rPr>
                <w:sz w:val="20"/>
                <w:szCs w:val="20"/>
              </w:rPr>
            </w:pPr>
            <w:r w:rsidRPr="00B24B22">
              <w:rPr>
                <w:sz w:val="20"/>
                <w:szCs w:val="20"/>
              </w:rPr>
              <w:t xml:space="preserve">Podmienka, že žiadateľ, ktorým je </w:t>
            </w:r>
            <w:r w:rsidRPr="00B24B22">
              <w:rPr>
                <w:sz w:val="20"/>
                <w:szCs w:val="20"/>
              </w:rPr>
              <w:lastRenderedPageBreak/>
              <w:t>právnická osoba</w:t>
            </w:r>
            <w:r>
              <w:rPr>
                <w:sz w:val="20"/>
                <w:szCs w:val="20"/>
              </w:rPr>
              <w:t>,</w:t>
            </w:r>
            <w:r w:rsidRPr="00B24B22">
              <w:rPr>
                <w:sz w:val="20"/>
                <w:szCs w:val="20"/>
              </w:rPr>
              <w:t xml:space="preserve"> nemá právoplatn</w:t>
            </w:r>
            <w:r>
              <w:rPr>
                <w:sz w:val="20"/>
                <w:szCs w:val="20"/>
              </w:rPr>
              <w:t xml:space="preserve">ým rozsudkom </w:t>
            </w:r>
            <w:r w:rsidRPr="00B24B22">
              <w:rPr>
                <w:sz w:val="20"/>
                <w:szCs w:val="20"/>
              </w:rPr>
              <w:t>uložený trest zákazu prijímať dotácie alebo subvencie, trest zákazu prijímať pomoc a podporu poskytovanú z fondov Európskej únie alebo trest zákazu účasti vo verejnom obstarávaní podľa osobitného predpisu</w:t>
            </w:r>
            <w:r>
              <w:rPr>
                <w:rStyle w:val="Odkaznapoznmkupodiarou"/>
                <w:sz w:val="20"/>
                <w:szCs w:val="20"/>
              </w:rPr>
              <w:footnoteReference w:id="30"/>
            </w:r>
          </w:p>
        </w:tc>
        <w:tc>
          <w:tcPr>
            <w:tcW w:w="6946" w:type="dxa"/>
            <w:tcBorders>
              <w:top w:val="single" w:sz="4" w:space="0" w:color="auto"/>
              <w:left w:val="single" w:sz="4" w:space="0" w:color="auto"/>
              <w:bottom w:val="single" w:sz="4" w:space="0" w:color="auto"/>
              <w:right w:val="single" w:sz="4" w:space="0" w:color="auto"/>
            </w:tcBorders>
            <w:shd w:val="clear" w:color="auto" w:fill="C6D9F1"/>
          </w:tcPr>
          <w:p w14:paraId="5F41A72E" w14:textId="2D936A81" w:rsidR="00B650E5" w:rsidRDefault="00B650E5" w:rsidP="00913352">
            <w:pPr>
              <w:rPr>
                <w:b/>
                <w:bCs/>
                <w:sz w:val="20"/>
                <w:szCs w:val="20"/>
                <w:lang w:eastAsia="en-US"/>
              </w:rPr>
            </w:pPr>
            <w:r>
              <w:rPr>
                <w:b/>
                <w:bCs/>
                <w:sz w:val="20"/>
                <w:szCs w:val="20"/>
              </w:rPr>
              <w:lastRenderedPageBreak/>
              <w:t xml:space="preserve">Forma preukázania: </w:t>
            </w:r>
            <w:r w:rsidRPr="000B18B1">
              <w:rPr>
                <w:bCs/>
                <w:sz w:val="20"/>
                <w:szCs w:val="20"/>
                <w:lang w:eastAsia="en-US"/>
              </w:rPr>
              <w:t>Čestné vyhlásenie</w:t>
            </w:r>
            <w:r>
              <w:rPr>
                <w:sz w:val="20"/>
                <w:szCs w:val="20"/>
                <w:lang w:eastAsia="en-US"/>
              </w:rPr>
              <w:br/>
            </w:r>
            <w:r w:rsidRPr="000B18B1">
              <w:rPr>
                <w:b/>
                <w:sz w:val="20"/>
                <w:szCs w:val="20"/>
              </w:rPr>
              <w:lastRenderedPageBreak/>
              <w:t>Spôsob overenia:</w:t>
            </w:r>
            <w:r>
              <w:rPr>
                <w:sz w:val="20"/>
                <w:szCs w:val="20"/>
              </w:rPr>
              <w:t xml:space="preserve"> </w:t>
            </w:r>
            <w:r>
              <w:rPr>
                <w:sz w:val="20"/>
                <w:szCs w:val="20"/>
                <w:lang w:eastAsia="en-US"/>
              </w:rPr>
              <w:t xml:space="preserve">ITMS 2014+ / </w:t>
            </w:r>
            <w:hyperlink r:id="rId45" w:history="1">
              <w:r w:rsidR="00625DEA" w:rsidRPr="00C62336">
                <w:rPr>
                  <w:rStyle w:val="Hypertextovprepojenie"/>
                  <w:sz w:val="20"/>
                  <w:szCs w:val="20"/>
                  <w:lang w:eastAsia="en-US"/>
                </w:rPr>
                <w:t>https://esluzby.genpro.gov.sk/zoznam-odsudenych-pravnickych-osob</w:t>
              </w:r>
            </w:hyperlink>
            <w:r w:rsidR="00625DEA">
              <w:rPr>
                <w:sz w:val="20"/>
                <w:szCs w:val="20"/>
                <w:lang w:eastAsia="en-US"/>
              </w:rPr>
              <w:t xml:space="preserve"> </w:t>
            </w:r>
          </w:p>
        </w:tc>
        <w:tc>
          <w:tcPr>
            <w:tcW w:w="2836" w:type="dxa"/>
            <w:tcBorders>
              <w:top w:val="single" w:sz="4" w:space="0" w:color="auto"/>
              <w:left w:val="single" w:sz="4" w:space="0" w:color="auto"/>
              <w:bottom w:val="single" w:sz="4" w:space="0" w:color="auto"/>
              <w:right w:val="single" w:sz="4" w:space="0" w:color="auto"/>
            </w:tcBorders>
            <w:shd w:val="clear" w:color="auto" w:fill="C6D9F1"/>
          </w:tcPr>
          <w:p w14:paraId="74B775C3" w14:textId="1897B547" w:rsidR="00B650E5" w:rsidRDefault="00B650E5">
            <w:pPr>
              <w:jc w:val="center"/>
              <w:rPr>
                <w:sz w:val="20"/>
                <w:szCs w:val="20"/>
              </w:rPr>
            </w:pPr>
            <w:r>
              <w:rPr>
                <w:sz w:val="20"/>
                <w:szCs w:val="20"/>
              </w:rPr>
              <w:lastRenderedPageBreak/>
              <w:t xml:space="preserve">Podmienka sa nevzťahuje na </w:t>
            </w:r>
            <w:r w:rsidR="003D4A37">
              <w:rPr>
                <w:sz w:val="20"/>
                <w:szCs w:val="20"/>
              </w:rPr>
              <w:lastRenderedPageBreak/>
              <w:t>tie</w:t>
            </w:r>
            <w:r>
              <w:rPr>
                <w:sz w:val="20"/>
                <w:szCs w:val="20"/>
              </w:rPr>
              <w:t> právnické osoby</w:t>
            </w:r>
            <w:r w:rsidR="003D4A37">
              <w:rPr>
                <w:sz w:val="20"/>
                <w:szCs w:val="20"/>
              </w:rPr>
              <w:t>, ktoré sú vymedzené</w:t>
            </w:r>
            <w:r>
              <w:rPr>
                <w:sz w:val="20"/>
                <w:szCs w:val="20"/>
              </w:rPr>
              <w:t xml:space="preserve"> v § 5 zákona č. 91/2016 Z. z. o trestnej zodpovednosti právnických osôb a o zmene a doplnení niektorých zákonov.</w:t>
            </w:r>
          </w:p>
          <w:p w14:paraId="3D2DA2D1" w14:textId="57ABBBC5" w:rsidR="00B650E5" w:rsidRDefault="00B650E5" w:rsidP="00E418F1">
            <w:pPr>
              <w:jc w:val="center"/>
              <w:rPr>
                <w:iCs/>
                <w:sz w:val="20"/>
                <w:szCs w:val="20"/>
                <w:lang w:eastAsia="en-US"/>
              </w:rPr>
            </w:pPr>
          </w:p>
        </w:tc>
      </w:tr>
      <w:tr w:rsidR="00B650E5" w14:paraId="59D7DE56" w14:textId="77777777" w:rsidTr="00997CB0">
        <w:trPr>
          <w:trHeight w:val="1494"/>
        </w:trPr>
        <w:tc>
          <w:tcPr>
            <w:tcW w:w="483" w:type="dxa"/>
            <w:tcBorders>
              <w:top w:val="single" w:sz="4" w:space="0" w:color="auto"/>
              <w:left w:val="single" w:sz="4" w:space="0" w:color="auto"/>
              <w:bottom w:val="single" w:sz="4" w:space="0" w:color="auto"/>
              <w:right w:val="single" w:sz="4" w:space="0" w:color="auto"/>
            </w:tcBorders>
            <w:shd w:val="clear" w:color="000000" w:fill="auto"/>
          </w:tcPr>
          <w:p w14:paraId="1D096447" w14:textId="77777777" w:rsidR="00B650E5" w:rsidRDefault="00B650E5" w:rsidP="00990546">
            <w:pPr>
              <w:jc w:val="center"/>
              <w:rPr>
                <w:b/>
                <w:bCs/>
                <w:sz w:val="20"/>
                <w:szCs w:val="20"/>
              </w:rPr>
            </w:pPr>
            <w:r>
              <w:rPr>
                <w:b/>
                <w:bCs/>
                <w:iCs/>
                <w:sz w:val="20"/>
                <w:szCs w:val="20"/>
                <w:lang w:eastAsia="en-US"/>
              </w:rPr>
              <w:lastRenderedPageBreak/>
              <w:t>13.</w:t>
            </w:r>
          </w:p>
        </w:tc>
        <w:tc>
          <w:tcPr>
            <w:tcW w:w="1881" w:type="dxa"/>
            <w:tcBorders>
              <w:top w:val="single" w:sz="4" w:space="0" w:color="auto"/>
              <w:left w:val="single" w:sz="4" w:space="0" w:color="auto"/>
              <w:bottom w:val="single" w:sz="4" w:space="0" w:color="auto"/>
              <w:right w:val="single" w:sz="4" w:space="0" w:color="auto"/>
            </w:tcBorders>
            <w:shd w:val="clear" w:color="000000" w:fill="auto"/>
          </w:tcPr>
          <w:p w14:paraId="0C58C0DA" w14:textId="77777777" w:rsidR="00B650E5" w:rsidRDefault="00B650E5" w:rsidP="00990546">
            <w:pPr>
              <w:jc w:val="center"/>
              <w:rPr>
                <w:sz w:val="20"/>
                <w:szCs w:val="20"/>
              </w:rPr>
            </w:pPr>
          </w:p>
        </w:tc>
        <w:tc>
          <w:tcPr>
            <w:tcW w:w="3165" w:type="dxa"/>
            <w:tcBorders>
              <w:top w:val="single" w:sz="4" w:space="0" w:color="auto"/>
              <w:left w:val="single" w:sz="4" w:space="0" w:color="auto"/>
              <w:bottom w:val="single" w:sz="4" w:space="0" w:color="auto"/>
              <w:right w:val="single" w:sz="4" w:space="0" w:color="auto"/>
            </w:tcBorders>
            <w:shd w:val="clear" w:color="000000" w:fill="auto"/>
          </w:tcPr>
          <w:p w14:paraId="43EB227E" w14:textId="724F66AE" w:rsidR="00B650E5" w:rsidRDefault="00B650E5" w:rsidP="002B722F">
            <w:pPr>
              <w:jc w:val="center"/>
              <w:rPr>
                <w:sz w:val="20"/>
                <w:szCs w:val="20"/>
              </w:rPr>
            </w:pPr>
            <w:r w:rsidRPr="00B24B22">
              <w:rPr>
                <w:sz w:val="20"/>
                <w:szCs w:val="20"/>
              </w:rPr>
              <w:t>Podmienka, že žiadateľ</w:t>
            </w:r>
            <w:r>
              <w:rPr>
                <w:sz w:val="20"/>
                <w:szCs w:val="20"/>
              </w:rPr>
              <w:t xml:space="preserve"> je zapísaný v registri partnerov verejného sektora</w:t>
            </w:r>
            <w:r w:rsidRPr="00B24B22">
              <w:rPr>
                <w:sz w:val="20"/>
                <w:szCs w:val="20"/>
              </w:rPr>
              <w:t xml:space="preserve"> podľa osobitného predpisu</w:t>
            </w:r>
            <w:r>
              <w:rPr>
                <w:rStyle w:val="Odkaznapoznmkupodiarou"/>
                <w:sz w:val="20"/>
                <w:szCs w:val="20"/>
              </w:rPr>
              <w:footnoteReference w:id="31"/>
            </w:r>
          </w:p>
        </w:tc>
        <w:tc>
          <w:tcPr>
            <w:tcW w:w="6946" w:type="dxa"/>
            <w:tcBorders>
              <w:top w:val="single" w:sz="4" w:space="0" w:color="auto"/>
              <w:left w:val="single" w:sz="4" w:space="0" w:color="auto"/>
              <w:bottom w:val="single" w:sz="4" w:space="0" w:color="auto"/>
              <w:right w:val="single" w:sz="4" w:space="0" w:color="auto"/>
            </w:tcBorders>
            <w:shd w:val="clear" w:color="000000" w:fill="auto"/>
          </w:tcPr>
          <w:p w14:paraId="2E971790" w14:textId="6B23138D" w:rsidR="00B650E5" w:rsidRDefault="00B650E5" w:rsidP="00957F10">
            <w:pPr>
              <w:rPr>
                <w:bCs/>
                <w:sz w:val="20"/>
                <w:szCs w:val="20"/>
                <w:lang w:eastAsia="en-US"/>
              </w:rPr>
            </w:pPr>
            <w:r>
              <w:rPr>
                <w:b/>
                <w:bCs/>
                <w:sz w:val="20"/>
                <w:szCs w:val="20"/>
              </w:rPr>
              <w:t xml:space="preserve">Forma preukázania: </w:t>
            </w:r>
            <w:r w:rsidR="0096393F">
              <w:rPr>
                <w:bCs/>
                <w:sz w:val="20"/>
                <w:szCs w:val="20"/>
                <w:lang w:eastAsia="en-US"/>
              </w:rPr>
              <w:t>nevyžaduje sa</w:t>
            </w:r>
          </w:p>
          <w:p w14:paraId="756FB657" w14:textId="77777777" w:rsidR="00B650E5" w:rsidRDefault="00B650E5" w:rsidP="00957F10">
            <w:pPr>
              <w:rPr>
                <w:sz w:val="20"/>
                <w:szCs w:val="20"/>
              </w:rPr>
            </w:pPr>
            <w:r w:rsidRPr="000B18B1">
              <w:rPr>
                <w:b/>
                <w:sz w:val="20"/>
                <w:szCs w:val="20"/>
              </w:rPr>
              <w:t>Spôsob overenia:</w:t>
            </w:r>
            <w:r>
              <w:rPr>
                <w:sz w:val="20"/>
                <w:szCs w:val="20"/>
              </w:rPr>
              <w:t xml:space="preserve"> </w:t>
            </w:r>
            <w:r w:rsidRPr="00556398">
              <w:rPr>
                <w:bCs/>
                <w:sz w:val="20"/>
                <w:szCs w:val="20"/>
                <w:lang w:eastAsia="en-US"/>
              </w:rPr>
              <w:t>ITMS</w:t>
            </w:r>
            <w:r>
              <w:rPr>
                <w:bCs/>
                <w:sz w:val="20"/>
                <w:szCs w:val="20"/>
                <w:lang w:eastAsia="en-US"/>
              </w:rPr>
              <w:t xml:space="preserve"> </w:t>
            </w:r>
            <w:r w:rsidRPr="00556398">
              <w:rPr>
                <w:bCs/>
                <w:sz w:val="20"/>
                <w:szCs w:val="20"/>
                <w:lang w:eastAsia="en-US"/>
              </w:rPr>
              <w:t xml:space="preserve">2014+  / </w:t>
            </w:r>
            <w:hyperlink r:id="rId46" w:history="1">
              <w:r w:rsidRPr="000E6473">
                <w:rPr>
                  <w:rStyle w:val="Hypertextovprepojenie"/>
                  <w:sz w:val="20"/>
                  <w:szCs w:val="20"/>
                  <w:lang w:eastAsia="en-US"/>
                </w:rPr>
                <w:t>https://rpvs.gov.sk/rpvs/</w:t>
              </w:r>
            </w:hyperlink>
          </w:p>
        </w:tc>
        <w:tc>
          <w:tcPr>
            <w:tcW w:w="2836" w:type="dxa"/>
            <w:tcBorders>
              <w:top w:val="single" w:sz="4" w:space="0" w:color="auto"/>
              <w:left w:val="single" w:sz="4" w:space="0" w:color="auto"/>
              <w:bottom w:val="single" w:sz="4" w:space="0" w:color="auto"/>
              <w:right w:val="single" w:sz="4" w:space="0" w:color="auto"/>
            </w:tcBorders>
            <w:shd w:val="clear" w:color="000000" w:fill="auto"/>
          </w:tcPr>
          <w:p w14:paraId="4A2A7503" w14:textId="051D4A01" w:rsidR="00B650E5" w:rsidRDefault="00B650E5" w:rsidP="00997CB0">
            <w:pPr>
              <w:rPr>
                <w:sz w:val="20"/>
                <w:szCs w:val="20"/>
              </w:rPr>
            </w:pPr>
            <w:r>
              <w:rPr>
                <w:sz w:val="20"/>
                <w:szCs w:val="20"/>
              </w:rPr>
              <w:t xml:space="preserve">Podmienka sa nevzťahuje na </w:t>
            </w:r>
            <w:r w:rsidR="003E3040">
              <w:rPr>
                <w:sz w:val="20"/>
                <w:szCs w:val="20"/>
              </w:rPr>
              <w:t xml:space="preserve">tie </w:t>
            </w:r>
            <w:r>
              <w:rPr>
                <w:sz w:val="20"/>
                <w:szCs w:val="20"/>
              </w:rPr>
              <w:t>fyzické osoby a právnické osoby</w:t>
            </w:r>
            <w:r w:rsidR="003E3040">
              <w:rPr>
                <w:sz w:val="20"/>
                <w:szCs w:val="20"/>
              </w:rPr>
              <w:t xml:space="preserve">, ktoré sú vymedzené </w:t>
            </w:r>
            <w:r>
              <w:rPr>
                <w:sz w:val="20"/>
                <w:szCs w:val="20"/>
              </w:rPr>
              <w:t xml:space="preserve">v § 2 </w:t>
            </w:r>
            <w:r w:rsidRPr="00BC4DA1">
              <w:rPr>
                <w:sz w:val="20"/>
                <w:szCs w:val="20"/>
              </w:rPr>
              <w:t>zákona o</w:t>
            </w:r>
            <w:r>
              <w:rPr>
                <w:sz w:val="20"/>
                <w:szCs w:val="20"/>
              </w:rPr>
              <w:t xml:space="preserve"> </w:t>
            </w:r>
            <w:r w:rsidRPr="00BC4DA1">
              <w:rPr>
                <w:sz w:val="20"/>
                <w:szCs w:val="20"/>
              </w:rPr>
              <w:t xml:space="preserve">registri partnerov </w:t>
            </w:r>
            <w:r>
              <w:rPr>
                <w:sz w:val="20"/>
                <w:szCs w:val="20"/>
              </w:rPr>
              <w:t xml:space="preserve">verejného sektora. </w:t>
            </w:r>
            <w:r w:rsidR="00EE5B21">
              <w:rPr>
                <w:sz w:val="20"/>
                <w:szCs w:val="20"/>
              </w:rPr>
              <w:t>Žiadateľ</w:t>
            </w:r>
            <w:r w:rsidRPr="005243B9">
              <w:rPr>
                <w:sz w:val="20"/>
                <w:szCs w:val="20"/>
              </w:rPr>
              <w:t xml:space="preserve"> je povinný </w:t>
            </w:r>
            <w:r w:rsidR="00EE5B21">
              <w:rPr>
                <w:sz w:val="20"/>
                <w:szCs w:val="20"/>
              </w:rPr>
              <w:t>byť zapísaný v</w:t>
            </w:r>
            <w:r w:rsidRPr="005243B9">
              <w:rPr>
                <w:sz w:val="20"/>
                <w:szCs w:val="20"/>
              </w:rPr>
              <w:t> Registr</w:t>
            </w:r>
            <w:r w:rsidR="00EE5B21">
              <w:rPr>
                <w:sz w:val="20"/>
                <w:szCs w:val="20"/>
              </w:rPr>
              <w:t>i</w:t>
            </w:r>
            <w:r w:rsidRPr="005243B9">
              <w:rPr>
                <w:sz w:val="20"/>
                <w:szCs w:val="20"/>
              </w:rPr>
              <w:t xml:space="preserve"> partnerov verejného sektora (ak je to relevantné), najneskôr pred podpísaním zmluvy o NFP zo strany RO</w:t>
            </w:r>
            <w:r>
              <w:rPr>
                <w:sz w:val="20"/>
                <w:szCs w:val="20"/>
              </w:rPr>
              <w:t>. (</w:t>
            </w:r>
            <w:r w:rsidRPr="005243B9">
              <w:rPr>
                <w:sz w:val="20"/>
                <w:szCs w:val="20"/>
              </w:rPr>
              <w:t>Prijímateľ, ktor</w:t>
            </w:r>
            <w:r>
              <w:rPr>
                <w:sz w:val="20"/>
                <w:szCs w:val="20"/>
              </w:rPr>
              <w:t>ý</w:t>
            </w:r>
            <w:r w:rsidRPr="005243B9">
              <w:rPr>
                <w:sz w:val="20"/>
                <w:szCs w:val="20"/>
              </w:rPr>
              <w:t xml:space="preserve"> má k 1. februáru 2017 uzatvorenú zmluvu</w:t>
            </w:r>
            <w:r>
              <w:rPr>
                <w:sz w:val="20"/>
                <w:szCs w:val="20"/>
              </w:rPr>
              <w:t xml:space="preserve"> o NFP</w:t>
            </w:r>
            <w:r w:rsidRPr="005243B9">
              <w:rPr>
                <w:sz w:val="20"/>
                <w:szCs w:val="20"/>
              </w:rPr>
              <w:t>, z</w:t>
            </w:r>
            <w:r>
              <w:rPr>
                <w:sz w:val="20"/>
                <w:szCs w:val="20"/>
              </w:rPr>
              <w:t> </w:t>
            </w:r>
            <w:r w:rsidRPr="005243B9">
              <w:rPr>
                <w:sz w:val="20"/>
                <w:szCs w:val="20"/>
              </w:rPr>
              <w:t>ktorej prijíma plnenia nad zákonom ustanovené limity a ktor</w:t>
            </w:r>
            <w:r>
              <w:rPr>
                <w:sz w:val="20"/>
                <w:szCs w:val="20"/>
              </w:rPr>
              <w:t>ý</w:t>
            </w:r>
            <w:r w:rsidRPr="005243B9">
              <w:rPr>
                <w:sz w:val="20"/>
                <w:szCs w:val="20"/>
              </w:rPr>
              <w:t xml:space="preserve"> spĺňa definičné kritériá partnera verejného sektora, sa musí zapísať do registra do 31. júla 2017</w:t>
            </w:r>
            <w:r>
              <w:rPr>
                <w:sz w:val="20"/>
                <w:szCs w:val="20"/>
              </w:rPr>
              <w:t>)</w:t>
            </w:r>
            <w:r w:rsidRPr="005243B9">
              <w:rPr>
                <w:sz w:val="20"/>
                <w:szCs w:val="20"/>
              </w:rPr>
              <w:t>.</w:t>
            </w:r>
            <w:r w:rsidR="00F45982">
              <w:rPr>
                <w:sz w:val="20"/>
                <w:szCs w:val="20"/>
              </w:rPr>
              <w:t xml:space="preserve"> </w:t>
            </w:r>
            <w:r w:rsidR="0093167C">
              <w:rPr>
                <w:sz w:val="20"/>
                <w:szCs w:val="20"/>
              </w:rPr>
              <w:t>Schválený NFP sa považuje za jednorazovo poskytnuté finančné prostriedky (tzn</w:t>
            </w:r>
            <w:r w:rsidR="00F90694">
              <w:rPr>
                <w:sz w:val="20"/>
                <w:szCs w:val="20"/>
              </w:rPr>
              <w:t>.</w:t>
            </w:r>
            <w:r w:rsidR="0093167C">
              <w:rPr>
                <w:sz w:val="20"/>
                <w:szCs w:val="20"/>
              </w:rPr>
              <w:t>, že sa uplatní limit 100 000 € v zmysle § 2, odsek 2 zákona o registri partnerov verejného sektora).</w:t>
            </w:r>
            <w:r w:rsidR="00B314D4">
              <w:rPr>
                <w:sz w:val="20"/>
                <w:szCs w:val="20"/>
              </w:rPr>
              <w:t xml:space="preserve"> </w:t>
            </w:r>
            <w:r w:rsidR="0048347B">
              <w:rPr>
                <w:sz w:val="20"/>
                <w:szCs w:val="20"/>
              </w:rPr>
              <w:t>Zápis do</w:t>
            </w:r>
            <w:r w:rsidR="00B314D4">
              <w:rPr>
                <w:sz w:val="20"/>
                <w:szCs w:val="20"/>
              </w:rPr>
              <w:t xml:space="preserve"> registr</w:t>
            </w:r>
            <w:r w:rsidR="0048347B">
              <w:rPr>
                <w:sz w:val="20"/>
                <w:szCs w:val="20"/>
              </w:rPr>
              <w:t>a</w:t>
            </w:r>
            <w:r w:rsidR="00B314D4">
              <w:rPr>
                <w:sz w:val="20"/>
                <w:szCs w:val="20"/>
              </w:rPr>
              <w:t xml:space="preserve"> </w:t>
            </w:r>
            <w:r w:rsidR="0048347B">
              <w:rPr>
                <w:sz w:val="20"/>
                <w:szCs w:val="20"/>
              </w:rPr>
              <w:t xml:space="preserve">žiadateľ v zmysle zákona o registri partnerov verejného sektora nepreukazuje (čestným </w:t>
            </w:r>
            <w:r w:rsidR="0048347B">
              <w:rPr>
                <w:sz w:val="20"/>
                <w:szCs w:val="20"/>
              </w:rPr>
              <w:lastRenderedPageBreak/>
              <w:t xml:space="preserve">vyhlásením, potvrdením a pod.). </w:t>
            </w:r>
          </w:p>
        </w:tc>
      </w:tr>
      <w:tr w:rsidR="00B650E5" w14:paraId="1C9C51F6" w14:textId="77777777" w:rsidTr="00997CB0">
        <w:trPr>
          <w:trHeight w:val="1940"/>
        </w:trPr>
        <w:tc>
          <w:tcPr>
            <w:tcW w:w="483" w:type="dxa"/>
            <w:tcBorders>
              <w:top w:val="single" w:sz="4" w:space="0" w:color="auto"/>
            </w:tcBorders>
            <w:shd w:val="clear" w:color="000000" w:fill="C5D9F1"/>
            <w:vAlign w:val="center"/>
          </w:tcPr>
          <w:p w14:paraId="497978CF" w14:textId="4FACC9ED" w:rsidR="00B650E5" w:rsidRDefault="00B650E5" w:rsidP="00946874">
            <w:pPr>
              <w:jc w:val="center"/>
              <w:rPr>
                <w:b/>
                <w:bCs/>
                <w:sz w:val="20"/>
                <w:szCs w:val="20"/>
              </w:rPr>
            </w:pPr>
            <w:r>
              <w:rPr>
                <w:b/>
                <w:bCs/>
                <w:iCs/>
                <w:sz w:val="20"/>
                <w:szCs w:val="20"/>
                <w:lang w:eastAsia="en-US"/>
              </w:rPr>
              <w:lastRenderedPageBreak/>
              <w:t>14.</w:t>
            </w:r>
          </w:p>
        </w:tc>
        <w:tc>
          <w:tcPr>
            <w:tcW w:w="1881" w:type="dxa"/>
            <w:tcBorders>
              <w:top w:val="single" w:sz="4" w:space="0" w:color="auto"/>
            </w:tcBorders>
            <w:shd w:val="clear" w:color="000000" w:fill="C5D9F1"/>
            <w:vAlign w:val="center"/>
          </w:tcPr>
          <w:p w14:paraId="541C88CC" w14:textId="77777777" w:rsidR="00B650E5" w:rsidRDefault="00B650E5">
            <w:pPr>
              <w:jc w:val="center"/>
              <w:rPr>
                <w:sz w:val="20"/>
                <w:szCs w:val="20"/>
              </w:rPr>
            </w:pPr>
            <w:r>
              <w:rPr>
                <w:sz w:val="20"/>
                <w:szCs w:val="20"/>
              </w:rPr>
              <w:t>Oprávnenosť partnera</w:t>
            </w:r>
          </w:p>
        </w:tc>
        <w:tc>
          <w:tcPr>
            <w:tcW w:w="3165" w:type="dxa"/>
            <w:tcBorders>
              <w:top w:val="single" w:sz="4" w:space="0" w:color="auto"/>
            </w:tcBorders>
            <w:shd w:val="clear" w:color="000000" w:fill="C5D9F1"/>
            <w:vAlign w:val="center"/>
          </w:tcPr>
          <w:p w14:paraId="65B8CDA7" w14:textId="77777777" w:rsidR="00B650E5" w:rsidRDefault="00B650E5">
            <w:pPr>
              <w:jc w:val="center"/>
              <w:rPr>
                <w:sz w:val="20"/>
                <w:szCs w:val="20"/>
              </w:rPr>
            </w:pPr>
            <w:r>
              <w:rPr>
                <w:sz w:val="20"/>
                <w:szCs w:val="20"/>
              </w:rPr>
              <w:t>Právna forma</w:t>
            </w:r>
          </w:p>
        </w:tc>
        <w:tc>
          <w:tcPr>
            <w:tcW w:w="6946" w:type="dxa"/>
            <w:tcBorders>
              <w:top w:val="single" w:sz="4" w:space="0" w:color="auto"/>
            </w:tcBorders>
            <w:shd w:val="clear" w:color="000000" w:fill="C5D9F1"/>
            <w:vAlign w:val="center"/>
          </w:tcPr>
          <w:p w14:paraId="7DB66DCF" w14:textId="298CC4EC" w:rsidR="00B650E5" w:rsidRDefault="00B650E5">
            <w:pPr>
              <w:rPr>
                <w:sz w:val="20"/>
                <w:szCs w:val="20"/>
                <w:lang w:eastAsia="en-US"/>
              </w:rPr>
            </w:pPr>
            <w:r>
              <w:rPr>
                <w:b/>
                <w:bCs/>
                <w:sz w:val="20"/>
                <w:szCs w:val="20"/>
              </w:rPr>
              <w:t xml:space="preserve">Forma preukázania: </w:t>
            </w:r>
            <w:r w:rsidR="00DF0D33" w:rsidRPr="006A62D4">
              <w:rPr>
                <w:bCs/>
                <w:sz w:val="20"/>
                <w:szCs w:val="20"/>
              </w:rPr>
              <w:t>nevyžaduje sa</w:t>
            </w:r>
          </w:p>
          <w:p w14:paraId="5A9F9EDA" w14:textId="1A402D48" w:rsidR="00B650E5" w:rsidRDefault="00B650E5">
            <w:pPr>
              <w:rPr>
                <w:sz w:val="20"/>
                <w:szCs w:val="20"/>
              </w:rPr>
            </w:pPr>
            <w:r w:rsidRPr="000B18B1">
              <w:rPr>
                <w:b/>
                <w:sz w:val="20"/>
                <w:szCs w:val="20"/>
              </w:rPr>
              <w:t>Spôsob overenia:</w:t>
            </w:r>
            <w:r>
              <w:rPr>
                <w:sz w:val="20"/>
                <w:szCs w:val="20"/>
              </w:rPr>
              <w:t xml:space="preserve"> </w:t>
            </w:r>
            <w:r>
              <w:rPr>
                <w:sz w:val="20"/>
                <w:szCs w:val="20"/>
                <w:lang w:eastAsia="en-US"/>
              </w:rPr>
              <w:t xml:space="preserve">ITMS 2014+ / </w:t>
            </w:r>
            <w:r w:rsidRPr="000B18B1">
              <w:rPr>
                <w:sz w:val="20"/>
                <w:szCs w:val="20"/>
              </w:rPr>
              <w:t>https://rpo.statistics.sk</w:t>
            </w:r>
          </w:p>
        </w:tc>
        <w:tc>
          <w:tcPr>
            <w:tcW w:w="2836" w:type="dxa"/>
            <w:tcBorders>
              <w:top w:val="single" w:sz="4" w:space="0" w:color="auto"/>
            </w:tcBorders>
            <w:shd w:val="clear" w:color="000000" w:fill="C5D9F1"/>
            <w:vAlign w:val="center"/>
          </w:tcPr>
          <w:p w14:paraId="389DE664" w14:textId="0326C82E" w:rsidR="00B650E5" w:rsidRDefault="00B650E5" w:rsidP="00000CA6">
            <w:pPr>
              <w:jc w:val="center"/>
              <w:rPr>
                <w:sz w:val="20"/>
                <w:szCs w:val="20"/>
              </w:rPr>
            </w:pPr>
            <w:r>
              <w:rPr>
                <w:sz w:val="20"/>
                <w:szCs w:val="20"/>
              </w:rPr>
              <w:t xml:space="preserve">Relevantné pre prípady, ak sa pripúšťa partnerstvo v rámci podmienok výzvy. </w:t>
            </w:r>
            <w:r>
              <w:rPr>
                <w:sz w:val="20"/>
                <w:szCs w:val="20"/>
                <w:lang w:eastAsia="en-US"/>
              </w:rPr>
              <w:t xml:space="preserve">Podmienky poskytnutia príspevku vzťahujúce sa na žiadateľa sa </w:t>
            </w:r>
            <w:r w:rsidR="00000CA6">
              <w:rPr>
                <w:sz w:val="20"/>
                <w:szCs w:val="20"/>
                <w:lang w:eastAsia="en-US"/>
              </w:rPr>
              <w:t>primerane</w:t>
            </w:r>
            <w:r>
              <w:rPr>
                <w:sz w:val="20"/>
                <w:szCs w:val="20"/>
                <w:lang w:eastAsia="en-US"/>
              </w:rPr>
              <w:t xml:space="preserve"> vzťahujú </w:t>
            </w:r>
            <w:r w:rsidR="00000CA6">
              <w:rPr>
                <w:sz w:val="20"/>
                <w:szCs w:val="20"/>
              </w:rPr>
              <w:t>aj na partnera</w:t>
            </w:r>
            <w:r>
              <w:rPr>
                <w:sz w:val="20"/>
                <w:szCs w:val="20"/>
              </w:rPr>
              <w:t>.</w:t>
            </w:r>
          </w:p>
        </w:tc>
      </w:tr>
      <w:tr w:rsidR="00B650E5" w14:paraId="02205AEA" w14:textId="77777777">
        <w:trPr>
          <w:trHeight w:val="1264"/>
        </w:trPr>
        <w:tc>
          <w:tcPr>
            <w:tcW w:w="483" w:type="dxa"/>
            <w:vAlign w:val="center"/>
          </w:tcPr>
          <w:p w14:paraId="340116B8" w14:textId="01DA4D14" w:rsidR="00B650E5" w:rsidRDefault="00B650E5" w:rsidP="00946874">
            <w:pPr>
              <w:jc w:val="center"/>
              <w:rPr>
                <w:b/>
                <w:bCs/>
                <w:sz w:val="20"/>
                <w:szCs w:val="20"/>
              </w:rPr>
            </w:pPr>
            <w:r>
              <w:rPr>
                <w:b/>
                <w:bCs/>
                <w:iCs/>
                <w:sz w:val="20"/>
                <w:szCs w:val="20"/>
                <w:lang w:eastAsia="en-US"/>
              </w:rPr>
              <w:t>15.</w:t>
            </w:r>
          </w:p>
        </w:tc>
        <w:tc>
          <w:tcPr>
            <w:tcW w:w="1881" w:type="dxa"/>
            <w:vAlign w:val="center"/>
          </w:tcPr>
          <w:p w14:paraId="28D16E35" w14:textId="77777777" w:rsidR="00B650E5" w:rsidRDefault="00B650E5">
            <w:pPr>
              <w:jc w:val="center"/>
              <w:rPr>
                <w:sz w:val="20"/>
                <w:szCs w:val="20"/>
              </w:rPr>
            </w:pPr>
            <w:r>
              <w:rPr>
                <w:sz w:val="20"/>
                <w:szCs w:val="20"/>
              </w:rPr>
              <w:t xml:space="preserve">Oprávnenosť cieľovej skupiny/Oprávnenosť užívateľa </w:t>
            </w:r>
          </w:p>
        </w:tc>
        <w:tc>
          <w:tcPr>
            <w:tcW w:w="3165" w:type="dxa"/>
            <w:vAlign w:val="center"/>
          </w:tcPr>
          <w:p w14:paraId="057DA72C" w14:textId="77777777" w:rsidR="00B650E5" w:rsidRDefault="00B650E5">
            <w:pPr>
              <w:jc w:val="center"/>
              <w:rPr>
                <w:sz w:val="20"/>
                <w:szCs w:val="20"/>
              </w:rPr>
            </w:pPr>
            <w:r>
              <w:rPr>
                <w:sz w:val="20"/>
                <w:szCs w:val="20"/>
              </w:rPr>
              <w:t>Osobitný doklad preukazujúci splnenie podmienky vo vzťahu k cieľovej skupine/užívateľom</w:t>
            </w:r>
          </w:p>
        </w:tc>
        <w:tc>
          <w:tcPr>
            <w:tcW w:w="6946" w:type="dxa"/>
            <w:vAlign w:val="center"/>
          </w:tcPr>
          <w:p w14:paraId="4082F423" w14:textId="2ECBACDE" w:rsidR="00B650E5" w:rsidRDefault="00B650E5">
            <w:pPr>
              <w:rPr>
                <w:sz w:val="20"/>
                <w:szCs w:val="20"/>
              </w:rPr>
            </w:pP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w:t>
            </w:r>
            <w:r w:rsidR="00484A9D">
              <w:rPr>
                <w:sz w:val="20"/>
                <w:szCs w:val="20"/>
              </w:rPr>
              <w:t xml:space="preserve"> prípadne </w:t>
            </w:r>
            <w:r>
              <w:rPr>
                <w:sz w:val="20"/>
                <w:szCs w:val="20"/>
              </w:rPr>
              <w:t>Opisu projektu.</w:t>
            </w:r>
          </w:p>
        </w:tc>
        <w:tc>
          <w:tcPr>
            <w:tcW w:w="2836" w:type="dxa"/>
            <w:vAlign w:val="center"/>
          </w:tcPr>
          <w:p w14:paraId="7ADCC28B" w14:textId="77777777" w:rsidR="00B650E5" w:rsidRDefault="00B650E5">
            <w:pPr>
              <w:jc w:val="center"/>
              <w:rPr>
                <w:sz w:val="20"/>
                <w:szCs w:val="20"/>
              </w:rPr>
            </w:pPr>
            <w:r>
              <w:rPr>
                <w:sz w:val="20"/>
                <w:szCs w:val="20"/>
              </w:rPr>
              <w:t>Relevantné pre prípady, ak podmienka poskytnutia príspevku bola stanovená vo výzve</w:t>
            </w:r>
          </w:p>
        </w:tc>
      </w:tr>
      <w:tr w:rsidR="00B650E5" w14:paraId="0B7234F8" w14:textId="77777777" w:rsidTr="00DE5D89">
        <w:trPr>
          <w:trHeight w:val="974"/>
        </w:trPr>
        <w:tc>
          <w:tcPr>
            <w:tcW w:w="483" w:type="dxa"/>
            <w:shd w:val="clear" w:color="auto" w:fill="C6D9F1"/>
            <w:vAlign w:val="center"/>
          </w:tcPr>
          <w:p w14:paraId="2E4C85C5" w14:textId="56B39EC1" w:rsidR="00B650E5" w:rsidRDefault="00B650E5">
            <w:pPr>
              <w:jc w:val="center"/>
              <w:rPr>
                <w:b/>
                <w:bCs/>
                <w:sz w:val="20"/>
                <w:szCs w:val="20"/>
              </w:rPr>
            </w:pPr>
            <w:r>
              <w:rPr>
                <w:b/>
                <w:bCs/>
                <w:iCs/>
                <w:sz w:val="20"/>
                <w:szCs w:val="20"/>
                <w:lang w:eastAsia="en-US"/>
              </w:rPr>
              <w:t>16.</w:t>
            </w:r>
          </w:p>
        </w:tc>
        <w:tc>
          <w:tcPr>
            <w:tcW w:w="1881" w:type="dxa"/>
            <w:shd w:val="clear" w:color="auto" w:fill="C6D9F1"/>
            <w:vAlign w:val="center"/>
          </w:tcPr>
          <w:p w14:paraId="48B4AA57" w14:textId="77777777" w:rsidR="00B650E5" w:rsidRDefault="00B650E5">
            <w:pPr>
              <w:jc w:val="center"/>
              <w:rPr>
                <w:sz w:val="20"/>
                <w:szCs w:val="20"/>
              </w:rPr>
            </w:pPr>
            <w:r>
              <w:rPr>
                <w:sz w:val="20"/>
                <w:szCs w:val="20"/>
              </w:rPr>
              <w:t>Oprávnenosť aktivít realizácie projektu</w:t>
            </w:r>
          </w:p>
        </w:tc>
        <w:tc>
          <w:tcPr>
            <w:tcW w:w="3165" w:type="dxa"/>
            <w:shd w:val="clear" w:color="auto" w:fill="C6D9F1"/>
            <w:vAlign w:val="center"/>
          </w:tcPr>
          <w:p w14:paraId="55F798EE" w14:textId="77777777" w:rsidR="00B650E5" w:rsidRDefault="00B650E5">
            <w:pPr>
              <w:jc w:val="center"/>
              <w:rPr>
                <w:sz w:val="20"/>
                <w:szCs w:val="20"/>
              </w:rPr>
            </w:pPr>
            <w:r>
              <w:rPr>
                <w:sz w:val="20"/>
                <w:szCs w:val="20"/>
              </w:rPr>
              <w:t>Podmienka  oprávnenosti aktivít projektu</w:t>
            </w:r>
          </w:p>
        </w:tc>
        <w:tc>
          <w:tcPr>
            <w:tcW w:w="6946" w:type="dxa"/>
            <w:shd w:val="clear" w:color="auto" w:fill="C6D9F1"/>
            <w:vAlign w:val="center"/>
          </w:tcPr>
          <w:p w14:paraId="16B2CDB0" w14:textId="77777777" w:rsidR="00B650E5" w:rsidRDefault="00B650E5">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p>
        </w:tc>
        <w:tc>
          <w:tcPr>
            <w:tcW w:w="2836" w:type="dxa"/>
            <w:shd w:val="clear" w:color="auto" w:fill="C6D9F1"/>
            <w:vAlign w:val="center"/>
          </w:tcPr>
          <w:p w14:paraId="648989A4" w14:textId="77777777" w:rsidR="00B650E5" w:rsidRDefault="00B650E5" w:rsidP="00306F23">
            <w:pPr>
              <w:jc w:val="center"/>
              <w:rPr>
                <w:sz w:val="20"/>
                <w:szCs w:val="20"/>
              </w:rPr>
            </w:pPr>
            <w:r>
              <w:rPr>
                <w:bCs/>
                <w:iCs/>
                <w:sz w:val="20"/>
                <w:szCs w:val="20"/>
                <w:lang w:eastAsia="en-US"/>
              </w:rPr>
              <w:t>V rámci skupiny podmienok poskytnutia príspevku týkajúcej sa oprávnenosti aktivít je potrebné definovať aj podmienku, že žiadateľ neukončil fyzickú realizácia všetkých oprávnených aktivít   pred predložením ŽoNFP (uvedený zákaz schválenia zrealizovaných projektov vyplýva z čl. 65 ods. 6 všeobecného nariadenia)</w:t>
            </w:r>
            <w:r w:rsidR="00306F23">
              <w:rPr>
                <w:bCs/>
                <w:iCs/>
                <w:sz w:val="20"/>
                <w:szCs w:val="20"/>
                <w:lang w:eastAsia="en-US"/>
              </w:rPr>
              <w:t xml:space="preserve">, </w:t>
            </w:r>
            <w:r w:rsidR="00306F23" w:rsidRPr="00306F23">
              <w:rPr>
                <w:bCs/>
                <w:iCs/>
                <w:sz w:val="20"/>
                <w:szCs w:val="20"/>
                <w:lang w:eastAsia="en-US"/>
              </w:rPr>
              <w:t>resp., že žiadateľ nezačal práce na</w:t>
            </w:r>
            <w:r w:rsidR="00306F23">
              <w:rPr>
                <w:bCs/>
                <w:iCs/>
                <w:sz w:val="20"/>
                <w:szCs w:val="20"/>
                <w:lang w:eastAsia="en-US"/>
              </w:rPr>
              <w:t> </w:t>
            </w:r>
            <w:r w:rsidR="00306F23" w:rsidRPr="00306F23">
              <w:rPr>
                <w:bCs/>
                <w:iCs/>
                <w:sz w:val="20"/>
                <w:szCs w:val="20"/>
                <w:lang w:eastAsia="en-US"/>
              </w:rPr>
              <w:t>projekte pred predložením ŽoNFP v súlade s legislatívou EÚ v oblasti štátnej pomoci a minimálnej pomoci</w:t>
            </w:r>
          </w:p>
        </w:tc>
      </w:tr>
      <w:tr w:rsidR="00B650E5" w14:paraId="3DD63DBA" w14:textId="77777777" w:rsidTr="00DE5D89">
        <w:trPr>
          <w:trHeight w:val="1116"/>
        </w:trPr>
        <w:tc>
          <w:tcPr>
            <w:tcW w:w="483" w:type="dxa"/>
            <w:shd w:val="clear" w:color="auto" w:fill="FFFFFF"/>
            <w:vAlign w:val="center"/>
          </w:tcPr>
          <w:p w14:paraId="3766C026" w14:textId="43DE29B4" w:rsidR="00B650E5" w:rsidRDefault="00B650E5">
            <w:pPr>
              <w:jc w:val="center"/>
              <w:rPr>
                <w:b/>
                <w:bCs/>
                <w:sz w:val="20"/>
                <w:szCs w:val="20"/>
              </w:rPr>
            </w:pPr>
            <w:r>
              <w:rPr>
                <w:b/>
                <w:bCs/>
                <w:iCs/>
                <w:sz w:val="20"/>
                <w:szCs w:val="20"/>
                <w:lang w:eastAsia="en-US"/>
              </w:rPr>
              <w:lastRenderedPageBreak/>
              <w:t>17.</w:t>
            </w:r>
          </w:p>
        </w:tc>
        <w:tc>
          <w:tcPr>
            <w:tcW w:w="1881" w:type="dxa"/>
            <w:shd w:val="clear" w:color="auto" w:fill="FFFFFF"/>
            <w:vAlign w:val="center"/>
          </w:tcPr>
          <w:p w14:paraId="7BE6322A" w14:textId="77777777" w:rsidR="00B650E5" w:rsidRDefault="00B650E5">
            <w:pPr>
              <w:jc w:val="center"/>
              <w:rPr>
                <w:sz w:val="20"/>
                <w:szCs w:val="20"/>
              </w:rPr>
            </w:pPr>
            <w:r>
              <w:rPr>
                <w:sz w:val="20"/>
                <w:szCs w:val="20"/>
              </w:rPr>
              <w:t>Oprávnenosť výdavkov realizácie projektu</w:t>
            </w:r>
          </w:p>
        </w:tc>
        <w:tc>
          <w:tcPr>
            <w:tcW w:w="3165" w:type="dxa"/>
            <w:shd w:val="clear" w:color="auto" w:fill="FFFFFF"/>
            <w:vAlign w:val="center"/>
          </w:tcPr>
          <w:p w14:paraId="491F7695" w14:textId="77777777" w:rsidR="00B650E5" w:rsidRDefault="00B650E5">
            <w:pPr>
              <w:jc w:val="center"/>
              <w:rPr>
                <w:sz w:val="20"/>
                <w:szCs w:val="20"/>
              </w:rPr>
            </w:pPr>
            <w:r>
              <w:rPr>
                <w:sz w:val="20"/>
                <w:szCs w:val="20"/>
              </w:rPr>
              <w:t>Podmienka, že výdavky projektu sú oprávnené</w:t>
            </w:r>
          </w:p>
        </w:tc>
        <w:tc>
          <w:tcPr>
            <w:tcW w:w="6946" w:type="dxa"/>
            <w:shd w:val="clear" w:color="auto" w:fill="FFFFFF"/>
            <w:vAlign w:val="center"/>
          </w:tcPr>
          <w:p w14:paraId="57151FBF" w14:textId="77777777" w:rsidR="00B650E5" w:rsidRDefault="00B650E5">
            <w:pPr>
              <w:rPr>
                <w:sz w:val="20"/>
                <w:szCs w:val="20"/>
              </w:rPr>
            </w:pPr>
            <w:r>
              <w:rPr>
                <w:sz w:val="20"/>
                <w:szCs w:val="20"/>
              </w:rPr>
              <w: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žiadateľ vychádzal pri určovaní cien a pod. </w:t>
            </w:r>
          </w:p>
        </w:tc>
        <w:tc>
          <w:tcPr>
            <w:tcW w:w="2836" w:type="dxa"/>
            <w:shd w:val="clear" w:color="auto" w:fill="FFFFFF"/>
            <w:vAlign w:val="center"/>
          </w:tcPr>
          <w:p w14:paraId="606FD89F" w14:textId="77777777" w:rsidR="00B650E5" w:rsidRDefault="00B650E5">
            <w:pPr>
              <w:jc w:val="center"/>
              <w:rPr>
                <w:sz w:val="20"/>
                <w:szCs w:val="20"/>
              </w:rPr>
            </w:pPr>
            <w:r>
              <w:rPr>
                <w:iCs/>
                <w:sz w:val="20"/>
                <w:szCs w:val="20"/>
                <w:lang w:eastAsia="en-US"/>
              </w:rPr>
              <w:t> </w:t>
            </w:r>
          </w:p>
        </w:tc>
      </w:tr>
      <w:tr w:rsidR="00B650E5" w14:paraId="45658605" w14:textId="77777777" w:rsidTr="00DE5D89">
        <w:trPr>
          <w:trHeight w:val="565"/>
        </w:trPr>
        <w:tc>
          <w:tcPr>
            <w:tcW w:w="483" w:type="dxa"/>
            <w:shd w:val="clear" w:color="auto" w:fill="C6D9F1"/>
            <w:vAlign w:val="center"/>
          </w:tcPr>
          <w:p w14:paraId="5F0AECF9" w14:textId="3CF2C531" w:rsidR="00B650E5" w:rsidRDefault="00B650E5">
            <w:pPr>
              <w:jc w:val="center"/>
              <w:rPr>
                <w:b/>
                <w:bCs/>
                <w:sz w:val="20"/>
                <w:szCs w:val="20"/>
              </w:rPr>
            </w:pPr>
            <w:r>
              <w:rPr>
                <w:b/>
                <w:bCs/>
                <w:iCs/>
                <w:sz w:val="20"/>
                <w:szCs w:val="20"/>
                <w:lang w:eastAsia="en-US"/>
              </w:rPr>
              <w:t>18.</w:t>
            </w:r>
          </w:p>
        </w:tc>
        <w:tc>
          <w:tcPr>
            <w:tcW w:w="1881" w:type="dxa"/>
            <w:shd w:val="clear" w:color="auto" w:fill="C6D9F1"/>
            <w:vAlign w:val="center"/>
          </w:tcPr>
          <w:p w14:paraId="4131F595" w14:textId="77777777" w:rsidR="00B650E5" w:rsidRDefault="00B650E5">
            <w:pPr>
              <w:jc w:val="center"/>
              <w:rPr>
                <w:sz w:val="20"/>
                <w:szCs w:val="20"/>
              </w:rPr>
            </w:pPr>
            <w:r>
              <w:rPr>
                <w:iCs/>
                <w:sz w:val="20"/>
                <w:szCs w:val="20"/>
                <w:lang w:eastAsia="en-US"/>
              </w:rPr>
              <w:t> </w:t>
            </w:r>
          </w:p>
        </w:tc>
        <w:tc>
          <w:tcPr>
            <w:tcW w:w="3165" w:type="dxa"/>
            <w:shd w:val="clear" w:color="auto" w:fill="C6D9F1"/>
            <w:vAlign w:val="center"/>
          </w:tcPr>
          <w:p w14:paraId="34A728E6" w14:textId="77777777" w:rsidR="00B650E5" w:rsidRDefault="00B650E5">
            <w:pPr>
              <w:jc w:val="center"/>
              <w:rPr>
                <w:sz w:val="20"/>
                <w:szCs w:val="20"/>
              </w:rPr>
            </w:pPr>
            <w:r>
              <w:rPr>
                <w:sz w:val="20"/>
                <w:szCs w:val="20"/>
              </w:rPr>
              <w:t>Podmienka oprávnenosti výdavkov pre projekty generujúce príjem</w:t>
            </w:r>
          </w:p>
        </w:tc>
        <w:tc>
          <w:tcPr>
            <w:tcW w:w="6946" w:type="dxa"/>
            <w:shd w:val="clear" w:color="auto" w:fill="C6D9F1"/>
            <w:vAlign w:val="center"/>
          </w:tcPr>
          <w:p w14:paraId="0BD8DC3F" w14:textId="77777777" w:rsidR="00B650E5" w:rsidRDefault="00B650E5">
            <w:pPr>
              <w:rPr>
                <w:sz w:val="20"/>
                <w:szCs w:val="20"/>
              </w:rPr>
            </w:pPr>
            <w:r>
              <w:rPr>
                <w:sz w:val="20"/>
                <w:szCs w:val="20"/>
              </w:rPr>
              <w:t>Finančná analýza pre projekty generujúce príjem za účelom stanovenia výšky NFP/CBA</w:t>
            </w:r>
          </w:p>
        </w:tc>
        <w:tc>
          <w:tcPr>
            <w:tcW w:w="2836" w:type="dxa"/>
            <w:shd w:val="clear" w:color="auto" w:fill="C6D9F1"/>
            <w:vAlign w:val="center"/>
          </w:tcPr>
          <w:p w14:paraId="19860474" w14:textId="77777777" w:rsidR="00B650E5" w:rsidRDefault="00B650E5">
            <w:pPr>
              <w:jc w:val="center"/>
              <w:rPr>
                <w:sz w:val="20"/>
                <w:szCs w:val="20"/>
              </w:rPr>
            </w:pPr>
            <w:r>
              <w:rPr>
                <w:sz w:val="20"/>
                <w:szCs w:val="20"/>
              </w:rPr>
              <w:t xml:space="preserve">Relevantné pre prípady projektov generujúcich príjem </w:t>
            </w:r>
          </w:p>
        </w:tc>
      </w:tr>
      <w:tr w:rsidR="00B650E5" w14:paraId="45BFD143" w14:textId="77777777" w:rsidTr="00DE5D89">
        <w:trPr>
          <w:trHeight w:val="1687"/>
        </w:trPr>
        <w:tc>
          <w:tcPr>
            <w:tcW w:w="483" w:type="dxa"/>
            <w:shd w:val="clear" w:color="auto" w:fill="FFFFFF"/>
            <w:vAlign w:val="center"/>
          </w:tcPr>
          <w:p w14:paraId="62D34A47" w14:textId="4883CABB" w:rsidR="00B650E5" w:rsidRDefault="00B650E5">
            <w:pPr>
              <w:jc w:val="center"/>
              <w:rPr>
                <w:b/>
                <w:bCs/>
                <w:sz w:val="20"/>
                <w:szCs w:val="20"/>
              </w:rPr>
            </w:pPr>
            <w:r>
              <w:rPr>
                <w:b/>
                <w:bCs/>
                <w:iCs/>
                <w:sz w:val="20"/>
                <w:szCs w:val="20"/>
                <w:lang w:eastAsia="en-US"/>
              </w:rPr>
              <w:t>19.</w:t>
            </w:r>
          </w:p>
        </w:tc>
        <w:tc>
          <w:tcPr>
            <w:tcW w:w="1881" w:type="dxa"/>
            <w:shd w:val="clear" w:color="auto" w:fill="FFFFFF"/>
            <w:vAlign w:val="center"/>
          </w:tcPr>
          <w:p w14:paraId="5ED5652D" w14:textId="77777777" w:rsidR="00B650E5" w:rsidRDefault="00B650E5">
            <w:pPr>
              <w:jc w:val="center"/>
              <w:rPr>
                <w:sz w:val="20"/>
                <w:szCs w:val="20"/>
              </w:rPr>
            </w:pPr>
            <w:r>
              <w:rPr>
                <w:iCs/>
                <w:sz w:val="20"/>
                <w:szCs w:val="20"/>
                <w:lang w:eastAsia="en-US"/>
              </w:rPr>
              <w:t>Oprávnenosť miesta realizácie projektu</w:t>
            </w:r>
          </w:p>
        </w:tc>
        <w:tc>
          <w:tcPr>
            <w:tcW w:w="3165" w:type="dxa"/>
            <w:shd w:val="clear" w:color="auto" w:fill="FFFFFF"/>
            <w:vAlign w:val="center"/>
          </w:tcPr>
          <w:p w14:paraId="3B9751F4" w14:textId="77777777" w:rsidR="00B650E5" w:rsidRDefault="00B650E5">
            <w:pPr>
              <w:jc w:val="center"/>
              <w:rPr>
                <w:sz w:val="20"/>
                <w:szCs w:val="20"/>
              </w:rPr>
            </w:pPr>
            <w:r>
              <w:rPr>
                <w:iCs/>
                <w:sz w:val="20"/>
                <w:szCs w:val="20"/>
                <w:lang w:eastAsia="en-US"/>
              </w:rPr>
              <w:t xml:space="preserve">Podmienka, že projekt je realizovaný na oprávnenom území </w:t>
            </w:r>
          </w:p>
        </w:tc>
        <w:tc>
          <w:tcPr>
            <w:tcW w:w="6946" w:type="dxa"/>
            <w:shd w:val="clear" w:color="auto" w:fill="FFFFFF"/>
            <w:vAlign w:val="center"/>
          </w:tcPr>
          <w:p w14:paraId="372FD8FB" w14:textId="03055149" w:rsidR="00B650E5" w:rsidRPr="00DE5D89" w:rsidRDefault="00B650E5" w:rsidP="007D0719">
            <w:pPr>
              <w:rPr>
                <w:iCs/>
                <w:sz w:val="20"/>
                <w:szCs w:val="20"/>
                <w:lang w:eastAsia="en-US"/>
              </w:rPr>
            </w:pPr>
            <w:r>
              <w:rPr>
                <w:iCs/>
                <w:sz w:val="20"/>
                <w:szCs w:val="20"/>
                <w:lang w:eastAsia="en-US"/>
              </w:rPr>
              <w:t xml:space="preserve">Písomná a/alebo mapová dokumentácia určujúca územnú oprávnenosť - v prípade, ak je miesto realizácie v zmysle výzvy územne vymedzené tak, že na posúdenie splnenia tejto podmienky poskytnutia príspevku je potrebné predloženie osobitnej prílohy (napr. mapy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opisu projektu. </w:t>
            </w:r>
          </w:p>
        </w:tc>
        <w:tc>
          <w:tcPr>
            <w:tcW w:w="2836" w:type="dxa"/>
            <w:shd w:val="clear" w:color="auto" w:fill="FFFFFF"/>
            <w:vAlign w:val="center"/>
          </w:tcPr>
          <w:p w14:paraId="41A3D8C5" w14:textId="77777777" w:rsidR="00B650E5" w:rsidRDefault="00B650E5">
            <w:pPr>
              <w:jc w:val="center"/>
              <w:rPr>
                <w:sz w:val="20"/>
                <w:szCs w:val="20"/>
              </w:rPr>
            </w:pPr>
            <w:r>
              <w:rPr>
                <w:iCs/>
                <w:sz w:val="20"/>
                <w:szCs w:val="20"/>
                <w:lang w:eastAsia="en-US"/>
              </w:rPr>
              <w:t> </w:t>
            </w:r>
          </w:p>
        </w:tc>
      </w:tr>
      <w:tr w:rsidR="00B650E5" w14:paraId="3A4814AF" w14:textId="77777777">
        <w:trPr>
          <w:trHeight w:val="1963"/>
        </w:trPr>
        <w:tc>
          <w:tcPr>
            <w:tcW w:w="483" w:type="dxa"/>
            <w:shd w:val="clear" w:color="000000" w:fill="C5D9F1"/>
            <w:vAlign w:val="center"/>
          </w:tcPr>
          <w:p w14:paraId="6ACBCD0E" w14:textId="7E0C1FD4" w:rsidR="00B650E5" w:rsidRDefault="00B650E5">
            <w:pPr>
              <w:jc w:val="center"/>
              <w:rPr>
                <w:b/>
                <w:bCs/>
                <w:sz w:val="20"/>
                <w:szCs w:val="20"/>
              </w:rPr>
            </w:pPr>
            <w:r>
              <w:rPr>
                <w:b/>
                <w:bCs/>
                <w:iCs/>
                <w:sz w:val="20"/>
                <w:szCs w:val="20"/>
                <w:lang w:eastAsia="en-US"/>
              </w:rPr>
              <w:t>20.</w:t>
            </w:r>
          </w:p>
        </w:tc>
        <w:tc>
          <w:tcPr>
            <w:tcW w:w="1881" w:type="dxa"/>
            <w:shd w:val="clear" w:color="000000" w:fill="C5D9F1"/>
            <w:vAlign w:val="center"/>
          </w:tcPr>
          <w:p w14:paraId="27868A7F" w14:textId="77777777" w:rsidR="00B650E5" w:rsidRDefault="00B650E5">
            <w:pPr>
              <w:jc w:val="center"/>
              <w:rPr>
                <w:sz w:val="20"/>
                <w:szCs w:val="20"/>
              </w:rPr>
            </w:pPr>
            <w:r>
              <w:rPr>
                <w:sz w:val="20"/>
                <w:szCs w:val="20"/>
              </w:rPr>
              <w:t>Kritériá pre výber projektov</w:t>
            </w:r>
          </w:p>
        </w:tc>
        <w:tc>
          <w:tcPr>
            <w:tcW w:w="3165" w:type="dxa"/>
            <w:shd w:val="clear" w:color="000000" w:fill="C5D9F1"/>
            <w:vAlign w:val="center"/>
          </w:tcPr>
          <w:p w14:paraId="6F7C0014" w14:textId="77777777" w:rsidR="00B650E5" w:rsidRDefault="00B650E5">
            <w:pPr>
              <w:jc w:val="center"/>
              <w:rPr>
                <w:sz w:val="20"/>
                <w:szCs w:val="20"/>
              </w:rPr>
            </w:pPr>
            <w:r>
              <w:rPr>
                <w:sz w:val="20"/>
                <w:szCs w:val="20"/>
              </w:rPr>
              <w:t>Podmienky splnenia kritérií pre výber projektov</w:t>
            </w:r>
          </w:p>
        </w:tc>
        <w:tc>
          <w:tcPr>
            <w:tcW w:w="6946" w:type="dxa"/>
            <w:shd w:val="clear" w:color="000000" w:fill="C5D9F1"/>
            <w:vAlign w:val="center"/>
          </w:tcPr>
          <w:p w14:paraId="031BE639" w14:textId="322DFEB5" w:rsidR="00B650E5" w:rsidRDefault="00B650E5" w:rsidP="007D0719">
            <w:pPr>
              <w:rPr>
                <w:sz w:val="20"/>
                <w:szCs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p>
        </w:tc>
        <w:tc>
          <w:tcPr>
            <w:tcW w:w="2836" w:type="dxa"/>
            <w:shd w:val="clear" w:color="000000" w:fill="C5D9F1"/>
            <w:vAlign w:val="center"/>
          </w:tcPr>
          <w:p w14:paraId="605BBBFF" w14:textId="77777777" w:rsidR="00B650E5" w:rsidRDefault="00B650E5">
            <w:pPr>
              <w:jc w:val="center"/>
              <w:rPr>
                <w:sz w:val="20"/>
                <w:szCs w:val="20"/>
              </w:rPr>
            </w:pPr>
            <w:r>
              <w:rPr>
                <w:iCs/>
                <w:sz w:val="20"/>
                <w:szCs w:val="20"/>
                <w:lang w:eastAsia="en-US"/>
              </w:rPr>
              <w:t> </w:t>
            </w:r>
          </w:p>
        </w:tc>
      </w:tr>
      <w:tr w:rsidR="00B650E5" w14:paraId="34AF135A" w14:textId="77777777" w:rsidTr="00DE5D89">
        <w:trPr>
          <w:trHeight w:val="70"/>
        </w:trPr>
        <w:tc>
          <w:tcPr>
            <w:tcW w:w="483" w:type="dxa"/>
            <w:shd w:val="clear" w:color="auto" w:fill="FFFFFF"/>
            <w:vAlign w:val="center"/>
          </w:tcPr>
          <w:p w14:paraId="7A4E4F65" w14:textId="29912585" w:rsidR="00B650E5" w:rsidRDefault="00B650E5">
            <w:pPr>
              <w:jc w:val="center"/>
              <w:rPr>
                <w:b/>
                <w:bCs/>
                <w:iCs/>
                <w:sz w:val="20"/>
                <w:szCs w:val="20"/>
                <w:lang w:eastAsia="en-US"/>
              </w:rPr>
            </w:pPr>
            <w:r>
              <w:rPr>
                <w:b/>
                <w:bCs/>
                <w:iCs/>
                <w:sz w:val="20"/>
                <w:szCs w:val="20"/>
                <w:lang w:eastAsia="en-US"/>
              </w:rPr>
              <w:t>21.</w:t>
            </w:r>
          </w:p>
        </w:tc>
        <w:tc>
          <w:tcPr>
            <w:tcW w:w="1881" w:type="dxa"/>
            <w:shd w:val="clear" w:color="auto" w:fill="FFFFFF"/>
            <w:vAlign w:val="center"/>
          </w:tcPr>
          <w:p w14:paraId="2948BD05" w14:textId="77777777" w:rsidR="00B650E5" w:rsidRDefault="00B650E5">
            <w:pPr>
              <w:jc w:val="center"/>
              <w:rPr>
                <w:sz w:val="20"/>
                <w:szCs w:val="20"/>
              </w:rPr>
            </w:pPr>
            <w:r>
              <w:rPr>
                <w:sz w:val="20"/>
                <w:szCs w:val="20"/>
              </w:rPr>
              <w:t>Spôsob financovania</w:t>
            </w:r>
          </w:p>
        </w:tc>
        <w:tc>
          <w:tcPr>
            <w:tcW w:w="3165" w:type="dxa"/>
            <w:shd w:val="clear" w:color="auto" w:fill="FFFFFF"/>
            <w:vAlign w:val="center"/>
          </w:tcPr>
          <w:p w14:paraId="66882EDF" w14:textId="77777777" w:rsidR="00B650E5" w:rsidRDefault="00B650E5">
            <w:pPr>
              <w:jc w:val="center"/>
              <w:rPr>
                <w:sz w:val="20"/>
                <w:szCs w:val="20"/>
              </w:rPr>
            </w:pPr>
            <w:r>
              <w:rPr>
                <w:sz w:val="20"/>
                <w:szCs w:val="20"/>
              </w:rPr>
              <w:t>Podmienka relevantného spôsobu financovania – predfinancovanie, zálohové platby, refundácia</w:t>
            </w:r>
          </w:p>
        </w:tc>
        <w:tc>
          <w:tcPr>
            <w:tcW w:w="6946" w:type="dxa"/>
            <w:shd w:val="clear" w:color="auto" w:fill="FFFFFF"/>
            <w:vAlign w:val="center"/>
          </w:tcPr>
          <w:p w14:paraId="117B1AD9" w14:textId="77777777" w:rsidR="00B650E5" w:rsidRDefault="00B650E5" w:rsidP="00997CB0">
            <w:pPr>
              <w:spacing w:before="120" w:after="120"/>
              <w:rPr>
                <w:b/>
                <w:bCs/>
                <w:sz w:val="20"/>
                <w:szCs w:val="20"/>
                <w:lang w:eastAsia="en-US"/>
              </w:rPr>
            </w:pPr>
            <w:r>
              <w:rPr>
                <w:sz w:val="20"/>
                <w:szCs w:val="20"/>
                <w:lang w:eastAsia="en-US"/>
              </w:rPr>
              <w:t>Podmienka poskytnutia príspevku, ktorou je stanovenie spôsobu financovania je stanovená ako povinná podmienka poskytnutia príspevku vo výzve a nie je osobitne overovaná v rámci konania o ŽoNFP a samostatne dokladovaná zo strany žiadateľa.</w:t>
            </w:r>
          </w:p>
        </w:tc>
        <w:tc>
          <w:tcPr>
            <w:tcW w:w="2836" w:type="dxa"/>
            <w:shd w:val="clear" w:color="auto" w:fill="FFFFFF"/>
            <w:vAlign w:val="center"/>
          </w:tcPr>
          <w:p w14:paraId="3AC1B7A5" w14:textId="77777777" w:rsidR="00B650E5" w:rsidRDefault="00B650E5">
            <w:pPr>
              <w:jc w:val="center"/>
              <w:rPr>
                <w:iCs/>
                <w:sz w:val="20"/>
                <w:szCs w:val="20"/>
                <w:lang w:eastAsia="en-US"/>
              </w:rPr>
            </w:pPr>
          </w:p>
        </w:tc>
      </w:tr>
      <w:tr w:rsidR="00B650E5" w14:paraId="00985020" w14:textId="77777777" w:rsidTr="00997CB0">
        <w:trPr>
          <w:trHeight w:val="360"/>
        </w:trPr>
        <w:tc>
          <w:tcPr>
            <w:tcW w:w="483" w:type="dxa"/>
            <w:shd w:val="clear" w:color="000000" w:fill="C5D9F1"/>
            <w:vAlign w:val="center"/>
          </w:tcPr>
          <w:p w14:paraId="3B863871" w14:textId="405928E5" w:rsidR="00B650E5" w:rsidRDefault="00B650E5">
            <w:pPr>
              <w:jc w:val="center"/>
              <w:rPr>
                <w:b/>
                <w:bCs/>
                <w:sz w:val="20"/>
                <w:szCs w:val="20"/>
              </w:rPr>
            </w:pPr>
            <w:r>
              <w:rPr>
                <w:b/>
                <w:bCs/>
                <w:iCs/>
                <w:sz w:val="20"/>
                <w:szCs w:val="20"/>
                <w:lang w:eastAsia="en-US"/>
              </w:rPr>
              <w:t>22.</w:t>
            </w:r>
          </w:p>
        </w:tc>
        <w:tc>
          <w:tcPr>
            <w:tcW w:w="1881" w:type="dxa"/>
            <w:shd w:val="clear" w:color="000000" w:fill="C5D9F1"/>
            <w:vAlign w:val="center"/>
          </w:tcPr>
          <w:p w14:paraId="27300B3D" w14:textId="77777777" w:rsidR="00B650E5" w:rsidRDefault="00B650E5">
            <w:pPr>
              <w:jc w:val="center"/>
              <w:rPr>
                <w:sz w:val="20"/>
                <w:szCs w:val="20"/>
              </w:rPr>
            </w:pPr>
            <w:r>
              <w:rPr>
                <w:iCs/>
                <w:sz w:val="20"/>
                <w:szCs w:val="20"/>
                <w:lang w:eastAsia="en-US"/>
              </w:rPr>
              <w:t>Podmienky poskytnutia príspevku vyplývajúce z osobitných predpisov</w:t>
            </w:r>
          </w:p>
        </w:tc>
        <w:tc>
          <w:tcPr>
            <w:tcW w:w="3165" w:type="dxa"/>
            <w:shd w:val="clear" w:color="000000" w:fill="C5D9F1"/>
            <w:vAlign w:val="center"/>
          </w:tcPr>
          <w:p w14:paraId="792BE1DF" w14:textId="77777777" w:rsidR="00B650E5" w:rsidRDefault="00B650E5">
            <w:pPr>
              <w:jc w:val="center"/>
              <w:rPr>
                <w:sz w:val="20"/>
                <w:szCs w:val="20"/>
              </w:rPr>
            </w:pPr>
            <w:r>
              <w:rPr>
                <w:iCs/>
                <w:sz w:val="20"/>
                <w:szCs w:val="20"/>
                <w:lang w:eastAsia="en-US"/>
              </w:rPr>
              <w:t>Podmienky týkajúce sa štátnej pomoci a vyplývajúce zo schém štátnej pomoci/pomoci de minimis</w:t>
            </w:r>
          </w:p>
        </w:tc>
        <w:tc>
          <w:tcPr>
            <w:tcW w:w="6946" w:type="dxa"/>
            <w:shd w:val="clear" w:color="000000" w:fill="C5D9F1"/>
            <w:vAlign w:val="center"/>
          </w:tcPr>
          <w:p w14:paraId="46957574" w14:textId="3782C145" w:rsidR="00B650E5" w:rsidRDefault="00B650E5" w:rsidP="00997CB0">
            <w:pPr>
              <w:pStyle w:val="Hlavika"/>
            </w:pPr>
            <w:r>
              <w:rPr>
                <w:iCs/>
                <w:sz w:val="20"/>
                <w:szCs w:val="20"/>
                <w:lang w:eastAsia="en-US"/>
              </w:rPr>
              <w:t xml:space="preserve">RO zadefinuje povinné prílohy potrebné na preukázanie splnenia osobitných podmienok vo vzťahu k poskytovaniu štátnej pomoci/pomoci de minimis.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doklad preukazujúci nepresiahnutie maximálnej výšky pomoci v prípade poskytovania pomoci de minimis a pod. </w:t>
            </w:r>
            <w:r w:rsidR="00B83DE6">
              <w:rPr>
                <w:iCs/>
                <w:sz w:val="20"/>
                <w:szCs w:val="20"/>
                <w:lang w:eastAsia="en-US"/>
              </w:rPr>
              <w:t xml:space="preserve">V prípade, </w:t>
            </w:r>
            <w:r w:rsidR="00B83DE6" w:rsidRPr="00B83DE6">
              <w:rPr>
                <w:iCs/>
                <w:sz w:val="20"/>
                <w:szCs w:val="20"/>
                <w:lang w:eastAsia="en-US"/>
              </w:rPr>
              <w:t xml:space="preserve">ak nie </w:t>
            </w:r>
            <w:r w:rsidR="00B83DE6">
              <w:rPr>
                <w:iCs/>
                <w:sz w:val="20"/>
                <w:szCs w:val="20"/>
                <w:lang w:eastAsia="en-US"/>
              </w:rPr>
              <w:t>sú</w:t>
            </w:r>
            <w:r w:rsidR="00B83DE6" w:rsidRPr="00B83DE6">
              <w:rPr>
                <w:iCs/>
                <w:sz w:val="20"/>
                <w:szCs w:val="20"/>
                <w:lang w:eastAsia="en-US"/>
              </w:rPr>
              <w:t xml:space="preserve"> stanoven</w:t>
            </w:r>
            <w:r w:rsidR="00B83DE6">
              <w:rPr>
                <w:iCs/>
                <w:sz w:val="20"/>
                <w:szCs w:val="20"/>
                <w:lang w:eastAsia="en-US"/>
              </w:rPr>
              <w:t>é</w:t>
            </w:r>
            <w:r w:rsidR="00B83DE6" w:rsidRPr="00B83DE6">
              <w:rPr>
                <w:iCs/>
                <w:sz w:val="20"/>
                <w:szCs w:val="20"/>
                <w:lang w:eastAsia="en-US"/>
              </w:rPr>
              <w:t xml:space="preserve"> podmienk</w:t>
            </w:r>
            <w:r w:rsidR="00B83DE6">
              <w:rPr>
                <w:iCs/>
                <w:sz w:val="20"/>
                <w:szCs w:val="20"/>
                <w:lang w:eastAsia="en-US"/>
              </w:rPr>
              <w:t>y</w:t>
            </w:r>
            <w:r w:rsidR="00B83DE6" w:rsidRPr="00B83DE6">
              <w:rPr>
                <w:iCs/>
                <w:sz w:val="20"/>
                <w:szCs w:val="20"/>
                <w:lang w:eastAsia="en-US"/>
              </w:rPr>
              <w:t xml:space="preserve"> poskytnutia príspevku</w:t>
            </w:r>
            <w:r w:rsidR="00B83DE6">
              <w:rPr>
                <w:iCs/>
                <w:sz w:val="20"/>
                <w:szCs w:val="20"/>
                <w:lang w:eastAsia="en-US"/>
              </w:rPr>
              <w:t>,</w:t>
            </w:r>
            <w:r w:rsidR="00B83DE6" w:rsidRPr="00B83DE6">
              <w:rPr>
                <w:iCs/>
                <w:sz w:val="20"/>
                <w:szCs w:val="20"/>
                <w:lang w:eastAsia="en-US"/>
              </w:rPr>
              <w:t xml:space="preserve"> týkajúce sa štátnej pomoci a vyplývajúce zo schém štátnej pomoci/pomoci de minimis, uvedie </w:t>
            </w:r>
            <w:r w:rsidR="00B83DE6">
              <w:rPr>
                <w:iCs/>
                <w:sz w:val="20"/>
                <w:szCs w:val="20"/>
                <w:lang w:eastAsia="en-US"/>
              </w:rPr>
              <w:t>RO</w:t>
            </w:r>
            <w:r w:rsidR="00B83DE6" w:rsidRPr="00B83DE6">
              <w:rPr>
                <w:iCs/>
                <w:sz w:val="20"/>
                <w:szCs w:val="20"/>
                <w:lang w:eastAsia="en-US"/>
              </w:rPr>
              <w:t xml:space="preserve"> podmienku v súlade s formuláciou podľa vzoru CKO č.</w:t>
            </w:r>
            <w:r w:rsidR="005F45CC">
              <w:rPr>
                <w:iCs/>
                <w:sz w:val="20"/>
                <w:szCs w:val="20"/>
                <w:lang w:eastAsia="en-US"/>
              </w:rPr>
              <w:t xml:space="preserve"> </w:t>
            </w:r>
            <w:r w:rsidR="00B83DE6" w:rsidRPr="00B83DE6">
              <w:rPr>
                <w:iCs/>
                <w:sz w:val="20"/>
                <w:szCs w:val="20"/>
                <w:lang w:eastAsia="en-US"/>
              </w:rPr>
              <w:t>7</w:t>
            </w:r>
            <w:r w:rsidR="00B83DE6">
              <w:rPr>
                <w:iCs/>
                <w:sz w:val="20"/>
                <w:szCs w:val="20"/>
                <w:lang w:eastAsia="en-US"/>
              </w:rPr>
              <w:t xml:space="preserve"> </w:t>
            </w:r>
            <w:r w:rsidR="00B83DE6" w:rsidRPr="00997CB0">
              <w:rPr>
                <w:iCs/>
                <w:sz w:val="20"/>
                <w:szCs w:val="20"/>
                <w:lang w:eastAsia="en-US"/>
              </w:rPr>
              <w:t xml:space="preserve">Výzva na predkladanie </w:t>
            </w:r>
            <w:r w:rsidR="00B83DE6" w:rsidRPr="00997CB0">
              <w:rPr>
                <w:iCs/>
                <w:sz w:val="20"/>
                <w:szCs w:val="20"/>
                <w:lang w:eastAsia="en-US"/>
              </w:rPr>
              <w:lastRenderedPageBreak/>
              <w:t>projektových zámerov/výzva/vyzvanie</w:t>
            </w:r>
            <w:r w:rsidR="00B83DE6">
              <w:rPr>
                <w:iCs/>
                <w:sz w:val="20"/>
                <w:szCs w:val="20"/>
                <w:lang w:eastAsia="en-US"/>
              </w:rPr>
              <w:t>.</w:t>
            </w:r>
          </w:p>
        </w:tc>
        <w:tc>
          <w:tcPr>
            <w:tcW w:w="2836" w:type="dxa"/>
            <w:shd w:val="clear" w:color="000000" w:fill="C5D9F1"/>
            <w:vAlign w:val="center"/>
          </w:tcPr>
          <w:p w14:paraId="6EC7C332" w14:textId="77777777" w:rsidR="00B650E5" w:rsidRDefault="00B650E5">
            <w:pPr>
              <w:jc w:val="center"/>
              <w:rPr>
                <w:sz w:val="20"/>
                <w:szCs w:val="20"/>
              </w:rPr>
            </w:pPr>
            <w:r>
              <w:rPr>
                <w:iCs/>
                <w:sz w:val="20"/>
                <w:szCs w:val="20"/>
                <w:lang w:eastAsia="en-US"/>
              </w:rPr>
              <w:lastRenderedPageBreak/>
              <w:t>Relevantné pre prípady poskytovania štátnej pomoci/pomoci de minimis</w:t>
            </w:r>
          </w:p>
        </w:tc>
      </w:tr>
      <w:tr w:rsidR="00B650E5" w14:paraId="1754367B" w14:textId="77777777">
        <w:trPr>
          <w:trHeight w:val="1262"/>
        </w:trPr>
        <w:tc>
          <w:tcPr>
            <w:tcW w:w="483" w:type="dxa"/>
            <w:vAlign w:val="center"/>
          </w:tcPr>
          <w:p w14:paraId="6E4691F2" w14:textId="2E3D3302" w:rsidR="00B650E5" w:rsidRDefault="00B650E5">
            <w:pPr>
              <w:jc w:val="center"/>
              <w:rPr>
                <w:b/>
                <w:bCs/>
                <w:sz w:val="20"/>
                <w:szCs w:val="20"/>
              </w:rPr>
            </w:pPr>
            <w:r>
              <w:rPr>
                <w:b/>
                <w:bCs/>
                <w:iCs/>
                <w:sz w:val="20"/>
                <w:szCs w:val="20"/>
                <w:lang w:eastAsia="en-US"/>
              </w:rPr>
              <w:t>23.</w:t>
            </w:r>
          </w:p>
        </w:tc>
        <w:tc>
          <w:tcPr>
            <w:tcW w:w="1881" w:type="dxa"/>
            <w:vAlign w:val="center"/>
          </w:tcPr>
          <w:p w14:paraId="2459E535" w14:textId="77777777" w:rsidR="00B650E5" w:rsidRDefault="00B650E5">
            <w:pPr>
              <w:jc w:val="center"/>
              <w:rPr>
                <w:sz w:val="20"/>
                <w:szCs w:val="20"/>
              </w:rPr>
            </w:pPr>
            <w:r>
              <w:rPr>
                <w:bCs/>
                <w:iCs/>
                <w:sz w:val="20"/>
                <w:szCs w:val="20"/>
                <w:lang w:eastAsia="en-US"/>
              </w:rPr>
              <w:t> </w:t>
            </w:r>
          </w:p>
        </w:tc>
        <w:tc>
          <w:tcPr>
            <w:tcW w:w="3165" w:type="dxa"/>
            <w:vAlign w:val="center"/>
          </w:tcPr>
          <w:p w14:paraId="27BADDAD" w14:textId="77777777" w:rsidR="00B650E5" w:rsidRDefault="00B650E5">
            <w:pPr>
              <w:jc w:val="center"/>
              <w:rPr>
                <w:sz w:val="20"/>
                <w:szCs w:val="20"/>
              </w:rPr>
            </w:pPr>
            <w:r>
              <w:rPr>
                <w:sz w:val="20"/>
                <w:szCs w:val="20"/>
              </w:rPr>
              <w:t>Podmienka neporušenia zákazu nelegálnej práce a nelegálneho zamestnávania za obdobie 5 rokov predchádzajúcich podaniu ŽoNFP</w:t>
            </w:r>
          </w:p>
        </w:tc>
        <w:tc>
          <w:tcPr>
            <w:tcW w:w="6946" w:type="dxa"/>
            <w:vAlign w:val="center"/>
          </w:tcPr>
          <w:p w14:paraId="46D6EAE6" w14:textId="77777777" w:rsidR="00B650E5" w:rsidRDefault="00B650E5" w:rsidP="00DC7971">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3DFE441C" w14:textId="1870887E" w:rsidR="00B650E5" w:rsidRDefault="00B650E5" w:rsidP="00DC7971">
            <w:pPr>
              <w:rPr>
                <w:sz w:val="20"/>
                <w:szCs w:val="20"/>
              </w:rPr>
            </w:pPr>
            <w:r w:rsidRPr="000B18B1">
              <w:rPr>
                <w:b/>
                <w:sz w:val="20"/>
                <w:szCs w:val="20"/>
              </w:rPr>
              <w:t>Spôsob overenia:</w:t>
            </w:r>
            <w:r>
              <w:rPr>
                <w:sz w:val="20"/>
                <w:szCs w:val="20"/>
              </w:rPr>
              <w:t xml:space="preserve"> </w:t>
            </w:r>
            <w:r>
              <w:rPr>
                <w:sz w:val="20"/>
                <w:szCs w:val="20"/>
                <w:lang w:eastAsia="en-US"/>
              </w:rPr>
              <w:t>ITMS 2014+</w:t>
            </w:r>
            <w:r w:rsidR="005F45CC">
              <w:rPr>
                <w:sz w:val="20"/>
                <w:szCs w:val="20"/>
                <w:lang w:eastAsia="en-US"/>
              </w:rPr>
              <w:t xml:space="preserve"> </w:t>
            </w:r>
            <w:r>
              <w:rPr>
                <w:sz w:val="20"/>
                <w:szCs w:val="20"/>
                <w:lang w:eastAsia="en-US"/>
              </w:rPr>
              <w:t>/ centrálne dožiadanie informácie /potvrdenie príslušného inšpektorátu práce, že žiadateľ neporušil zákaz nelegálnej práce a nelegálneho zamestnávania podľa osobitného predpisu za obdobie piatich rokov, nie staršie ako 3 mesiace ku dňu predloženia ŽoNFP</w:t>
            </w:r>
          </w:p>
        </w:tc>
        <w:tc>
          <w:tcPr>
            <w:tcW w:w="2836" w:type="dxa"/>
            <w:vAlign w:val="center"/>
          </w:tcPr>
          <w:p w14:paraId="5E87B5BF" w14:textId="77777777" w:rsidR="00B650E5" w:rsidRDefault="00663970">
            <w:pPr>
              <w:jc w:val="center"/>
              <w:rPr>
                <w:sz w:val="20"/>
                <w:szCs w:val="20"/>
              </w:rPr>
            </w:pPr>
            <w:r w:rsidRPr="00663970">
              <w:rPr>
                <w:iCs/>
                <w:sz w:val="20"/>
                <w:szCs w:val="20"/>
                <w:lang w:eastAsia="en-US"/>
              </w:rPr>
              <w:t>Termín podania ŽoNFP je určujúci pre posúdenie počiatočného dátumu plnenia podmienky, pričom žiadateľ/prijímateľ nesmie podmienku poskytnutia príspevku porušiť ani počas realizácie projektu.</w:t>
            </w:r>
            <w:r w:rsidR="00B650E5">
              <w:rPr>
                <w:iCs/>
                <w:sz w:val="20"/>
                <w:szCs w:val="20"/>
                <w:lang w:eastAsia="en-US"/>
              </w:rPr>
              <w:t> </w:t>
            </w:r>
          </w:p>
        </w:tc>
      </w:tr>
      <w:tr w:rsidR="00B650E5" w14:paraId="50705030" w14:textId="77777777">
        <w:trPr>
          <w:trHeight w:val="1116"/>
        </w:trPr>
        <w:tc>
          <w:tcPr>
            <w:tcW w:w="483" w:type="dxa"/>
            <w:shd w:val="clear" w:color="000000" w:fill="C5D9F1"/>
            <w:vAlign w:val="center"/>
          </w:tcPr>
          <w:p w14:paraId="14BADB36" w14:textId="3030FB61" w:rsidR="00B650E5" w:rsidRDefault="00B650E5">
            <w:pPr>
              <w:jc w:val="center"/>
              <w:rPr>
                <w:b/>
                <w:bCs/>
                <w:sz w:val="20"/>
                <w:szCs w:val="20"/>
              </w:rPr>
            </w:pPr>
            <w:r>
              <w:rPr>
                <w:b/>
                <w:bCs/>
                <w:iCs/>
                <w:sz w:val="20"/>
                <w:szCs w:val="20"/>
                <w:lang w:eastAsia="en-US"/>
              </w:rPr>
              <w:t>24.</w:t>
            </w:r>
          </w:p>
        </w:tc>
        <w:tc>
          <w:tcPr>
            <w:tcW w:w="1881" w:type="dxa"/>
            <w:shd w:val="clear" w:color="000000" w:fill="C5D9F1"/>
            <w:vAlign w:val="center"/>
          </w:tcPr>
          <w:p w14:paraId="5F7867E1" w14:textId="77777777" w:rsidR="00B650E5" w:rsidRDefault="00B650E5">
            <w:pPr>
              <w:jc w:val="center"/>
              <w:rPr>
                <w:rFonts w:ascii="Calibri" w:hAnsi="Calibri"/>
                <w:sz w:val="20"/>
                <w:szCs w:val="20"/>
              </w:rPr>
            </w:pPr>
            <w:r>
              <w:rPr>
                <w:rFonts w:ascii="Calibri" w:hAnsi="Calibri"/>
                <w:sz w:val="20"/>
                <w:szCs w:val="20"/>
              </w:rPr>
              <w:t> </w:t>
            </w:r>
          </w:p>
        </w:tc>
        <w:tc>
          <w:tcPr>
            <w:tcW w:w="3165" w:type="dxa"/>
            <w:shd w:val="clear" w:color="000000" w:fill="C5D9F1"/>
            <w:vAlign w:val="center"/>
          </w:tcPr>
          <w:p w14:paraId="29360499" w14:textId="77777777" w:rsidR="00B650E5" w:rsidRDefault="00B650E5">
            <w:pPr>
              <w:jc w:val="center"/>
              <w:rPr>
                <w:sz w:val="20"/>
                <w:szCs w:val="20"/>
              </w:rPr>
            </w:pPr>
            <w:r>
              <w:rPr>
                <w:sz w:val="20"/>
                <w:szCs w:val="20"/>
              </w:rPr>
              <w:t>Oprávnenosť z hľadiska VO na hlavné aktivity projektu</w:t>
            </w:r>
          </w:p>
        </w:tc>
        <w:tc>
          <w:tcPr>
            <w:tcW w:w="6946" w:type="dxa"/>
            <w:shd w:val="clear" w:color="000000" w:fill="C5D9F1"/>
            <w:vAlign w:val="center"/>
          </w:tcPr>
          <w:p w14:paraId="185B1D9A" w14:textId="77777777" w:rsidR="00B650E5" w:rsidRDefault="00B650E5">
            <w:pPr>
              <w:rPr>
                <w:sz w:val="20"/>
                <w:szCs w:val="20"/>
              </w:rPr>
            </w:pPr>
            <w:r>
              <w:rPr>
                <w:b/>
                <w:bCs/>
                <w:sz w:val="20"/>
                <w:szCs w:val="20"/>
                <w:lang w:eastAsia="en-US"/>
              </w:rPr>
              <w:t>Dokumentácia k VO stanovená vo výzve:</w:t>
            </w:r>
            <w:r>
              <w:rPr>
                <w:sz w:val="20"/>
                <w:szCs w:val="20"/>
                <w:lang w:eastAsia="en-US"/>
              </w:rPr>
              <w:br/>
              <w:t xml:space="preserve">RO v rámci povinných príloh ŽoNFP zadefinuje povinnosť predloženia dokumentácie k VO projektu tak, aby súčasťou schvaľovacieho procesu mohlo byť skontrolované dodržanie postupov a pravidiel podľa ZVO. </w:t>
            </w:r>
          </w:p>
        </w:tc>
        <w:tc>
          <w:tcPr>
            <w:tcW w:w="2836" w:type="dxa"/>
            <w:shd w:val="clear" w:color="000000" w:fill="C5D9F1"/>
            <w:vAlign w:val="center"/>
          </w:tcPr>
          <w:p w14:paraId="7A8B6360" w14:textId="45234CDB" w:rsidR="00B650E5" w:rsidRDefault="00B650E5" w:rsidP="007D0719">
            <w:pPr>
              <w:jc w:val="center"/>
              <w:rPr>
                <w:sz w:val="20"/>
                <w:szCs w:val="20"/>
              </w:rPr>
            </w:pPr>
            <w:r>
              <w:rPr>
                <w:bCs/>
                <w:iCs/>
                <w:sz w:val="20"/>
                <w:szCs w:val="20"/>
                <w:lang w:eastAsia="en-US"/>
              </w:rPr>
              <w:t xml:space="preserve">Relevantné pre prípady, ak podmienka poskytnutia príspevku bola na základe rozhodnutia RO stanovená vo výzve; RO postupuje pri definovaní rozsahu a spôsobu predkladania dokumentácie k VO postupom podľa </w:t>
            </w:r>
            <w:hyperlink w:anchor="kapitola_33728_ods_4" w:tooltip="kapitoly 3.3.7.2.8, ods. 4" w:history="1">
              <w:r w:rsidRPr="000E6473">
                <w:rPr>
                  <w:rStyle w:val="Hypertextovprepojenie"/>
                  <w:sz w:val="20"/>
                  <w:szCs w:val="20"/>
                </w:rPr>
                <w:t>kapitoly 3.3.7.2.</w:t>
              </w:r>
              <w:r w:rsidR="007D0719">
                <w:rPr>
                  <w:rStyle w:val="Hypertextovprepojenie"/>
                  <w:sz w:val="20"/>
                  <w:szCs w:val="20"/>
                </w:rPr>
                <w:t>7</w:t>
              </w:r>
              <w:r w:rsidRPr="000E6473">
                <w:rPr>
                  <w:rStyle w:val="Hypertextovprepojenie"/>
                  <w:sz w:val="20"/>
                  <w:szCs w:val="20"/>
                </w:rPr>
                <w:t xml:space="preserve"> ods. 4</w:t>
              </w:r>
            </w:hyperlink>
          </w:p>
        </w:tc>
      </w:tr>
      <w:tr w:rsidR="00B650E5" w14:paraId="6FB4B41A" w14:textId="77777777" w:rsidTr="00997CB0">
        <w:trPr>
          <w:trHeight w:val="1211"/>
        </w:trPr>
        <w:tc>
          <w:tcPr>
            <w:tcW w:w="483" w:type="dxa"/>
            <w:vAlign w:val="center"/>
          </w:tcPr>
          <w:p w14:paraId="7FC11414" w14:textId="764858C7" w:rsidR="00B650E5" w:rsidRPr="00F67888" w:rsidRDefault="00B650E5">
            <w:pPr>
              <w:jc w:val="center"/>
              <w:rPr>
                <w:b/>
                <w:bCs/>
                <w:sz w:val="20"/>
                <w:szCs w:val="20"/>
              </w:rPr>
            </w:pPr>
            <w:r w:rsidRPr="0002534D">
              <w:rPr>
                <w:b/>
                <w:bCs/>
                <w:iCs/>
                <w:sz w:val="20"/>
                <w:szCs w:val="20"/>
                <w:lang w:eastAsia="en-US"/>
              </w:rPr>
              <w:t>2</w:t>
            </w:r>
            <w:r w:rsidRPr="00F67888">
              <w:rPr>
                <w:b/>
                <w:bCs/>
                <w:iCs/>
                <w:sz w:val="20"/>
                <w:szCs w:val="20"/>
                <w:lang w:eastAsia="en-US"/>
              </w:rPr>
              <w:t>5.</w:t>
            </w:r>
          </w:p>
        </w:tc>
        <w:tc>
          <w:tcPr>
            <w:tcW w:w="1881" w:type="dxa"/>
            <w:vAlign w:val="center"/>
          </w:tcPr>
          <w:p w14:paraId="2D2C50E2" w14:textId="77777777" w:rsidR="00B650E5" w:rsidRPr="00F67888" w:rsidRDefault="00B650E5">
            <w:pPr>
              <w:jc w:val="center"/>
              <w:rPr>
                <w:sz w:val="20"/>
                <w:szCs w:val="20"/>
              </w:rPr>
            </w:pPr>
            <w:r w:rsidRPr="00F67888">
              <w:rPr>
                <w:iCs/>
                <w:sz w:val="20"/>
                <w:szCs w:val="20"/>
                <w:lang w:eastAsia="en-US"/>
              </w:rPr>
              <w:t xml:space="preserve">Ďalšie podmienky poskytnutia príspevku </w:t>
            </w:r>
          </w:p>
        </w:tc>
        <w:tc>
          <w:tcPr>
            <w:tcW w:w="3165" w:type="dxa"/>
            <w:vAlign w:val="center"/>
          </w:tcPr>
          <w:p w14:paraId="1827AD45" w14:textId="77777777" w:rsidR="00B650E5" w:rsidRPr="00F67888" w:rsidRDefault="00B650E5">
            <w:pPr>
              <w:jc w:val="center"/>
              <w:rPr>
                <w:sz w:val="20"/>
                <w:szCs w:val="20"/>
              </w:rPr>
            </w:pPr>
            <w:r w:rsidRPr="00F67888">
              <w:rPr>
                <w:sz w:val="20"/>
                <w:szCs w:val="20"/>
              </w:rPr>
              <w:t>Oprávnenosť z hľadiska preukázania súladu s požiadavkami v oblasti posudzovania vplyvov navrhovanej činnosti na životné prostredie</w:t>
            </w:r>
          </w:p>
        </w:tc>
        <w:tc>
          <w:tcPr>
            <w:tcW w:w="6946" w:type="dxa"/>
            <w:vAlign w:val="center"/>
          </w:tcPr>
          <w:p w14:paraId="452EE843" w14:textId="77777777" w:rsidR="00B650E5" w:rsidRPr="00F67888" w:rsidRDefault="00B650E5">
            <w:pPr>
              <w:rPr>
                <w:sz w:val="20"/>
                <w:szCs w:val="20"/>
                <w:lang w:eastAsia="en-US"/>
              </w:rPr>
            </w:pPr>
            <w:r w:rsidRPr="00F67888">
              <w:rPr>
                <w:b/>
                <w:bCs/>
                <w:sz w:val="20"/>
                <w:szCs w:val="20"/>
                <w:lang w:eastAsia="en-US"/>
              </w:rPr>
              <w:t>Výstupy z procesu posudzovania vplyvov na životné prostredie podľa zákona o posudzovaní vplyvov:</w:t>
            </w:r>
            <w:r w:rsidRPr="00F67888">
              <w:rPr>
                <w:sz w:val="20"/>
                <w:szCs w:val="20"/>
                <w:lang w:eastAsia="en-US"/>
              </w:rPr>
              <w:br/>
              <w:t>V prípade projektov podliehajúcich posudzovaniu vplyvov na životné prostredie je potrebné predložiť výstup z posudzovania vplyvov na životné prostredie, a to:</w:t>
            </w:r>
          </w:p>
          <w:p w14:paraId="33913506" w14:textId="77777777" w:rsidR="00B650E5" w:rsidRPr="00F67888" w:rsidRDefault="00B650E5">
            <w:pPr>
              <w:rPr>
                <w:sz w:val="20"/>
                <w:szCs w:val="20"/>
                <w:lang w:eastAsia="en-US"/>
              </w:rPr>
            </w:pPr>
            <w:r w:rsidRPr="00F67888">
              <w:rPr>
                <w:sz w:val="20"/>
                <w:szCs w:val="20"/>
                <w:lang w:eastAsia="en-US"/>
              </w:rPr>
              <w:t>a.) platné záverečné stanovisko z posúdenia vplyvov navrhovanej činnosti, resp. jej zmeny na životné prostredie podľa zákona o posudzovaní vplyvov, alebo</w:t>
            </w:r>
          </w:p>
          <w:p w14:paraId="64ABE31F" w14:textId="77777777" w:rsidR="00B650E5" w:rsidRPr="00F67888" w:rsidRDefault="00B650E5">
            <w:pPr>
              <w:rPr>
                <w:sz w:val="20"/>
                <w:szCs w:val="20"/>
                <w:lang w:eastAsia="en-US"/>
              </w:rPr>
            </w:pPr>
            <w:r w:rsidRPr="00F67888">
              <w:rPr>
                <w:sz w:val="20"/>
                <w:szCs w:val="20"/>
                <w:lang w:eastAsia="en-US"/>
              </w:rPr>
              <w:t>b.) rozhodnutie zo zisťovacieho konania o tom, že navrhovaná činnosť, resp. zmena navrhovanej činnosti nepodlieha posudzovaniu vplyvov na životné prostredie podľa zákona o posudzovaní vplyvov, alebo</w:t>
            </w:r>
          </w:p>
          <w:p w14:paraId="31350217" w14:textId="5082C7B9" w:rsidR="00B650E5" w:rsidRPr="00F67888" w:rsidRDefault="00B650E5">
            <w:pPr>
              <w:rPr>
                <w:sz w:val="20"/>
                <w:szCs w:val="20"/>
                <w:lang w:eastAsia="en-US"/>
              </w:rPr>
            </w:pPr>
            <w:r w:rsidRPr="00F67888">
              <w:rPr>
                <w:sz w:val="20"/>
                <w:szCs w:val="20"/>
                <w:lang w:eastAsia="en-US"/>
              </w:rPr>
              <w:t>c.) rozhodnutie príslušného orgánu podľa § 19 ods. 1 zákona o posudzovaní vplyvov o tom, že navrhovaná činnosť alebo jej zmena nepodlieha posudzovaniu vplyvov na životné prostredie podľa zákona o posudzovaní vplyvov, alebo</w:t>
            </w:r>
          </w:p>
          <w:p w14:paraId="599E006C" w14:textId="3B9EBF60" w:rsidR="00B650E5" w:rsidRPr="00F67888" w:rsidRDefault="00B650E5">
            <w:pPr>
              <w:rPr>
                <w:sz w:val="20"/>
                <w:szCs w:val="20"/>
                <w:lang w:eastAsia="en-US"/>
              </w:rPr>
            </w:pPr>
            <w:r w:rsidRPr="00F67888">
              <w:rPr>
                <w:sz w:val="20"/>
                <w:szCs w:val="20"/>
                <w:lang w:eastAsia="en-US"/>
              </w:rPr>
              <w:t>d.) stanovisko (vyjadrenie) príslušného orgánu o tom, že navrhovaná činnosť, resp. zmena navrhovanej činnosti nepodlieha posudzovaniu vplyvov na životné prostredie podľa zákona o posudzovaní vplyvov.</w:t>
            </w:r>
            <w:r w:rsidRPr="00F67888">
              <w:rPr>
                <w:sz w:val="20"/>
                <w:szCs w:val="20"/>
                <w:lang w:eastAsia="en-US"/>
              </w:rPr>
              <w:br/>
            </w:r>
            <w:r w:rsidRPr="00F67888">
              <w:rPr>
                <w:sz w:val="20"/>
                <w:szCs w:val="20"/>
                <w:lang w:eastAsia="en-US"/>
              </w:rPr>
              <w:br/>
              <w:t xml:space="preserve">V prípade ŽoNFP, ku ktorým bol vydaný záverečný dokument z procesu posudzovania vplyvov na životné prostredie, bude v rámci konania o ŽoNFP vykonané overenie súladu predmetu predloženého projektu s výstupom z procesu posudzovania vplyvov na životné prostredie podľa zákona o posudzovaní vplyvov. V prípadoch, kde došlo k zmenám projektu, bude potrebné vykonať opätovné </w:t>
            </w:r>
            <w:r w:rsidRPr="00F67888">
              <w:rPr>
                <w:sz w:val="20"/>
                <w:szCs w:val="20"/>
                <w:lang w:eastAsia="en-US"/>
              </w:rPr>
              <w:lastRenderedPageBreak/>
              <w:t>posudzovanie (re-assessment), a v prípade identifikovanej potreby aj opätovné povoľovacie konanie (re-permitting).</w:t>
            </w:r>
          </w:p>
          <w:p w14:paraId="1D8327CC" w14:textId="77777777" w:rsidR="00B650E5" w:rsidRPr="00F67888" w:rsidRDefault="00B650E5">
            <w:pPr>
              <w:rPr>
                <w:sz w:val="20"/>
                <w:szCs w:val="20"/>
                <w:lang w:eastAsia="en-US"/>
              </w:rPr>
            </w:pPr>
          </w:p>
          <w:p w14:paraId="4B9A7A8D" w14:textId="77777777" w:rsidR="00B650E5" w:rsidRPr="00F67888" w:rsidRDefault="00B650E5" w:rsidP="00C057CA">
            <w:pPr>
              <w:rPr>
                <w:sz w:val="20"/>
                <w:szCs w:val="20"/>
              </w:rPr>
            </w:pPr>
            <w:r w:rsidRPr="00F67888">
              <w:rPr>
                <w:sz w:val="20"/>
                <w:szCs w:val="20"/>
              </w:rPr>
              <w:t>Pri overovaní tejto podmienky RO v prípade potreby spolupracujú s MŽP SR (vecne príslušným útvarom, do pôsobnosti ktorého spadá problematika posudzovania vplyvov na životné prostredie) ako koordinátorom EIA pre EŠIF.</w:t>
            </w:r>
            <w:r w:rsidR="00ED51C9" w:rsidRPr="00F67888">
              <w:rPr>
                <w:sz w:val="20"/>
                <w:szCs w:val="20"/>
              </w:rPr>
              <w:t xml:space="preserve"> Podrobnosti spoluprác</w:t>
            </w:r>
            <w:r w:rsidR="00C057CA" w:rsidRPr="00F67888">
              <w:rPr>
                <w:sz w:val="20"/>
                <w:szCs w:val="20"/>
              </w:rPr>
              <w:t>e</w:t>
            </w:r>
            <w:r w:rsidR="00ED51C9" w:rsidRPr="00F67888">
              <w:rPr>
                <w:sz w:val="20"/>
                <w:szCs w:val="20"/>
              </w:rPr>
              <w:t xml:space="preserve"> upraví </w:t>
            </w:r>
            <w:r w:rsidR="00C057CA" w:rsidRPr="00F67888">
              <w:rPr>
                <w:sz w:val="20"/>
                <w:szCs w:val="20"/>
              </w:rPr>
              <w:t xml:space="preserve">CKO v </w:t>
            </w:r>
            <w:r w:rsidR="00ED51C9" w:rsidRPr="00F67888">
              <w:rPr>
                <w:sz w:val="20"/>
                <w:szCs w:val="20"/>
              </w:rPr>
              <w:t>metodick</w:t>
            </w:r>
            <w:r w:rsidR="00C057CA" w:rsidRPr="00F67888">
              <w:rPr>
                <w:sz w:val="20"/>
                <w:szCs w:val="20"/>
              </w:rPr>
              <w:t>om</w:t>
            </w:r>
            <w:r w:rsidR="00ED51C9" w:rsidRPr="00F67888">
              <w:rPr>
                <w:sz w:val="20"/>
                <w:szCs w:val="20"/>
              </w:rPr>
              <w:t xml:space="preserve"> pokyn</w:t>
            </w:r>
            <w:r w:rsidR="00C057CA" w:rsidRPr="00F67888">
              <w:rPr>
                <w:sz w:val="20"/>
                <w:szCs w:val="20"/>
              </w:rPr>
              <w:t>e</w:t>
            </w:r>
            <w:r w:rsidR="00ED51C9" w:rsidRPr="00F67888">
              <w:rPr>
                <w:sz w:val="20"/>
                <w:szCs w:val="20"/>
              </w:rPr>
              <w:t>.</w:t>
            </w:r>
          </w:p>
        </w:tc>
        <w:tc>
          <w:tcPr>
            <w:tcW w:w="2836" w:type="dxa"/>
            <w:vAlign w:val="center"/>
          </w:tcPr>
          <w:p w14:paraId="005C4AF8" w14:textId="77777777" w:rsidR="00B650E5" w:rsidRDefault="00B650E5">
            <w:pPr>
              <w:jc w:val="center"/>
              <w:rPr>
                <w:sz w:val="20"/>
                <w:szCs w:val="20"/>
              </w:rPr>
            </w:pPr>
            <w:r w:rsidRPr="00F67888">
              <w:rPr>
                <w:bCs/>
                <w:iCs/>
                <w:sz w:val="20"/>
                <w:szCs w:val="20"/>
                <w:lang w:eastAsia="en-US"/>
              </w:rPr>
              <w:lastRenderedPageBreak/>
              <w:t>Relevantné pre projekty, ktoré z hľadiska svojich aktivít spadajú pod rozsah posudzovania vplyvov na životné prostredie, ak RO na základe posúdenia oprávnených aktivít výzvy identifikoval tieto aktivity ako spadajúce pod rozsah smernice EIA.</w:t>
            </w:r>
          </w:p>
        </w:tc>
      </w:tr>
      <w:tr w:rsidR="00B650E5" w14:paraId="24D9747E" w14:textId="77777777">
        <w:trPr>
          <w:trHeight w:val="1125"/>
        </w:trPr>
        <w:tc>
          <w:tcPr>
            <w:tcW w:w="483" w:type="dxa"/>
            <w:shd w:val="clear" w:color="000000" w:fill="C5D9F1"/>
            <w:vAlign w:val="center"/>
          </w:tcPr>
          <w:p w14:paraId="026E4981" w14:textId="5420A45C" w:rsidR="00B650E5" w:rsidRDefault="00B650E5">
            <w:pPr>
              <w:jc w:val="center"/>
              <w:rPr>
                <w:b/>
                <w:bCs/>
                <w:sz w:val="20"/>
                <w:szCs w:val="20"/>
              </w:rPr>
            </w:pPr>
            <w:r>
              <w:rPr>
                <w:b/>
                <w:bCs/>
                <w:iCs/>
                <w:sz w:val="20"/>
                <w:szCs w:val="20"/>
                <w:lang w:eastAsia="en-US"/>
              </w:rPr>
              <w:t>26.</w:t>
            </w:r>
          </w:p>
        </w:tc>
        <w:tc>
          <w:tcPr>
            <w:tcW w:w="1881" w:type="dxa"/>
            <w:shd w:val="clear" w:color="000000" w:fill="C5D9F1"/>
            <w:vAlign w:val="center"/>
          </w:tcPr>
          <w:p w14:paraId="5C0685B2"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0143E17A" w14:textId="77777777" w:rsidR="00B650E5" w:rsidRDefault="00B650E5">
            <w:pPr>
              <w:jc w:val="center"/>
              <w:rPr>
                <w:sz w:val="20"/>
                <w:szCs w:val="20"/>
              </w:rPr>
            </w:pPr>
            <w:r>
              <w:rPr>
                <w:iCs/>
                <w:sz w:val="20"/>
                <w:szCs w:val="20"/>
                <w:lang w:eastAsia="en-US"/>
              </w:rPr>
              <w:t xml:space="preserve">Podmienka mať vysporiadané majetkovo-právne vzťahy a povolenia na realizáciu aktivít projektu </w:t>
            </w:r>
          </w:p>
        </w:tc>
        <w:tc>
          <w:tcPr>
            <w:tcW w:w="6946" w:type="dxa"/>
            <w:shd w:val="clear" w:color="000000" w:fill="C5D9F1"/>
            <w:vAlign w:val="center"/>
          </w:tcPr>
          <w:p w14:paraId="242DA757" w14:textId="034E3923" w:rsidR="00B650E5" w:rsidRDefault="00B650E5">
            <w:pPr>
              <w:rPr>
                <w:sz w:val="20"/>
                <w:szCs w:val="20"/>
              </w:rPr>
            </w:pPr>
            <w:r>
              <w:rPr>
                <w:b/>
                <w:bCs/>
                <w:sz w:val="20"/>
                <w:szCs w:val="20"/>
              </w:rPr>
              <w:t>Doklady preukazujúce vysporiadanie majetkovo-právnych vzťahov:</w:t>
            </w:r>
            <w:r>
              <w:rPr>
                <w:sz w:val="20"/>
                <w:szCs w:val="20"/>
              </w:rPr>
              <w:br/>
              <w:t>Doklad preukazujúci vlastnícky alebo iný právny vzťah žiadateľa oprávňujúci žiadateľa užívať všetky nehnuteľnosti/hnuteľné veci, ktoré súvisia s realizáciou projektu v rozsahu zadefinovanej podmienky poskytnutia príspevku (list vlastníctva, nájomná zmluva uzatvorená na dobu minimálne 5 rokov po ukončení realizácie projektu, 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majetkovo-právneho vysporiadania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hyperlink w:anchor="kapitola_333" w:tooltip="kapitolou 3.3.3" w:history="1">
              <w:r w:rsidRPr="000E6473">
                <w:rPr>
                  <w:rStyle w:val="Hypertextovprepojenie"/>
                  <w:sz w:val="20"/>
                  <w:szCs w:val="20"/>
                </w:rPr>
                <w:t>kapitolou 3.3.3</w:t>
              </w:r>
            </w:hyperlink>
            <w:r>
              <w:rPr>
                <w:sz w:val="20"/>
                <w:szCs w:val="20"/>
              </w:rPr>
              <w:t xml:space="preserve">. RO na základe analýzy projektov, ktoré sú podporované v rámci OP (ich komplexnosť, náročnosť dokladovania vysporiadania majetkovo-právnych vzťahov, charakter stavby a pod.) môže rozhodnúť, že na preukázanie vysporiadania majetkovo-právnych vzťahov bude postačujúce iba predložene 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t>
            </w:r>
            <w:r>
              <w:rPr>
                <w:sz w:val="20"/>
                <w:szCs w:val="20"/>
              </w:rPr>
              <w:br/>
            </w:r>
          </w:p>
          <w:p w14:paraId="067979EB" w14:textId="77777777" w:rsidR="00B650E5" w:rsidRDefault="00B650E5">
            <w:pPr>
              <w:rPr>
                <w:sz w:val="20"/>
                <w:szCs w:val="20"/>
              </w:rPr>
            </w:pPr>
            <w:r>
              <w:rPr>
                <w:b/>
                <w:sz w:val="20"/>
                <w:szCs w:val="20"/>
              </w:rPr>
              <w:t>Osobitné povolenie na realizáciu aktivít:</w:t>
            </w:r>
            <w:r>
              <w:rPr>
                <w:sz w:val="20"/>
                <w:szCs w:val="20"/>
              </w:rPr>
              <w:br/>
              <w:t xml:space="preserve">V prípade projektov, ktorých oprávnené aktivity sú viazané na vydanie stavebného povolenia alebo iného povolenia na realizáciu stavby RO určí ako povinnú prílohu predloženie relevantného povolenia v súlade s ustanoveniami stavebného zákona. Súčasťou povinnej prílohy je i povinnosť predložiť projektovú dokumentáciu navrhovanej stavby (ak relevantné). V prípade, ak je realizácia projektu viazaná na </w:t>
            </w:r>
            <w:r>
              <w:rPr>
                <w:sz w:val="20"/>
                <w:szCs w:val="20"/>
              </w:rPr>
              <w:lastRenderedPageBreak/>
              <w:t>iné povolenia relevantných orgánov, RO zadefinuje takéto povolenie ako povinnú prílohu ŽoNFP.</w:t>
            </w:r>
          </w:p>
        </w:tc>
        <w:tc>
          <w:tcPr>
            <w:tcW w:w="2836" w:type="dxa"/>
            <w:shd w:val="clear" w:color="000000" w:fill="C5D9F1"/>
            <w:vAlign w:val="center"/>
          </w:tcPr>
          <w:p w14:paraId="7D46EC05" w14:textId="77777777" w:rsidR="00B650E5" w:rsidRDefault="00B650E5">
            <w:pPr>
              <w:jc w:val="center"/>
              <w:rPr>
                <w:sz w:val="20"/>
                <w:szCs w:val="20"/>
              </w:rPr>
            </w:pPr>
            <w:r>
              <w:rPr>
                <w:iCs/>
                <w:sz w:val="20"/>
                <w:szCs w:val="20"/>
                <w:lang w:eastAsia="en-US"/>
              </w:rPr>
              <w:lastRenderedPageBreak/>
              <w:t>Relevantné pre prípady, ak podmienka poskytnutia príspevku bola na základe rozhodnutia RO stanovená vo výzve (najmä vo vzťahu k investičným projektom a projektom zameraným na realizáciu stavebných prác)</w:t>
            </w:r>
          </w:p>
        </w:tc>
      </w:tr>
      <w:tr w:rsidR="00B650E5" w14:paraId="74524858" w14:textId="77777777" w:rsidTr="00DE5D89">
        <w:trPr>
          <w:trHeight w:val="2090"/>
        </w:trPr>
        <w:tc>
          <w:tcPr>
            <w:tcW w:w="483" w:type="dxa"/>
            <w:shd w:val="clear" w:color="auto" w:fill="FFFFFF"/>
            <w:vAlign w:val="center"/>
          </w:tcPr>
          <w:p w14:paraId="4556BA99" w14:textId="6AF2B3C7" w:rsidR="00B650E5" w:rsidRDefault="00B650E5" w:rsidP="00BF24BA">
            <w:pPr>
              <w:jc w:val="center"/>
              <w:rPr>
                <w:b/>
                <w:bCs/>
                <w:iCs/>
                <w:sz w:val="20"/>
                <w:szCs w:val="20"/>
                <w:lang w:eastAsia="en-US"/>
              </w:rPr>
            </w:pPr>
            <w:r>
              <w:rPr>
                <w:b/>
                <w:bCs/>
                <w:iCs/>
                <w:sz w:val="20"/>
                <w:szCs w:val="20"/>
                <w:lang w:eastAsia="en-US"/>
              </w:rPr>
              <w:t>27.</w:t>
            </w:r>
          </w:p>
        </w:tc>
        <w:tc>
          <w:tcPr>
            <w:tcW w:w="1881" w:type="dxa"/>
            <w:shd w:val="clear" w:color="auto" w:fill="FFFFFF"/>
            <w:vAlign w:val="center"/>
          </w:tcPr>
          <w:p w14:paraId="2B415B98" w14:textId="77777777" w:rsidR="00B650E5" w:rsidRDefault="00B650E5">
            <w:pPr>
              <w:jc w:val="center"/>
              <w:rPr>
                <w:bCs/>
                <w:iCs/>
                <w:sz w:val="20"/>
                <w:szCs w:val="20"/>
                <w:lang w:eastAsia="en-US"/>
              </w:rPr>
            </w:pPr>
          </w:p>
        </w:tc>
        <w:tc>
          <w:tcPr>
            <w:tcW w:w="3165" w:type="dxa"/>
            <w:shd w:val="clear" w:color="auto" w:fill="FFFFFF"/>
            <w:vAlign w:val="center"/>
          </w:tcPr>
          <w:p w14:paraId="0563B229" w14:textId="77777777" w:rsidR="00B650E5" w:rsidRDefault="00B650E5">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46" w:type="dxa"/>
            <w:shd w:val="clear" w:color="auto" w:fill="FFFFFF"/>
            <w:vAlign w:val="center"/>
          </w:tcPr>
          <w:p w14:paraId="5CB67D80" w14:textId="56E2D50F" w:rsidR="00D901D7" w:rsidRPr="00D901D7" w:rsidRDefault="00D901D7" w:rsidP="00D901D7">
            <w:pPr>
              <w:jc w:val="both"/>
              <w:rPr>
                <w:bCs/>
                <w:sz w:val="20"/>
                <w:szCs w:val="20"/>
              </w:rPr>
            </w:pPr>
            <w:r w:rsidRPr="00D901D7">
              <w:rPr>
                <w:bCs/>
                <w:sz w:val="20"/>
                <w:szCs w:val="20"/>
              </w:rPr>
              <w:t>Vyjadrenie okresného úradu podľa § 9 ods. 2 zákona o ochrane prírody a krajiny, podľa ktorého projekt nespĺňa znaky plánov a projektu, ktorý pravdepodobne bude mať vplyv na územie patriace do európskej sústavy chránených území Natura 2000</w:t>
            </w:r>
            <w:r w:rsidR="00F67888">
              <w:rPr>
                <w:bCs/>
                <w:sz w:val="20"/>
                <w:szCs w:val="20"/>
              </w:rPr>
              <w:t>,</w:t>
            </w:r>
            <w:r w:rsidRPr="00D901D7">
              <w:rPr>
                <w:bCs/>
                <w:sz w:val="20"/>
                <w:szCs w:val="20"/>
              </w:rPr>
              <w:t xml:space="preserve"> </w:t>
            </w:r>
          </w:p>
          <w:p w14:paraId="5FF97097" w14:textId="77777777" w:rsidR="00D901D7" w:rsidRPr="00D901D7" w:rsidRDefault="00D901D7" w:rsidP="00D901D7">
            <w:pPr>
              <w:jc w:val="both"/>
              <w:rPr>
                <w:bCs/>
                <w:sz w:val="20"/>
                <w:szCs w:val="20"/>
              </w:rPr>
            </w:pPr>
            <w:r w:rsidRPr="00D901D7">
              <w:rPr>
                <w:bCs/>
                <w:sz w:val="20"/>
                <w:szCs w:val="20"/>
              </w:rPr>
              <w:t>alebo</w:t>
            </w:r>
          </w:p>
          <w:p w14:paraId="7F612991" w14:textId="77777777" w:rsidR="00D901D7" w:rsidRDefault="00D901D7" w:rsidP="00997CB0">
            <w:pPr>
              <w:rPr>
                <w:bCs/>
                <w:sz w:val="20"/>
                <w:szCs w:val="20"/>
              </w:rPr>
            </w:pPr>
            <w:r w:rsidRPr="00D901D7">
              <w:rPr>
                <w:bCs/>
                <w:sz w:val="20"/>
                <w:szCs w:val="20"/>
              </w:rPr>
              <w:t>Odborné stanovisko (formou rozhodnutia) okresného úradu v sídle kraja podľa § 28 zákona o ochrane prírody a krajiny, ak ide o projekt, ktorý spĺňa znaky projektu, ktorý pravdepodobne môže mať samostatne alebo v kombinácii s iným plánom a projektom významný vplyv na územie patriace do európskej sústavy chránených území Natura 2000. Z rozhodnutia musí byť zrejmé, že aktivity projektu pravdepodobne nebudú mať významný nepriaznivý vplyv na územie patriace do európskej sústavy chránených území Natura 2000.</w:t>
            </w:r>
          </w:p>
        </w:tc>
        <w:tc>
          <w:tcPr>
            <w:tcW w:w="2836" w:type="dxa"/>
            <w:shd w:val="clear" w:color="auto" w:fill="FFFFFF"/>
            <w:vAlign w:val="center"/>
          </w:tcPr>
          <w:p w14:paraId="4D84A246" w14:textId="77777777" w:rsidR="00B650E5" w:rsidRDefault="00B650E5" w:rsidP="00BD5FD5">
            <w:pPr>
              <w:jc w:val="center"/>
              <w:rPr>
                <w:iCs/>
                <w:sz w:val="20"/>
                <w:szCs w:val="20"/>
                <w:lang w:eastAsia="en-US"/>
              </w:rPr>
            </w:pPr>
            <w:r>
              <w:rPr>
                <w:bCs/>
                <w:iCs/>
                <w:sz w:val="20"/>
                <w:szCs w:val="20"/>
                <w:lang w:eastAsia="en-US"/>
              </w:rPr>
              <w:t xml:space="preserve">Relevantné pre investičné projekty a plány, kde je potrebné zabezpečiť súlad s požiadavkami v súlade so zákonom o ochrane prírody a krajiny. Nerelevantné pre plány a projekty, </w:t>
            </w:r>
            <w:r w:rsidRPr="000E286B">
              <w:rPr>
                <w:bCs/>
                <w:iCs/>
                <w:sz w:val="20"/>
                <w:szCs w:val="20"/>
                <w:lang w:eastAsia="en-US"/>
              </w:rPr>
              <w:t>ktoré sú predmetom posudzovania vplyvov podľa zákona o posudzovaní vplyvov.</w:t>
            </w:r>
            <w:r>
              <w:rPr>
                <w:rFonts w:ascii="Segoe UI" w:hAnsi="Segoe UI" w:cs="Segoe UI"/>
                <w:color w:val="494949"/>
                <w:sz w:val="21"/>
                <w:szCs w:val="21"/>
                <w:shd w:val="clear" w:color="auto" w:fill="FFFFFF"/>
              </w:rPr>
              <w:t xml:space="preserve"> </w:t>
            </w:r>
            <w:r>
              <w:rPr>
                <w:bCs/>
                <w:iCs/>
                <w:sz w:val="20"/>
                <w:szCs w:val="20"/>
                <w:lang w:eastAsia="en-US"/>
              </w:rPr>
              <w:t xml:space="preserve"> </w:t>
            </w:r>
          </w:p>
        </w:tc>
      </w:tr>
      <w:tr w:rsidR="00B650E5" w14:paraId="510B1532" w14:textId="77777777">
        <w:trPr>
          <w:trHeight w:val="663"/>
        </w:trPr>
        <w:tc>
          <w:tcPr>
            <w:tcW w:w="483" w:type="dxa"/>
            <w:shd w:val="clear" w:color="000000" w:fill="C5D9F1"/>
            <w:vAlign w:val="center"/>
          </w:tcPr>
          <w:p w14:paraId="13AE4DE9" w14:textId="571482D4" w:rsidR="00B650E5" w:rsidRDefault="00B650E5" w:rsidP="00BF24BA">
            <w:pPr>
              <w:jc w:val="center"/>
              <w:rPr>
                <w:b/>
                <w:bCs/>
                <w:sz w:val="20"/>
                <w:szCs w:val="20"/>
              </w:rPr>
            </w:pPr>
            <w:r>
              <w:rPr>
                <w:b/>
                <w:bCs/>
                <w:iCs/>
                <w:sz w:val="20"/>
                <w:szCs w:val="20"/>
                <w:lang w:eastAsia="en-US"/>
              </w:rPr>
              <w:t>28.</w:t>
            </w:r>
          </w:p>
        </w:tc>
        <w:tc>
          <w:tcPr>
            <w:tcW w:w="1881" w:type="dxa"/>
            <w:shd w:val="clear" w:color="000000" w:fill="C5D9F1"/>
            <w:vAlign w:val="center"/>
          </w:tcPr>
          <w:p w14:paraId="20EF9387" w14:textId="77777777" w:rsidR="00B650E5" w:rsidRDefault="00B650E5">
            <w:pPr>
              <w:jc w:val="center"/>
              <w:rPr>
                <w:sz w:val="20"/>
                <w:szCs w:val="20"/>
              </w:rPr>
            </w:pPr>
            <w:r>
              <w:rPr>
                <w:sz w:val="20"/>
                <w:szCs w:val="20"/>
              </w:rPr>
              <w:t> </w:t>
            </w:r>
          </w:p>
        </w:tc>
        <w:tc>
          <w:tcPr>
            <w:tcW w:w="3165" w:type="dxa"/>
            <w:shd w:val="clear" w:color="000000" w:fill="C5D9F1"/>
            <w:vAlign w:val="center"/>
          </w:tcPr>
          <w:p w14:paraId="21FB5825" w14:textId="77777777" w:rsidR="00B650E5" w:rsidRDefault="00B650E5">
            <w:pPr>
              <w:jc w:val="center"/>
              <w:rPr>
                <w:sz w:val="20"/>
                <w:szCs w:val="20"/>
              </w:rPr>
            </w:pPr>
            <w:r>
              <w:rPr>
                <w:sz w:val="20"/>
                <w:szCs w:val="20"/>
              </w:rPr>
              <w:t>Podmienka predloženia hodnotiacej správy  projektového zámeru</w:t>
            </w:r>
          </w:p>
        </w:tc>
        <w:tc>
          <w:tcPr>
            <w:tcW w:w="6946" w:type="dxa"/>
            <w:shd w:val="clear" w:color="000000" w:fill="C5D9F1"/>
            <w:vAlign w:val="center"/>
          </w:tcPr>
          <w:p w14:paraId="42713C76" w14:textId="77777777" w:rsidR="00B650E5" w:rsidRDefault="00B650E5" w:rsidP="00DC7971">
            <w:pPr>
              <w:rPr>
                <w:sz w:val="20"/>
                <w:szCs w:val="20"/>
                <w:lang w:eastAsia="en-US"/>
              </w:rPr>
            </w:pPr>
            <w:r>
              <w:rPr>
                <w:b/>
                <w:bCs/>
                <w:sz w:val="20"/>
                <w:szCs w:val="20"/>
              </w:rPr>
              <w:t xml:space="preserve">Forma preukázania: </w:t>
            </w:r>
            <w:r w:rsidRPr="00997CB0">
              <w:rPr>
                <w:bCs/>
                <w:sz w:val="20"/>
                <w:szCs w:val="20"/>
                <w:lang w:eastAsia="en-US"/>
              </w:rPr>
              <w:t>Hodnotiaca správa projektového zámeru</w:t>
            </w:r>
            <w:r>
              <w:rPr>
                <w:sz w:val="20"/>
                <w:szCs w:val="20"/>
                <w:lang w:eastAsia="en-US"/>
              </w:rPr>
              <w:t>, ktorá je v dispozícii RO</w:t>
            </w:r>
          </w:p>
          <w:p w14:paraId="0D295D7A" w14:textId="471FD32D" w:rsidR="00B650E5" w:rsidRDefault="00B650E5" w:rsidP="00DC7971">
            <w:pPr>
              <w:rPr>
                <w:sz w:val="20"/>
                <w:szCs w:val="20"/>
              </w:rPr>
            </w:pPr>
            <w:r w:rsidRPr="000B18B1">
              <w:rPr>
                <w:b/>
                <w:sz w:val="20"/>
                <w:szCs w:val="20"/>
              </w:rPr>
              <w:t>Spôsob overenia:</w:t>
            </w:r>
            <w:r>
              <w:rPr>
                <w:sz w:val="20"/>
                <w:szCs w:val="20"/>
                <w:lang w:eastAsia="en-US"/>
              </w:rPr>
              <w:t xml:space="preserve"> Hodnotiaca správa projektového zámeru</w:t>
            </w:r>
          </w:p>
        </w:tc>
        <w:tc>
          <w:tcPr>
            <w:tcW w:w="2836" w:type="dxa"/>
            <w:shd w:val="clear" w:color="000000" w:fill="C5D9F1"/>
            <w:vAlign w:val="center"/>
          </w:tcPr>
          <w:p w14:paraId="06F3C64C" w14:textId="2AF54ED9" w:rsidR="00B650E5" w:rsidRDefault="00B650E5" w:rsidP="0028265C">
            <w:pPr>
              <w:jc w:val="center"/>
              <w:rPr>
                <w:sz w:val="20"/>
                <w:szCs w:val="20"/>
              </w:rPr>
            </w:pPr>
            <w:r>
              <w:rPr>
                <w:bCs/>
                <w:iCs/>
                <w:sz w:val="20"/>
                <w:szCs w:val="20"/>
                <w:lang w:eastAsia="en-US"/>
              </w:rPr>
              <w:t>Relevantné pre prípady, ak RO využil dvojkolový systém výberu ŽoNFP</w:t>
            </w:r>
          </w:p>
        </w:tc>
      </w:tr>
      <w:tr w:rsidR="00B650E5" w14:paraId="032A327F" w14:textId="77777777">
        <w:trPr>
          <w:trHeight w:val="970"/>
        </w:trPr>
        <w:tc>
          <w:tcPr>
            <w:tcW w:w="483" w:type="dxa"/>
            <w:vAlign w:val="center"/>
          </w:tcPr>
          <w:p w14:paraId="3138F2DC" w14:textId="1FDEAB15" w:rsidR="00B650E5" w:rsidRDefault="00B650E5" w:rsidP="00DC7971">
            <w:pPr>
              <w:jc w:val="center"/>
              <w:rPr>
                <w:b/>
                <w:bCs/>
                <w:sz w:val="20"/>
                <w:szCs w:val="20"/>
              </w:rPr>
            </w:pPr>
            <w:r>
              <w:rPr>
                <w:b/>
                <w:bCs/>
                <w:iCs/>
                <w:sz w:val="20"/>
                <w:szCs w:val="20"/>
                <w:lang w:eastAsia="en-US"/>
              </w:rPr>
              <w:t>29.</w:t>
            </w:r>
          </w:p>
        </w:tc>
        <w:tc>
          <w:tcPr>
            <w:tcW w:w="1881" w:type="dxa"/>
            <w:vAlign w:val="center"/>
          </w:tcPr>
          <w:p w14:paraId="70C9B7A3" w14:textId="77777777" w:rsidR="00B650E5" w:rsidRDefault="00B650E5">
            <w:pPr>
              <w:jc w:val="center"/>
              <w:rPr>
                <w:sz w:val="20"/>
                <w:szCs w:val="20"/>
              </w:rPr>
            </w:pPr>
            <w:r>
              <w:rPr>
                <w:iCs/>
                <w:sz w:val="20"/>
                <w:szCs w:val="20"/>
                <w:lang w:eastAsia="en-US"/>
              </w:rPr>
              <w:t> </w:t>
            </w:r>
          </w:p>
        </w:tc>
        <w:tc>
          <w:tcPr>
            <w:tcW w:w="3165" w:type="dxa"/>
            <w:vAlign w:val="center"/>
          </w:tcPr>
          <w:p w14:paraId="0596E0A1" w14:textId="77777777" w:rsidR="00B650E5" w:rsidRDefault="00B650E5">
            <w:pPr>
              <w:jc w:val="center"/>
              <w:rPr>
                <w:sz w:val="20"/>
                <w:szCs w:val="20"/>
              </w:rPr>
            </w:pPr>
            <w:r>
              <w:rPr>
                <w:iCs/>
                <w:sz w:val="20"/>
                <w:szCs w:val="20"/>
                <w:lang w:eastAsia="en-US"/>
              </w:rPr>
              <w:t>Oprávnenosť z hľadiska súladu s HP</w:t>
            </w:r>
          </w:p>
        </w:tc>
        <w:tc>
          <w:tcPr>
            <w:tcW w:w="6946" w:type="dxa"/>
            <w:vAlign w:val="center"/>
          </w:tcPr>
          <w:p w14:paraId="08343012" w14:textId="77777777" w:rsidR="00B650E5" w:rsidRDefault="00B650E5">
            <w:pPr>
              <w:rPr>
                <w:sz w:val="20"/>
                <w:szCs w:val="20"/>
              </w:rPr>
            </w:pP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p>
        </w:tc>
        <w:tc>
          <w:tcPr>
            <w:tcW w:w="2836" w:type="dxa"/>
            <w:vAlign w:val="center"/>
          </w:tcPr>
          <w:p w14:paraId="5524E320" w14:textId="77777777" w:rsidR="00B650E5" w:rsidRDefault="00B650E5">
            <w:pPr>
              <w:jc w:val="center"/>
              <w:rPr>
                <w:sz w:val="20"/>
                <w:szCs w:val="20"/>
              </w:rPr>
            </w:pPr>
            <w:r>
              <w:rPr>
                <w:sz w:val="20"/>
                <w:szCs w:val="20"/>
              </w:rPr>
              <w:t>Relevantné pre prípady, ak súlad s HP nie je overovaný po dohode s gestorom HP v rámci odborného hodnotenia ŽoNFP.</w:t>
            </w:r>
          </w:p>
        </w:tc>
      </w:tr>
      <w:tr w:rsidR="00B650E5" w14:paraId="5B9B9EB3" w14:textId="77777777" w:rsidTr="00DE5D89">
        <w:trPr>
          <w:trHeight w:val="970"/>
        </w:trPr>
        <w:tc>
          <w:tcPr>
            <w:tcW w:w="483" w:type="dxa"/>
            <w:shd w:val="clear" w:color="auto" w:fill="C6D9F1"/>
            <w:vAlign w:val="center"/>
          </w:tcPr>
          <w:p w14:paraId="04DFECE2" w14:textId="3C560CB6" w:rsidR="00B650E5" w:rsidRDefault="00B650E5" w:rsidP="00DC7971">
            <w:pPr>
              <w:jc w:val="center"/>
              <w:rPr>
                <w:b/>
                <w:bCs/>
                <w:iCs/>
                <w:sz w:val="20"/>
                <w:szCs w:val="20"/>
                <w:lang w:eastAsia="en-US"/>
              </w:rPr>
            </w:pPr>
            <w:r>
              <w:rPr>
                <w:b/>
                <w:bCs/>
                <w:iCs/>
                <w:sz w:val="20"/>
                <w:szCs w:val="20"/>
                <w:lang w:eastAsia="en-US"/>
              </w:rPr>
              <w:t>30.</w:t>
            </w:r>
          </w:p>
        </w:tc>
        <w:tc>
          <w:tcPr>
            <w:tcW w:w="1881" w:type="dxa"/>
            <w:shd w:val="clear" w:color="auto" w:fill="C6D9F1"/>
            <w:vAlign w:val="center"/>
          </w:tcPr>
          <w:p w14:paraId="1D8F5D2B" w14:textId="77777777" w:rsidR="00B650E5" w:rsidRPr="009078F6" w:rsidRDefault="00B650E5">
            <w:pPr>
              <w:jc w:val="center"/>
              <w:rPr>
                <w:iCs/>
                <w:sz w:val="20"/>
                <w:szCs w:val="20"/>
                <w:lang w:eastAsia="en-US"/>
              </w:rPr>
            </w:pPr>
          </w:p>
        </w:tc>
        <w:tc>
          <w:tcPr>
            <w:tcW w:w="3165" w:type="dxa"/>
            <w:shd w:val="clear" w:color="auto" w:fill="C6D9F1"/>
            <w:vAlign w:val="center"/>
          </w:tcPr>
          <w:p w14:paraId="1FF5F489" w14:textId="77777777" w:rsidR="00B650E5" w:rsidRPr="007A00B7" w:rsidRDefault="00B650E5">
            <w:pPr>
              <w:jc w:val="center"/>
              <w:rPr>
                <w:iCs/>
                <w:sz w:val="20"/>
                <w:szCs w:val="20"/>
                <w:lang w:eastAsia="en-US"/>
              </w:rPr>
            </w:pPr>
            <w:r w:rsidRPr="009078F6">
              <w:rPr>
                <w:iCs/>
                <w:sz w:val="20"/>
                <w:szCs w:val="20"/>
                <w:lang w:eastAsia="en-US"/>
              </w:rPr>
              <w:t>Maximálna a minimálna výška príspevku</w:t>
            </w:r>
          </w:p>
        </w:tc>
        <w:tc>
          <w:tcPr>
            <w:tcW w:w="6946" w:type="dxa"/>
            <w:shd w:val="clear" w:color="auto" w:fill="C6D9F1"/>
            <w:vAlign w:val="center"/>
          </w:tcPr>
          <w:p w14:paraId="39B2DFA8" w14:textId="77777777" w:rsidR="00B650E5" w:rsidRPr="007A00B7" w:rsidRDefault="00B650E5">
            <w:pPr>
              <w:rPr>
                <w:sz w:val="20"/>
                <w:szCs w:val="20"/>
              </w:rPr>
            </w:pPr>
            <w:r w:rsidRPr="007A00B7">
              <w:rPr>
                <w:sz w:val="20"/>
                <w:szCs w:val="20"/>
              </w:rPr>
              <w:t>V prípade potreby RO definuje maximálnu a minimálnu výšku príspevku pre projekt</w:t>
            </w:r>
            <w:r w:rsidR="00F67888">
              <w:rPr>
                <w:sz w:val="20"/>
                <w:szCs w:val="20"/>
              </w:rPr>
              <w:t>.</w:t>
            </w:r>
          </w:p>
        </w:tc>
        <w:tc>
          <w:tcPr>
            <w:tcW w:w="2836" w:type="dxa"/>
            <w:shd w:val="clear" w:color="auto" w:fill="C6D9F1"/>
            <w:vAlign w:val="center"/>
          </w:tcPr>
          <w:p w14:paraId="1E3B14DA" w14:textId="77777777" w:rsidR="00B650E5" w:rsidRDefault="00B650E5">
            <w:pPr>
              <w:jc w:val="center"/>
              <w:rPr>
                <w:sz w:val="20"/>
                <w:szCs w:val="20"/>
              </w:rPr>
            </w:pPr>
          </w:p>
        </w:tc>
      </w:tr>
      <w:tr w:rsidR="00B650E5" w14:paraId="2A41E2EF" w14:textId="77777777">
        <w:trPr>
          <w:trHeight w:val="970"/>
        </w:trPr>
        <w:tc>
          <w:tcPr>
            <w:tcW w:w="483" w:type="dxa"/>
            <w:vAlign w:val="center"/>
          </w:tcPr>
          <w:p w14:paraId="7C241902" w14:textId="4C3271EA" w:rsidR="00B650E5" w:rsidRDefault="00B650E5">
            <w:pPr>
              <w:jc w:val="center"/>
              <w:rPr>
                <w:b/>
                <w:bCs/>
                <w:iCs/>
                <w:sz w:val="20"/>
                <w:szCs w:val="20"/>
                <w:lang w:eastAsia="en-US"/>
              </w:rPr>
            </w:pPr>
            <w:r>
              <w:rPr>
                <w:b/>
                <w:bCs/>
                <w:iCs/>
                <w:sz w:val="20"/>
                <w:szCs w:val="20"/>
                <w:lang w:eastAsia="en-US"/>
              </w:rPr>
              <w:t>31.</w:t>
            </w:r>
          </w:p>
        </w:tc>
        <w:tc>
          <w:tcPr>
            <w:tcW w:w="1881" w:type="dxa"/>
            <w:vAlign w:val="center"/>
          </w:tcPr>
          <w:p w14:paraId="0FE055B8" w14:textId="77777777" w:rsidR="00B650E5" w:rsidRDefault="00B650E5">
            <w:pPr>
              <w:jc w:val="center"/>
              <w:rPr>
                <w:iCs/>
                <w:sz w:val="20"/>
                <w:szCs w:val="20"/>
                <w:lang w:eastAsia="en-US"/>
              </w:rPr>
            </w:pPr>
          </w:p>
        </w:tc>
        <w:tc>
          <w:tcPr>
            <w:tcW w:w="3165" w:type="dxa"/>
            <w:vAlign w:val="center"/>
          </w:tcPr>
          <w:p w14:paraId="2C452E37" w14:textId="77777777" w:rsidR="00B650E5" w:rsidRDefault="00B650E5">
            <w:pPr>
              <w:jc w:val="center"/>
              <w:rPr>
                <w:iCs/>
                <w:sz w:val="20"/>
                <w:szCs w:val="20"/>
                <w:lang w:eastAsia="en-US"/>
              </w:rPr>
            </w:pPr>
            <w:r>
              <w:rPr>
                <w:iCs/>
                <w:sz w:val="20"/>
                <w:szCs w:val="20"/>
                <w:lang w:eastAsia="en-US"/>
              </w:rPr>
              <w:t>Časová oprávnenosť realizácie projektu</w:t>
            </w:r>
          </w:p>
        </w:tc>
        <w:tc>
          <w:tcPr>
            <w:tcW w:w="6946" w:type="dxa"/>
            <w:vAlign w:val="center"/>
          </w:tcPr>
          <w:p w14:paraId="750ABA8F" w14:textId="77777777" w:rsidR="00B650E5" w:rsidRDefault="00B650E5">
            <w:pPr>
              <w:rPr>
                <w:sz w:val="20"/>
                <w:szCs w:val="20"/>
              </w:rPr>
            </w:pPr>
            <w:r>
              <w:rPr>
                <w:sz w:val="20"/>
                <w:szCs w:val="20"/>
              </w:rPr>
              <w:t>V prípade potreby RO definuje požiadavky na maximálnu a minimálnu dĺžku realizácie projektu</w:t>
            </w:r>
            <w:r w:rsidR="00F67888">
              <w:rPr>
                <w:sz w:val="20"/>
                <w:szCs w:val="20"/>
              </w:rPr>
              <w:t>.</w:t>
            </w:r>
          </w:p>
        </w:tc>
        <w:tc>
          <w:tcPr>
            <w:tcW w:w="2836" w:type="dxa"/>
            <w:vAlign w:val="center"/>
          </w:tcPr>
          <w:p w14:paraId="37A40433" w14:textId="77777777" w:rsidR="00B650E5" w:rsidRDefault="00B650E5">
            <w:pPr>
              <w:jc w:val="center"/>
              <w:rPr>
                <w:sz w:val="20"/>
                <w:szCs w:val="20"/>
              </w:rPr>
            </w:pPr>
            <w:r>
              <w:rPr>
                <w:sz w:val="20"/>
                <w:szCs w:val="20"/>
              </w:rPr>
              <w:t>Aj v prípade, keď nie je stanovené obmedzenie týkajúce sa časovej oprávnenosti projektov, ustanovenia týkajúce sa konečného termínu na vznik oprávnených výdavkov v súlade so všeobecným nariadením musia byť dodržané</w:t>
            </w:r>
            <w:r w:rsidR="00F67888">
              <w:rPr>
                <w:sz w:val="20"/>
                <w:szCs w:val="20"/>
              </w:rPr>
              <w:t>.</w:t>
            </w:r>
            <w:r>
              <w:rPr>
                <w:sz w:val="20"/>
                <w:szCs w:val="20"/>
              </w:rPr>
              <w:t xml:space="preserve"> </w:t>
            </w:r>
          </w:p>
        </w:tc>
      </w:tr>
      <w:tr w:rsidR="00B650E5" w14:paraId="2953739C" w14:textId="77777777" w:rsidTr="00DE5D89">
        <w:trPr>
          <w:trHeight w:val="970"/>
        </w:trPr>
        <w:tc>
          <w:tcPr>
            <w:tcW w:w="483" w:type="dxa"/>
            <w:shd w:val="clear" w:color="auto" w:fill="C6D9F1"/>
            <w:vAlign w:val="center"/>
          </w:tcPr>
          <w:p w14:paraId="3CABAC76" w14:textId="46490901" w:rsidR="00B650E5" w:rsidRDefault="00B650E5" w:rsidP="00BF24BA">
            <w:pPr>
              <w:jc w:val="center"/>
              <w:rPr>
                <w:b/>
                <w:bCs/>
                <w:iCs/>
                <w:sz w:val="20"/>
                <w:szCs w:val="20"/>
                <w:lang w:eastAsia="en-US"/>
              </w:rPr>
            </w:pPr>
            <w:r>
              <w:rPr>
                <w:b/>
                <w:bCs/>
                <w:iCs/>
                <w:sz w:val="20"/>
                <w:szCs w:val="20"/>
                <w:lang w:eastAsia="en-US"/>
              </w:rPr>
              <w:t>32.</w:t>
            </w:r>
          </w:p>
        </w:tc>
        <w:tc>
          <w:tcPr>
            <w:tcW w:w="1881" w:type="dxa"/>
            <w:shd w:val="clear" w:color="auto" w:fill="C6D9F1"/>
            <w:vAlign w:val="center"/>
          </w:tcPr>
          <w:p w14:paraId="21040934" w14:textId="77777777" w:rsidR="00B650E5" w:rsidRDefault="00B650E5">
            <w:pPr>
              <w:jc w:val="center"/>
              <w:rPr>
                <w:iCs/>
                <w:sz w:val="20"/>
                <w:szCs w:val="20"/>
                <w:lang w:eastAsia="en-US"/>
              </w:rPr>
            </w:pPr>
          </w:p>
        </w:tc>
        <w:tc>
          <w:tcPr>
            <w:tcW w:w="3165" w:type="dxa"/>
            <w:shd w:val="clear" w:color="auto" w:fill="C6D9F1"/>
            <w:vAlign w:val="center"/>
          </w:tcPr>
          <w:p w14:paraId="32E1DDAB" w14:textId="77777777" w:rsidR="00B650E5" w:rsidRDefault="00B650E5" w:rsidP="00DE5D89">
            <w:pPr>
              <w:jc w:val="center"/>
              <w:rPr>
                <w:iCs/>
                <w:sz w:val="20"/>
                <w:szCs w:val="20"/>
                <w:lang w:eastAsia="en-US"/>
              </w:rPr>
            </w:pPr>
            <w:r>
              <w:rPr>
                <w:iCs/>
                <w:sz w:val="20"/>
                <w:szCs w:val="20"/>
                <w:lang w:eastAsia="en-US"/>
              </w:rPr>
              <w:t>Podmienky poskytnutia príspevku z hľadiska definovania merateľných ukazovateľov projektu</w:t>
            </w:r>
          </w:p>
        </w:tc>
        <w:tc>
          <w:tcPr>
            <w:tcW w:w="6946" w:type="dxa"/>
            <w:shd w:val="clear" w:color="auto" w:fill="C6D9F1"/>
            <w:vAlign w:val="center"/>
          </w:tcPr>
          <w:p w14:paraId="1E01B16E" w14:textId="77777777" w:rsidR="00B650E5" w:rsidRDefault="00B650E5">
            <w:pPr>
              <w:rPr>
                <w:sz w:val="20"/>
                <w:szCs w:val="20"/>
              </w:rPr>
            </w:pPr>
            <w:r>
              <w:rPr>
                <w:sz w:val="20"/>
                <w:szCs w:val="20"/>
              </w:rPr>
              <w:t>RO definuje podmienky z hľadiska povinného definovania merateľných ukazovateľov projektu</w:t>
            </w:r>
            <w:r w:rsidR="00F67888">
              <w:rPr>
                <w:sz w:val="20"/>
                <w:szCs w:val="20"/>
              </w:rPr>
              <w:t>.</w:t>
            </w:r>
          </w:p>
        </w:tc>
        <w:tc>
          <w:tcPr>
            <w:tcW w:w="2836" w:type="dxa"/>
            <w:shd w:val="clear" w:color="auto" w:fill="C6D9F1"/>
            <w:vAlign w:val="center"/>
          </w:tcPr>
          <w:p w14:paraId="4200874D" w14:textId="77777777" w:rsidR="00B650E5" w:rsidRDefault="00B650E5">
            <w:pPr>
              <w:jc w:val="center"/>
              <w:rPr>
                <w:sz w:val="20"/>
                <w:szCs w:val="20"/>
              </w:rPr>
            </w:pPr>
          </w:p>
        </w:tc>
      </w:tr>
      <w:tr w:rsidR="00B650E5" w14:paraId="357BD299" w14:textId="77777777">
        <w:trPr>
          <w:trHeight w:val="1128"/>
        </w:trPr>
        <w:tc>
          <w:tcPr>
            <w:tcW w:w="483" w:type="dxa"/>
            <w:vAlign w:val="center"/>
          </w:tcPr>
          <w:p w14:paraId="0186EAF6" w14:textId="7AEB53E3" w:rsidR="00B650E5" w:rsidRDefault="00B650E5" w:rsidP="00BF24BA">
            <w:pPr>
              <w:jc w:val="center"/>
              <w:rPr>
                <w:b/>
                <w:bCs/>
                <w:sz w:val="20"/>
                <w:szCs w:val="20"/>
              </w:rPr>
            </w:pPr>
            <w:r>
              <w:rPr>
                <w:b/>
                <w:bCs/>
                <w:iCs/>
                <w:sz w:val="20"/>
                <w:szCs w:val="20"/>
                <w:lang w:eastAsia="en-US"/>
              </w:rPr>
              <w:lastRenderedPageBreak/>
              <w:t>33.</w:t>
            </w:r>
          </w:p>
        </w:tc>
        <w:tc>
          <w:tcPr>
            <w:tcW w:w="1881" w:type="dxa"/>
            <w:vAlign w:val="center"/>
          </w:tcPr>
          <w:p w14:paraId="2FF09731" w14:textId="77777777" w:rsidR="00B650E5" w:rsidRDefault="00B650E5">
            <w:pPr>
              <w:jc w:val="center"/>
              <w:rPr>
                <w:sz w:val="20"/>
                <w:szCs w:val="20"/>
              </w:rPr>
            </w:pPr>
          </w:p>
        </w:tc>
        <w:tc>
          <w:tcPr>
            <w:tcW w:w="3165" w:type="dxa"/>
            <w:vAlign w:val="center"/>
          </w:tcPr>
          <w:p w14:paraId="3BE4F2A4" w14:textId="77777777" w:rsidR="00B650E5" w:rsidRDefault="00B650E5">
            <w:pPr>
              <w:jc w:val="center"/>
              <w:rPr>
                <w:sz w:val="20"/>
                <w:szCs w:val="20"/>
              </w:rPr>
            </w:pPr>
            <w:r>
              <w:rPr>
                <w:sz w:val="20"/>
                <w:szCs w:val="20"/>
              </w:rPr>
              <w:t>Podmienky definované RO vo výzve na základe špecifík jednotlivých OP a nedefinovaných v rámci ostatných kategórií podmienok poskytnutia príspevku</w:t>
            </w:r>
          </w:p>
        </w:tc>
        <w:tc>
          <w:tcPr>
            <w:tcW w:w="6946" w:type="dxa"/>
            <w:vAlign w:val="center"/>
          </w:tcPr>
          <w:p w14:paraId="593D59A0" w14:textId="77777777" w:rsidR="00B650E5" w:rsidRDefault="00B650E5">
            <w:pPr>
              <w:rPr>
                <w:sz w:val="20"/>
                <w:szCs w:val="20"/>
              </w:rPr>
            </w:pP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p>
        </w:tc>
        <w:tc>
          <w:tcPr>
            <w:tcW w:w="2836" w:type="dxa"/>
            <w:vAlign w:val="center"/>
          </w:tcPr>
          <w:p w14:paraId="21A441C4" w14:textId="77777777" w:rsidR="00B650E5" w:rsidRDefault="00B650E5">
            <w:pPr>
              <w:jc w:val="center"/>
              <w:rPr>
                <w:sz w:val="20"/>
                <w:szCs w:val="20"/>
              </w:rPr>
            </w:pPr>
            <w:r>
              <w:rPr>
                <w:iCs/>
                <w:sz w:val="20"/>
                <w:szCs w:val="20"/>
                <w:lang w:eastAsia="en-US"/>
              </w:rPr>
              <w:t> </w:t>
            </w:r>
          </w:p>
        </w:tc>
      </w:tr>
    </w:tbl>
    <w:p w14:paraId="6A4AFB9D" w14:textId="77777777" w:rsidR="00B650E5" w:rsidRDefault="00B650E5">
      <w:pPr>
        <w:spacing w:before="120" w:after="120"/>
        <w:jc w:val="both"/>
        <w:rPr>
          <w:bCs/>
          <w:iCs/>
          <w:szCs w:val="22"/>
          <w:lang w:eastAsia="en-US"/>
        </w:rPr>
        <w:sectPr w:rsidR="00B650E5" w:rsidSect="00803C14">
          <w:pgSz w:w="16838" w:h="11906" w:orient="landscape"/>
          <w:pgMar w:top="1080" w:right="1440" w:bottom="991" w:left="1440" w:header="708" w:footer="708" w:gutter="0"/>
          <w:cols w:space="708"/>
          <w:docGrid w:linePitch="360"/>
        </w:sectPr>
      </w:pPr>
    </w:p>
    <w:p w14:paraId="59A3B38A" w14:textId="30FE1437" w:rsidR="00B650E5" w:rsidRDefault="00B650E5">
      <w:pPr>
        <w:numPr>
          <w:ilvl w:val="0"/>
          <w:numId w:val="219"/>
        </w:numPr>
        <w:spacing w:before="120" w:after="120"/>
        <w:ind w:left="425" w:hanging="425"/>
        <w:jc w:val="both"/>
        <w:rPr>
          <w:bCs/>
          <w:iCs/>
          <w:szCs w:val="22"/>
          <w:lang w:eastAsia="en-US"/>
        </w:rPr>
      </w:pPr>
      <w:r>
        <w:rPr>
          <w:bCs/>
          <w:iCs/>
          <w:szCs w:val="22"/>
          <w:lang w:eastAsia="en-US"/>
        </w:rPr>
        <w:lastRenderedPageBreak/>
        <w:t>RO je oprávnený vo výzve stanoviť akceptovateľnú maximálnu výšku dlhu vo vzťahu k preukázaniu podmienok poskytnutia príspevku uvedených pod p. č. 2, 3 a 4 vo výške 40 € jednotlivo (</w:t>
      </w:r>
      <w:r w:rsidR="00C93F30">
        <w:rPr>
          <w:bCs/>
          <w:iCs/>
          <w:szCs w:val="22"/>
          <w:lang w:eastAsia="en-US"/>
        </w:rPr>
        <w:t xml:space="preserve">t. j. </w:t>
      </w:r>
      <w:r>
        <w:rPr>
          <w:bCs/>
          <w:iCs/>
          <w:szCs w:val="22"/>
          <w:lang w:eastAsia="en-US"/>
        </w:rPr>
        <w:t>jeden dlh neprekročí výšku 40 €). Presný limit akceptovateľnej výšky dlhu musí byť určený vo výzve.</w:t>
      </w:r>
    </w:p>
    <w:p w14:paraId="782B987C"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pre účely zisťovania splnenia podmienok poskytnutia príspevku obsiahnutých vo výzve</w:t>
      </w:r>
      <w:r w:rsidR="006F3B93">
        <w:rPr>
          <w:bCs/>
          <w:iCs/>
          <w:szCs w:val="22"/>
          <w:lang w:eastAsia="en-US"/>
        </w:rPr>
        <w:t>,</w:t>
      </w:r>
      <w:r>
        <w:rPr>
          <w:bCs/>
          <w:iCs/>
          <w:szCs w:val="22"/>
          <w:lang w:eastAsia="en-US"/>
        </w:rPr>
        <w:t xml:space="preserve"> ako aj za účelom preverenia súladu dokumentov predložených na jej základe s osobitnými predpismi, zadefinuje formu a počet dokumentov preukazujúcich ich splnenie, vrátane lehoty na ich predloženie. </w:t>
      </w:r>
    </w:p>
    <w:p w14:paraId="3B85C7B5"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Pri definovaní potrebnej formy predmetných dokumentov RO zohľadňuje riziká spojené s definovaním charakteru a formy predkladaných príloh a možnosti overenia skutočností preukazovaných príslušnými dokumentmi v elektronických verejných registroch. RO definuje podmienku predloženia relevantnej prílohy vo forme originálu alebo úradne osvedčenej kópie v prípade takých príloh, kde je pre účely konania o ŽoNFP potrebné mať predložené v rámci ŽoNFP doklad v takejto forme. Žiadateľ je zodpovedný za predloženie úplných a správnych údajov.</w:t>
      </w:r>
    </w:p>
    <w:p w14:paraId="164B2B92" w14:textId="1E5A596D"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vo výzve určiť, ktoré prílohy je žiadateľ povinný predložiť v čase predloženia ŽoNFP, a ktorých predloženie je postačujúce pred vydaním rozhodnutia o schválení ŽoNFP po</w:t>
      </w:r>
      <w:r w:rsidR="0002534D">
        <w:rPr>
          <w:bCs/>
          <w:iCs/>
          <w:szCs w:val="22"/>
          <w:lang w:eastAsia="en-US"/>
        </w:rPr>
        <w:t> </w:t>
      </w:r>
      <w:r>
        <w:rPr>
          <w:bCs/>
          <w:iCs/>
          <w:szCs w:val="22"/>
          <w:lang w:eastAsia="en-US"/>
        </w:rPr>
        <w:t xml:space="preserve">preukázaní splnenia ostatných podmienok poskytnutia príspevku. </w:t>
      </w:r>
    </w:p>
    <w:p w14:paraId="5CD33816"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 základe výzvy RO. V takomto prípade žiadateľ predkladá dotknuté prílohy ku dňu doručenia výzvy RO, resp. nie staršie ako presne určené časové obdobie odo dňa doručenia výzvy RO. </w:t>
      </w:r>
    </w:p>
    <w:p w14:paraId="2E1B78BD"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14:paraId="6EF3AED8" w14:textId="77777777" w:rsidR="00B650E5" w:rsidRDefault="00B650E5" w:rsidP="0045286B">
      <w:pPr>
        <w:pStyle w:val="SRK4"/>
      </w:pPr>
      <w:bookmarkStart w:id="131" w:name="_Toc453233974"/>
      <w:bookmarkStart w:id="132" w:name="_Toc495649333"/>
      <w:r>
        <w:t>2.4.2.1 Opis projektu</w:t>
      </w:r>
      <w:bookmarkEnd w:id="131"/>
      <w:bookmarkEnd w:id="132"/>
    </w:p>
    <w:p w14:paraId="1587798D" w14:textId="0B255D1A" w:rsidR="00B650E5" w:rsidRDefault="00B650E5">
      <w:pPr>
        <w:numPr>
          <w:ilvl w:val="0"/>
          <w:numId w:val="220"/>
        </w:numPr>
        <w:spacing w:before="120" w:after="120"/>
        <w:ind w:left="425" w:hanging="425"/>
        <w:jc w:val="both"/>
        <w:rPr>
          <w:bCs/>
          <w:iCs/>
        </w:rPr>
      </w:pPr>
      <w:bookmarkStart w:id="133" w:name="_Toc378947490"/>
      <w:r>
        <w:rPr>
          <w:bCs/>
          <w:iCs/>
        </w:rPr>
        <w:t>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Na</w:t>
      </w:r>
      <w:r w:rsidR="005239A6">
        <w:rPr>
          <w:bCs/>
          <w:iCs/>
        </w:rPr>
        <w:t> </w:t>
      </w:r>
      <w:r>
        <w:rPr>
          <w:bCs/>
          <w:iCs/>
        </w:rPr>
        <w:t xml:space="preserve">základe rozhodnutia RO je možné opis projektu zadefinovať aj ako povinnú prílohu projektového zámeru. </w:t>
      </w:r>
    </w:p>
    <w:p w14:paraId="094ECB0D" w14:textId="77777777" w:rsidR="00B650E5" w:rsidRDefault="00B650E5">
      <w:pPr>
        <w:numPr>
          <w:ilvl w:val="0"/>
          <w:numId w:val="220"/>
        </w:numPr>
        <w:spacing w:before="120" w:after="120"/>
        <w:ind w:left="425" w:hanging="425"/>
        <w:jc w:val="both"/>
        <w:rPr>
          <w:bCs/>
          <w:iCs/>
        </w:rPr>
      </w:pPr>
      <w:r>
        <w:rPr>
          <w:bCs/>
          <w:iCs/>
        </w:rPr>
        <w:t xml:space="preserve">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(logical framework approach) a minimalizoval požiadavky na duplicitné uvádzanie údajov od žiadateľa.  </w:t>
      </w:r>
    </w:p>
    <w:p w14:paraId="2ED0675F" w14:textId="77777777" w:rsidR="00B650E5" w:rsidRDefault="00B650E5">
      <w:pPr>
        <w:pStyle w:val="SRK3"/>
      </w:pPr>
      <w:bookmarkStart w:id="134" w:name="_Toc453233975"/>
      <w:bookmarkStart w:id="135" w:name="_Toc495649334"/>
      <w:r>
        <w:t>2.4.3 Kritériá pre výber projektov</w:t>
      </w:r>
      <w:bookmarkEnd w:id="133"/>
      <w:bookmarkEnd w:id="134"/>
      <w:bookmarkEnd w:id="135"/>
      <w:r>
        <w:t xml:space="preserve"> </w:t>
      </w:r>
    </w:p>
    <w:p w14:paraId="0C1A8374" w14:textId="77777777" w:rsidR="00B650E5" w:rsidRDefault="00B650E5">
      <w:pPr>
        <w:numPr>
          <w:ilvl w:val="0"/>
          <w:numId w:val="221"/>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14:paraId="7031A7BE" w14:textId="77777777" w:rsidR="00B650E5" w:rsidRDefault="00B650E5">
      <w:pPr>
        <w:numPr>
          <w:ilvl w:val="0"/>
          <w:numId w:val="221"/>
        </w:numPr>
        <w:spacing w:before="120" w:after="120"/>
        <w:ind w:left="425" w:hanging="425"/>
        <w:jc w:val="both"/>
        <w:rPr>
          <w:bCs/>
          <w:iCs/>
        </w:rPr>
      </w:pPr>
      <w:r>
        <w:rPr>
          <w:bCs/>
          <w:iCs/>
        </w:rPr>
        <w:t xml:space="preserve">V rámci kritérií pre výber projektov RO definuje v závislosti od relevantnosti: </w:t>
      </w:r>
    </w:p>
    <w:p w14:paraId="3BFD237A" w14:textId="77777777" w:rsidR="00B650E5" w:rsidRDefault="00B650E5">
      <w:pPr>
        <w:numPr>
          <w:ilvl w:val="1"/>
          <w:numId w:val="222"/>
        </w:numPr>
        <w:spacing w:before="120" w:after="120"/>
        <w:ind w:left="851" w:hanging="425"/>
        <w:jc w:val="both"/>
        <w:rPr>
          <w:lang w:eastAsia="en-US"/>
        </w:rPr>
      </w:pPr>
      <w:r>
        <w:rPr>
          <w:lang w:eastAsia="en-US"/>
        </w:rPr>
        <w:lastRenderedPageBreak/>
        <w:t>kritériá pre posúdenie projektových zámerov,</w:t>
      </w:r>
    </w:p>
    <w:p w14:paraId="7946D81B" w14:textId="77777777" w:rsidR="00B650E5" w:rsidRDefault="00B650E5">
      <w:pPr>
        <w:numPr>
          <w:ilvl w:val="1"/>
          <w:numId w:val="222"/>
        </w:numPr>
        <w:spacing w:before="120" w:after="120"/>
        <w:ind w:left="851" w:hanging="425"/>
        <w:jc w:val="both"/>
        <w:rPr>
          <w:lang w:eastAsia="en-US"/>
        </w:rPr>
      </w:pPr>
      <w:r>
        <w:rPr>
          <w:lang w:eastAsia="en-US"/>
        </w:rPr>
        <w:t>hodnotiace kritériá ŽoNFP (obligatórne definovanie),</w:t>
      </w:r>
    </w:p>
    <w:p w14:paraId="2DDD8D61" w14:textId="77777777" w:rsidR="00B650E5" w:rsidRDefault="00B650E5">
      <w:pPr>
        <w:numPr>
          <w:ilvl w:val="1"/>
          <w:numId w:val="222"/>
        </w:numPr>
        <w:spacing w:before="120" w:after="120"/>
        <w:ind w:left="851" w:hanging="425"/>
        <w:jc w:val="both"/>
        <w:rPr>
          <w:lang w:eastAsia="en-US"/>
        </w:rPr>
      </w:pPr>
      <w:r>
        <w:rPr>
          <w:lang w:eastAsia="en-US"/>
        </w:rPr>
        <w:t>výberové kritériá ŽoNFP.</w:t>
      </w:r>
    </w:p>
    <w:p w14:paraId="27858899" w14:textId="77777777" w:rsidR="00B650E5" w:rsidRDefault="00B650E5">
      <w:pPr>
        <w:numPr>
          <w:ilvl w:val="0"/>
          <w:numId w:val="221"/>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14:paraId="48D61E90" w14:textId="21E701B4" w:rsidR="00B650E5" w:rsidRDefault="00B650E5">
      <w:pPr>
        <w:numPr>
          <w:ilvl w:val="0"/>
          <w:numId w:val="221"/>
        </w:numPr>
        <w:spacing w:before="120" w:after="120"/>
        <w:ind w:left="425" w:hanging="425"/>
        <w:jc w:val="both"/>
        <w:rPr>
          <w:bCs/>
          <w:iCs/>
        </w:rPr>
      </w:pPr>
      <w:r w:rsidRPr="009078F6">
        <w:rPr>
          <w:bCs/>
          <w:iCs/>
        </w:rPr>
        <w:t>Vylučujúce kritériá (</w:t>
      </w:r>
      <w:r w:rsidR="00C93F30">
        <w:rPr>
          <w:bCs/>
          <w:iCs/>
        </w:rPr>
        <w:t xml:space="preserve">t. j. </w:t>
      </w:r>
      <w:r w:rsidRPr="009078F6">
        <w:rPr>
          <w:bCs/>
          <w:iCs/>
        </w:rPr>
        <w:t>diskvalifikačné kritériá)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p>
    <w:p w14:paraId="595F5101" w14:textId="363908F8" w:rsidR="00B650E5" w:rsidRDefault="00B650E5">
      <w:pPr>
        <w:numPr>
          <w:ilvl w:val="0"/>
          <w:numId w:val="221"/>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Hodnota bodov každého z kritérií je určená ako nezáporné celé číslo (pri bodovaných kritériách sa neurčuje ich váha, </w:t>
      </w:r>
      <w:r w:rsidR="00C93F30">
        <w:rPr>
          <w:bCs/>
          <w:iCs/>
        </w:rPr>
        <w:t xml:space="preserve">t. j. </w:t>
      </w:r>
      <w:r>
        <w:rPr>
          <w:bCs/>
          <w:iCs/>
        </w:rPr>
        <w:t>neurčuje sa koeficient zvýhodnenia, ktorým by sa násobila hodnota hodnotiaceho kritéria).</w:t>
      </w:r>
    </w:p>
    <w:p w14:paraId="38B37346" w14:textId="77777777" w:rsidR="00B650E5" w:rsidRDefault="00B650E5">
      <w:pPr>
        <w:numPr>
          <w:ilvl w:val="0"/>
          <w:numId w:val="221"/>
        </w:numPr>
        <w:spacing w:before="120" w:after="120"/>
        <w:ind w:left="425" w:hanging="425"/>
        <w:jc w:val="both"/>
        <w:rPr>
          <w:bCs/>
          <w:iCs/>
        </w:rPr>
      </w:pPr>
      <w:r>
        <w:rPr>
          <w:bCs/>
          <w:iCs/>
        </w:rPr>
        <w:t xml:space="preserve">RO jasne definuje, ktoré kritériá pre výber projektov sú vylučujúcimi kritériami. Vylučujúce kritéria sú vždy posudzované ako prvé a až po ich splnení sú posudzované bodované kritériá. </w:t>
      </w:r>
    </w:p>
    <w:p w14:paraId="575A0B16" w14:textId="57661A80" w:rsidR="00B650E5" w:rsidRDefault="00B650E5">
      <w:pPr>
        <w:numPr>
          <w:ilvl w:val="0"/>
          <w:numId w:val="221"/>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w:t>
      </w:r>
      <w:r w:rsidR="00E7156E">
        <w:rPr>
          <w:bCs/>
          <w:iCs/>
        </w:rPr>
        <w:t> </w:t>
      </w:r>
      <w:r>
        <w:rPr>
          <w:bCs/>
          <w:iCs/>
        </w:rPr>
        <w:t>splnenie odborného hodnotenia predstavuje 60</w:t>
      </w:r>
      <w:r w:rsidR="00C93F30">
        <w:rPr>
          <w:bCs/>
          <w:iCs/>
        </w:rPr>
        <w:t xml:space="preserve"> </w:t>
      </w:r>
      <w:r>
        <w:rPr>
          <w:bCs/>
          <w:iCs/>
        </w:rPr>
        <w:t>%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w:t>
      </w:r>
      <w:r w:rsidR="00F64BDD">
        <w:rPr>
          <w:bCs/>
          <w:iCs/>
        </w:rPr>
        <w:t xml:space="preserve"> </w:t>
      </w:r>
      <w:r>
        <w:rPr>
          <w:bCs/>
          <w:iCs/>
        </w:rPr>
        <w:t>%) predstavovala celé číslo (v prípade zaokrúhľovania RO zaokrúhľuje na celé číslo smerom nahor).</w:t>
      </w:r>
    </w:p>
    <w:p w14:paraId="34682FD9" w14:textId="5EED7A8A" w:rsidR="00B650E5" w:rsidRDefault="00B650E5">
      <w:pPr>
        <w:numPr>
          <w:ilvl w:val="0"/>
          <w:numId w:val="221"/>
        </w:numPr>
        <w:spacing w:before="120" w:after="120"/>
        <w:ind w:left="425" w:hanging="425"/>
        <w:jc w:val="both"/>
        <w:rPr>
          <w:bCs/>
          <w:iCs/>
        </w:rPr>
      </w:pPr>
      <w:r>
        <w:rPr>
          <w:bCs/>
          <w:iCs/>
        </w:rPr>
        <w:t>Aplikáciou kritérií pre výber projektov RO stanoví poradie ŽoNFP, ktoré je vytvorené od</w:t>
      </w:r>
      <w:r w:rsidR="000C761F">
        <w:rPr>
          <w:bCs/>
          <w:iCs/>
        </w:rPr>
        <w:t> </w:t>
      </w:r>
      <w:r>
        <w:rPr>
          <w:bCs/>
          <w:iCs/>
        </w:rPr>
        <w:t>najvyššie umiestnenej ŽoNFP spĺňajúcej všetky podmienky poskytnutia príspevku, po</w:t>
      </w:r>
      <w:r w:rsidR="000C761F">
        <w:rPr>
          <w:bCs/>
          <w:iCs/>
        </w:rPr>
        <w:t> </w:t>
      </w:r>
      <w:r>
        <w:rPr>
          <w:bCs/>
          <w:iCs/>
        </w:rPr>
        <w:t>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w:t>
      </w:r>
      <w:r w:rsidR="000C761F">
        <w:rPr>
          <w:bCs/>
          <w:iCs/>
        </w:rPr>
        <w:t> </w:t>
      </w:r>
      <w:r>
        <w:rPr>
          <w:bCs/>
          <w:iCs/>
        </w:rPr>
        <w:t>výzve. ŽoNFP, ktoré sa umiestnili vytvoreným poradím pod hranicou finančných prostriedkov vyčlenených na výzvu, budú neschválené z dôvodu nedostatku finančných prostriedkov určených na výzvu. Uvedený postup je modifikovaný v prípade zohľadnenia hodnotiacej správy pri</w:t>
      </w:r>
      <w:r w:rsidR="000C761F">
        <w:rPr>
          <w:bCs/>
          <w:iCs/>
        </w:rPr>
        <w:t> </w:t>
      </w:r>
      <w:r>
        <w:rPr>
          <w:bCs/>
          <w:iCs/>
        </w:rPr>
        <w:t>ŽoNFP, kde RO využil dvojkolový proces výberu. V danom prípade RO pri určení poradia postupuje spôsobom upraveným v </w:t>
      </w:r>
      <w:hyperlink w:anchor="kapitola_3222" w:tooltip="kapitole 3.2.2.2" w:history="1">
        <w:r>
          <w:rPr>
            <w:rStyle w:val="Hypertextovprepojenie"/>
            <w:bCs/>
            <w:iCs/>
          </w:rPr>
          <w:t>kapitole 3.2.2.2</w:t>
        </w:r>
      </w:hyperlink>
      <w:r>
        <w:rPr>
          <w:bCs/>
          <w:iCs/>
        </w:rPr>
        <w:t>. Výška alokácie nie je samostatným kritériom výberu a ako taká nie je zaraďovaná medzi podmienky poskytnutia príspevku. ŽoNFP, ktoré boli neschválené len z dôvodu nedostatku finančných prostriedkov vo výzve sú v poradí, v akom boli neschválené zaradené do zásobníka projektov.</w:t>
      </w:r>
    </w:p>
    <w:p w14:paraId="1C005E0B" w14:textId="77777777" w:rsidR="00B650E5" w:rsidRDefault="00B650E5" w:rsidP="0045286B">
      <w:pPr>
        <w:pStyle w:val="SRK4"/>
      </w:pPr>
      <w:bookmarkStart w:id="136" w:name="_Toc453233976"/>
      <w:bookmarkStart w:id="137" w:name="_Toc495649335"/>
      <w:r>
        <w:lastRenderedPageBreak/>
        <w:t>2.4.3.1 Kritériá pre posúdenie projektových zámerov</w:t>
      </w:r>
      <w:bookmarkEnd w:id="136"/>
      <w:bookmarkEnd w:id="137"/>
    </w:p>
    <w:p w14:paraId="5524870A" w14:textId="77777777" w:rsidR="00B650E5" w:rsidRDefault="00B650E5">
      <w:pPr>
        <w:numPr>
          <w:ilvl w:val="0"/>
          <w:numId w:val="61"/>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14:paraId="755D6990" w14:textId="77777777" w:rsidR="00B650E5" w:rsidRDefault="00B650E5">
      <w:pPr>
        <w:numPr>
          <w:ilvl w:val="0"/>
          <w:numId w:val="61"/>
        </w:numPr>
        <w:spacing w:before="120" w:after="120"/>
        <w:ind w:left="425" w:hanging="425"/>
        <w:jc w:val="both"/>
      </w:pPr>
      <w:r>
        <w:t>RO pri koncipovaní kritérií pre posúdenie projektových zámerov zabezpečí najmä posúdenie najdôležitejších aspektov projektového zámeru, na základe ktorého je vecne rozhodnuté, či RO vydá pre projektový zámer pozitívnu alebo negatívnu hodnotiacu správu.</w:t>
      </w:r>
    </w:p>
    <w:p w14:paraId="1BA7BED6" w14:textId="57015CCD" w:rsidR="00B650E5" w:rsidRDefault="00B650E5">
      <w:pPr>
        <w:numPr>
          <w:ilvl w:val="0"/>
          <w:numId w:val="61"/>
        </w:numPr>
        <w:spacing w:before="120" w:after="120"/>
        <w:ind w:left="425" w:hanging="425"/>
        <w:jc w:val="both"/>
      </w:pPr>
      <w:r>
        <w:t>Kritériá pre posúdenie projektových zámerov RO posudzuje v rámci odborného hodnotenia projektových zámerov. Ak kritériá pre posúdenie projektových zámerov umožňujú ich absolútnu objektívnu overiteľnosť (matematicky overiteľné a jednoznačne posúditeľné kritériá), je možné zabezpečiť ich aplikáciu a vyhodnotenie v rámci administratívneho overovania.</w:t>
      </w:r>
    </w:p>
    <w:p w14:paraId="0D50E599" w14:textId="08A0274D" w:rsidR="00B650E5" w:rsidRDefault="00B650E5" w:rsidP="0045286B">
      <w:pPr>
        <w:pStyle w:val="SRK4"/>
      </w:pPr>
      <w:bookmarkStart w:id="138" w:name="_Toc453233977"/>
      <w:bookmarkStart w:id="139" w:name="_Toc495649336"/>
      <w:r>
        <w:t>2.4.3.2 Hodnotiace kritériá žiadostí o poskytnutie nenávratného finančného príspevk</w:t>
      </w:r>
      <w:bookmarkEnd w:id="138"/>
      <w:r>
        <w:t>u</w:t>
      </w:r>
      <w:bookmarkEnd w:id="139"/>
    </w:p>
    <w:p w14:paraId="7384C77D" w14:textId="77777777" w:rsidR="00B650E5" w:rsidRDefault="00B650E5">
      <w:pPr>
        <w:numPr>
          <w:ilvl w:val="0"/>
          <w:numId w:val="223"/>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r w:rsidR="00AC75D1">
        <w:rPr>
          <w:rStyle w:val="Odkaznapoznmkupodiarou"/>
        </w:rPr>
        <w:footnoteReference w:id="32"/>
      </w:r>
    </w:p>
    <w:p w14:paraId="47E60D5B" w14:textId="77777777" w:rsidR="00B650E5" w:rsidRDefault="00B650E5">
      <w:pPr>
        <w:numPr>
          <w:ilvl w:val="1"/>
          <w:numId w:val="224"/>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,,príspevok projektu k cieľom OP“ a je odporúčané konkretizovať jednoznačne aspekt, ktorého overením je posúditeľný príspevok projektu k cieľom OP);</w:t>
      </w:r>
    </w:p>
    <w:p w14:paraId="5F9B3B24" w14:textId="77777777" w:rsidR="00B650E5" w:rsidRDefault="00B650E5">
      <w:pPr>
        <w:numPr>
          <w:ilvl w:val="1"/>
          <w:numId w:val="224"/>
        </w:numPr>
        <w:spacing w:before="120" w:after="120"/>
        <w:ind w:left="851" w:hanging="425"/>
        <w:jc w:val="both"/>
      </w:pPr>
      <w:r>
        <w:rPr>
          <w:b/>
        </w:rPr>
        <w:t>Navrhovaný spôsob realizácie projektu</w:t>
      </w:r>
      <w:r>
        <w:t xml:space="preserve"> – posúdenie prepojenia navrhovaných aktivít s výsledkami a cieľmi projektu, posúdenie vhodnosti navrhovaných aktivít a spôsobu ich realizácie</w:t>
      </w:r>
      <w:r w:rsidR="000C761F">
        <w:t>,</w:t>
      </w:r>
      <w:r>
        <w:t xml:space="preserve"> posúdenie navrhovaných aktivít z vecného, časového hľadiska a z hľadiska ich prevádzkovej a technickej udržateľnosti (ak relevantné), posúdenie reálnosti plánovanej hodnoty merateľných ukazovateľov s ohľadom na časové, finančné a vecné hľadisko;</w:t>
      </w:r>
    </w:p>
    <w:p w14:paraId="6138C12C" w14:textId="5C930B0F" w:rsidR="00B650E5" w:rsidRDefault="00B650E5">
      <w:pPr>
        <w:numPr>
          <w:ilvl w:val="1"/>
          <w:numId w:val="224"/>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w:t>
      </w:r>
      <w:r w:rsidR="000C761F">
        <w:t> </w:t>
      </w:r>
      <w:r>
        <w:t xml:space="preserve">originálnym aktivitám žiadateľa (ak relevantné); </w:t>
      </w:r>
    </w:p>
    <w:p w14:paraId="5957A0CE" w14:textId="77777777" w:rsidR="00B650E5" w:rsidRDefault="00B650E5">
      <w:pPr>
        <w:numPr>
          <w:ilvl w:val="1"/>
          <w:numId w:val="224"/>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 a efektívnosti navrhovaných výdavkov, posúdenie zrealizovanej finančnej analýzy (ak relevantné), posúdenie CBA (ak relevantné), hodnotenie finančnej a ekonomickej výkonnosti žiadateľa vo vzťahu ku schopnosti zabezpečiť finančnú udržateľnosť projektu (napr. zohľadnenie finančnej výkonnosti podniku – napr. ROA, ROE, EBIT, zadlženosť, ukazovatele celkového ekonomického hodnotenia podniku).</w:t>
      </w:r>
      <w:r>
        <w:rPr>
          <w:bCs/>
          <w:iCs/>
        </w:rPr>
        <w:t xml:space="preserve"> </w:t>
      </w:r>
    </w:p>
    <w:p w14:paraId="11C0E74A" w14:textId="101C257B" w:rsidR="00B650E5" w:rsidRDefault="00B650E5">
      <w:pPr>
        <w:numPr>
          <w:ilvl w:val="0"/>
          <w:numId w:val="223"/>
        </w:numPr>
        <w:spacing w:before="120" w:after="120"/>
        <w:ind w:left="425" w:hanging="425"/>
        <w:jc w:val="both"/>
      </w:pPr>
      <w:r>
        <w:t xml:space="preserve">RO v rámci definovania hodnotiacich kritérií zabezpečí, aby projekt, ktorý nespĺňa podmienky hospodárnosti a efektívnosti nemohol byť schválený, </w:t>
      </w:r>
      <w:r w:rsidR="00C93F30">
        <w:t xml:space="preserve">t. j. </w:t>
      </w:r>
      <w:r>
        <w:t>aby takýto projekt nesplnil podmienky odborného hodnotenia</w:t>
      </w:r>
      <w:r>
        <w:rPr>
          <w:bCs/>
          <w:iCs/>
        </w:rPr>
        <w:t>.</w:t>
      </w:r>
    </w:p>
    <w:p w14:paraId="3075BD4D" w14:textId="22D689CC" w:rsidR="00B650E5" w:rsidRDefault="00B650E5">
      <w:pPr>
        <w:numPr>
          <w:ilvl w:val="0"/>
          <w:numId w:val="223"/>
        </w:numPr>
        <w:spacing w:before="120" w:after="120"/>
        <w:ind w:left="425" w:hanging="425"/>
        <w:jc w:val="both"/>
      </w:pPr>
      <w:bookmarkStart w:id="140" w:name="kapitola_2432_ods_3"/>
      <w:r>
        <w:lastRenderedPageBreak/>
        <w:t xml:space="preserve">Pri vecne relevantných OP je RO povinný pri tvorbe hodnotiacich kritérií zabezpečiť, aby boli </w:t>
      </w:r>
      <w:r>
        <w:rPr>
          <w:b/>
        </w:rPr>
        <w:t>bodovo zvýhodnené</w:t>
      </w:r>
      <w:r>
        <w:t xml:space="preserve"> také ŽoNFP, ktoré sú predložené na základe projektov identifikovaných v</w:t>
      </w:r>
      <w:r w:rsidR="000C761F">
        <w:t> </w:t>
      </w:r>
      <w:r>
        <w:t xml:space="preserve">schválených RIÚS v súlade s § 15 zákona o príspevku z EŠIF. </w:t>
      </w:r>
    </w:p>
    <w:bookmarkEnd w:id="140"/>
    <w:p w14:paraId="2FEC0E63" w14:textId="77777777" w:rsidR="00B650E5" w:rsidRDefault="00B650E5">
      <w:pPr>
        <w:numPr>
          <w:ilvl w:val="0"/>
          <w:numId w:val="223"/>
        </w:numPr>
        <w:spacing w:before="120" w:after="120"/>
        <w:ind w:left="425" w:hanging="425"/>
        <w:jc w:val="both"/>
      </w:pPr>
      <w:r>
        <w:rPr>
          <w:bCs/>
          <w:iCs/>
        </w:rPr>
        <w:t>V prípade, ak po dohode s gestorom HP nie je súlad projektu s HP overovaný v rámci administratívneho overenia objektívne stanovenej podmienky poskytnutia príspevku, RO zaradí medzi hodnotiace kritériá na základe návrhu a komunikácie s gestorom HP hodnotiace kritériá pre posúdenie súladu s HP.</w:t>
      </w:r>
    </w:p>
    <w:p w14:paraId="0DF0B686" w14:textId="77A6660C" w:rsidR="00B650E5" w:rsidRDefault="00B650E5">
      <w:pPr>
        <w:numPr>
          <w:ilvl w:val="0"/>
          <w:numId w:val="223"/>
        </w:numPr>
        <w:spacing w:before="120" w:after="120"/>
        <w:ind w:left="425" w:hanging="425"/>
        <w:jc w:val="both"/>
      </w:pPr>
      <w:r>
        <w:t xml:space="preserve">RO je povinný spolu s hodnotiacimi kritériami definovať aj </w:t>
      </w:r>
      <w:r>
        <w:rPr>
          <w:b/>
        </w:rPr>
        <w:t xml:space="preserve">rozlišovacie kritériá; </w:t>
      </w:r>
      <w:r>
        <w:t>uvedené neplatí pre národné a veľké projekty a projekty technickej pomoci. Rozlišovacie kritériá slúžia na</w:t>
      </w:r>
      <w:r w:rsidR="000C761F">
        <w:t> </w:t>
      </w:r>
      <w:r>
        <w:t>určenie poradia v prípade rovnakého počtu bodov dosiahnutého viacerými ŽoNFP v odbornom hodnotení (</w:t>
      </w:r>
      <w:r w:rsidR="00C93F30">
        <w:t xml:space="preserve">t. j. </w:t>
      </w:r>
      <w:r>
        <w:t xml:space="preserve"> ak dve alebo viac ŽoNFP dosiahli rovnaké bodové hodnotenie a alokácia určená vo výzve nepostačuje na schválenie všetkých takýchto ŽoNFP). </w:t>
      </w:r>
    </w:p>
    <w:p w14:paraId="6696DBE3" w14:textId="77777777" w:rsidR="00B650E5" w:rsidRDefault="00B650E5">
      <w:pPr>
        <w:numPr>
          <w:ilvl w:val="0"/>
          <w:numId w:val="223"/>
        </w:numPr>
        <w:spacing w:before="120" w:after="120"/>
        <w:ind w:left="425" w:hanging="425"/>
        <w:jc w:val="both"/>
      </w:pPr>
      <w:r>
        <w:t>Rozlišovacie kritériá RO určí primárne z bodovaných hodnotiacich kritérií z odborného hodnotenia ŽoNFP, pričom môže vybrať jedno alebo viacero z týchto kritérií</w:t>
      </w:r>
      <w:r w:rsidR="000C761F">
        <w:t>.</w:t>
      </w:r>
    </w:p>
    <w:p w14:paraId="447E8FEC" w14:textId="77777777" w:rsidR="00B650E5" w:rsidRDefault="00B650E5">
      <w:pPr>
        <w:numPr>
          <w:ilvl w:val="0"/>
          <w:numId w:val="223"/>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14:paraId="46641F42" w14:textId="77777777" w:rsidR="00B650E5" w:rsidRDefault="00B650E5">
      <w:pPr>
        <w:numPr>
          <w:ilvl w:val="0"/>
          <w:numId w:val="223"/>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14:paraId="0A100E9B" w14:textId="77777777" w:rsidR="00B650E5" w:rsidRDefault="00B650E5">
      <w:pPr>
        <w:numPr>
          <w:ilvl w:val="0"/>
          <w:numId w:val="223"/>
        </w:numPr>
        <w:spacing w:before="120" w:after="120"/>
        <w:ind w:left="425" w:hanging="425"/>
        <w:jc w:val="both"/>
      </w:pPr>
      <w:r>
        <w:t>Hodnotiace kritéria ŽoNFP, vrátane rozlišovacích kritérií predloží RO na schválenie MV a posudzuje ich v rámci odborného hodnotenia ŽoNFP. Schváleniu zo strany MV podlieha rovnako aj zmena hodnotiacich kritérií, vrátane rozlišovacích kritérií.</w:t>
      </w:r>
    </w:p>
    <w:p w14:paraId="250D0BCE" w14:textId="39EDBF98" w:rsidR="00B650E5" w:rsidRDefault="00B650E5" w:rsidP="0045286B">
      <w:pPr>
        <w:pStyle w:val="SRK4"/>
      </w:pPr>
      <w:bookmarkStart w:id="141" w:name="_Toc453233978"/>
      <w:bookmarkStart w:id="142" w:name="_Toc495649337"/>
      <w:r>
        <w:t>2.4.3.3 Výberové kritériá žiadostí o poskytnutie nenávratného finančného príspevk</w:t>
      </w:r>
      <w:bookmarkEnd w:id="141"/>
      <w:r>
        <w:t>u</w:t>
      </w:r>
      <w:bookmarkEnd w:id="142"/>
    </w:p>
    <w:p w14:paraId="008A99DC" w14:textId="68E5E4A6" w:rsidR="00B650E5" w:rsidRDefault="00B650E5">
      <w:pPr>
        <w:numPr>
          <w:ilvl w:val="0"/>
          <w:numId w:val="62"/>
        </w:numPr>
        <w:spacing w:before="120" w:after="120"/>
        <w:ind w:left="426" w:hanging="426"/>
        <w:jc w:val="both"/>
        <w:rPr>
          <w:i/>
        </w:rPr>
      </w:pPr>
      <w:r>
        <w:t>RO je oprávnený definovať výberové kritériá ŽoNFP v prípade, ak nie sú ŽoNFP vyberané na</w:t>
      </w:r>
      <w:r w:rsidR="000C761F">
        <w:t> </w:t>
      </w:r>
      <w:r>
        <w:t xml:space="preserve">základe poradia určeného aplikáciou hodnotiacich kritérií. </w:t>
      </w:r>
    </w:p>
    <w:p w14:paraId="603D2CFD" w14:textId="77777777" w:rsidR="00B650E5" w:rsidRDefault="00B650E5">
      <w:pPr>
        <w:numPr>
          <w:ilvl w:val="0"/>
          <w:numId w:val="62"/>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14:paraId="25F3DC3A" w14:textId="1C40C5B6" w:rsidR="00B650E5" w:rsidRDefault="00B650E5">
      <w:pPr>
        <w:numPr>
          <w:ilvl w:val="0"/>
          <w:numId w:val="62"/>
        </w:numPr>
        <w:spacing w:before="120" w:after="120"/>
        <w:ind w:left="426" w:hanging="426"/>
        <w:jc w:val="both"/>
      </w:pPr>
      <w:r>
        <w:rPr>
          <w:bCs/>
          <w:iCs/>
        </w:rPr>
        <w:t xml:space="preserve">RO stanoví výberové kritériá tak, aby zabezpečili </w:t>
      </w:r>
      <w:r>
        <w:rPr>
          <w:b/>
          <w:bCs/>
          <w:iCs/>
        </w:rPr>
        <w:t>objektívne posúdenie všetkých ŽoNFP</w:t>
      </w:r>
      <w:r>
        <w:rPr>
          <w:bCs/>
          <w:iCs/>
        </w:rPr>
        <w:t xml:space="preserve"> (takým kritériom </w:t>
      </w:r>
      <w:r>
        <w:rPr>
          <w:b/>
          <w:bCs/>
          <w:iCs/>
        </w:rPr>
        <w:t>nie je</w:t>
      </w:r>
      <w:r>
        <w:rPr>
          <w:bCs/>
          <w:iCs/>
        </w:rPr>
        <w:t xml:space="preserve"> napr. hodnotenie súladu so strategickým dokumentom, ktoré je na</w:t>
      </w:r>
      <w:r w:rsidR="000C761F">
        <w:rPr>
          <w:bCs/>
          <w:iCs/>
        </w:rPr>
        <w:t> </w:t>
      </w:r>
      <w:r>
        <w:rPr>
          <w:bCs/>
          <w:iCs/>
        </w:rPr>
        <w:t>všeobecnom a subjektívnom posúdení) v rámci skupiny navzájom</w:t>
      </w:r>
      <w:r w:rsidR="006F3B93">
        <w:rPr>
          <w:bCs/>
          <w:iCs/>
        </w:rPr>
        <w:t>,</w:t>
      </w:r>
      <w:r>
        <w:rPr>
          <w:bCs/>
          <w:iCs/>
        </w:rPr>
        <w:t xml:space="preserve"> a to s prihliadnutím na</w:t>
      </w:r>
      <w:r w:rsidR="000C761F">
        <w:rPr>
          <w:bCs/>
          <w:iCs/>
        </w:rPr>
        <w:t> </w:t>
      </w:r>
      <w:r>
        <w:rPr>
          <w:bCs/>
          <w:iCs/>
        </w:rPr>
        <w:t>konkrétne skutočnosti, ktoré môžu byť porovnávané v rámci všetkých ŽoNFP v danej skupine (</w:t>
      </w:r>
      <w:r w:rsidR="00C93F30">
        <w:rPr>
          <w:bCs/>
          <w:iCs/>
        </w:rPr>
        <w:t xml:space="preserve">t. j. </w:t>
      </w:r>
      <w:r>
        <w:rPr>
          <w:bCs/>
          <w:iCs/>
        </w:rPr>
        <w:t xml:space="preserve"> kritéria musia byť aplikované na všetky ŽoNFP rovnako).</w:t>
      </w:r>
    </w:p>
    <w:p w14:paraId="175454BF" w14:textId="77777777" w:rsidR="00B650E5" w:rsidRDefault="00B650E5">
      <w:pPr>
        <w:numPr>
          <w:ilvl w:val="0"/>
          <w:numId w:val="62"/>
        </w:numPr>
        <w:spacing w:before="120" w:after="120"/>
        <w:ind w:left="426" w:hanging="426"/>
        <w:jc w:val="both"/>
      </w:pPr>
      <w:r>
        <w:rPr>
          <w:bCs/>
          <w:iCs/>
        </w:rPr>
        <w:t>Výberové kritériá majú kvantitatívny charakter a nepriraďuje sa im váha (napr. merná investičná náročnosť posudzovaná objektívnym a rovnakým spôsobom pri všetkých projektoch).</w:t>
      </w:r>
    </w:p>
    <w:p w14:paraId="1943D54B" w14:textId="77777777" w:rsidR="00B650E5" w:rsidRDefault="00B650E5">
      <w:pPr>
        <w:numPr>
          <w:ilvl w:val="0"/>
          <w:numId w:val="62"/>
        </w:numPr>
        <w:spacing w:before="120" w:after="120"/>
        <w:ind w:left="426" w:hanging="426"/>
        <w:jc w:val="both"/>
        <w:rPr>
          <w:bCs/>
          <w:iCs/>
        </w:rPr>
      </w:pPr>
      <w:r>
        <w:rPr>
          <w:bCs/>
          <w:iCs/>
        </w:rPr>
        <w:t>Výberové kritériá môžu byť definované nasledovne:</w:t>
      </w:r>
    </w:p>
    <w:p w14:paraId="5A5A50AC" w14:textId="77777777" w:rsidR="00B650E5" w:rsidRDefault="00B650E5">
      <w:pPr>
        <w:numPr>
          <w:ilvl w:val="1"/>
          <w:numId w:val="342"/>
        </w:numPr>
        <w:spacing w:before="120" w:after="120"/>
        <w:ind w:left="851" w:hanging="425"/>
        <w:jc w:val="both"/>
        <w:rPr>
          <w:bCs/>
          <w:iCs/>
        </w:rPr>
      </w:pPr>
      <w:r>
        <w:rPr>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14:paraId="55D5B9B0" w14:textId="77777777" w:rsidR="00B650E5" w:rsidRDefault="00B650E5">
      <w:pPr>
        <w:numPr>
          <w:ilvl w:val="1"/>
          <w:numId w:val="342"/>
        </w:numPr>
        <w:spacing w:before="120" w:after="120"/>
        <w:ind w:left="851" w:hanging="425"/>
        <w:jc w:val="both"/>
        <w:rPr>
          <w:bCs/>
          <w:iCs/>
        </w:rPr>
      </w:pPr>
      <w:r>
        <w:rPr>
          <w:bCs/>
          <w:iCs/>
        </w:rPr>
        <w:t xml:space="preserve">ako samostatné objektívne kritérium, ktorého aplikáciou je vytvorené jednoznačné poradie v rámci skupiny vyberaných ŽoNFP (napr. zoradenie ŽoNFP na základe hodnoty </w:t>
      </w:r>
      <w:r>
        <w:rPr>
          <w:bCs/>
          <w:iCs/>
        </w:rPr>
        <w:lastRenderedPageBreak/>
        <w:t>konkrétneho, vopred stanoveného merateľného ukazovateľa od najvyššej plánovanej hodnoty po najnižšiu).</w:t>
      </w:r>
    </w:p>
    <w:p w14:paraId="034181AA" w14:textId="77777777" w:rsidR="00B650E5" w:rsidRDefault="00B650E5">
      <w:pPr>
        <w:numPr>
          <w:ilvl w:val="0"/>
          <w:numId w:val="62"/>
        </w:numPr>
        <w:spacing w:before="120" w:after="120"/>
        <w:ind w:left="426" w:hanging="426"/>
        <w:jc w:val="both"/>
      </w:pPr>
      <w:r>
        <w:t>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rozlišovacie kritériá, ktoré RO aplikuje pre prípady určenie poradia v prípade rovnakého umiestnenia viacerých ŽoNFP.</w:t>
      </w:r>
    </w:p>
    <w:p w14:paraId="0317F961" w14:textId="77777777" w:rsidR="00B650E5" w:rsidRDefault="00B650E5">
      <w:pPr>
        <w:numPr>
          <w:ilvl w:val="0"/>
          <w:numId w:val="62"/>
        </w:numPr>
        <w:spacing w:before="120" w:after="120"/>
        <w:ind w:left="426" w:hanging="426"/>
        <w:jc w:val="both"/>
      </w:pPr>
      <w:r>
        <w:t>RO zabezpečí dostatočný audit trail, vrátane priradenia zodpovednosti za aplikáciu výberových kritérií na úrovni konkrétnych pracovných pozícií.</w:t>
      </w:r>
    </w:p>
    <w:p w14:paraId="49C6AE92" w14:textId="77777777" w:rsidR="00B650E5" w:rsidRDefault="00B650E5" w:rsidP="0045286B">
      <w:pPr>
        <w:pStyle w:val="SRK4"/>
      </w:pPr>
      <w:bookmarkStart w:id="143" w:name="_Toc453233979"/>
      <w:bookmarkStart w:id="144" w:name="_Toc495649338"/>
      <w:r>
        <w:t>2.4.3.4 Príručka pre odborných hodnotiteľov</w:t>
      </w:r>
      <w:bookmarkEnd w:id="143"/>
      <w:bookmarkEnd w:id="144"/>
    </w:p>
    <w:p w14:paraId="6623E795" w14:textId="77777777" w:rsidR="00B650E5" w:rsidRDefault="00B650E5">
      <w:pPr>
        <w:numPr>
          <w:ilvl w:val="0"/>
          <w:numId w:val="63"/>
        </w:numPr>
        <w:spacing w:before="120" w:after="120"/>
        <w:ind w:left="425" w:hanging="425"/>
        <w:jc w:val="both"/>
      </w:pPr>
      <w:bookmarkStart w:id="145"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r w:rsidR="007A46AE">
        <w:t xml:space="preserve"> Vzor príručky pre odborných hodnotiteľov vydá CKO.</w:t>
      </w:r>
    </w:p>
    <w:p w14:paraId="0A781B72" w14:textId="77777777" w:rsidR="00B650E5" w:rsidRDefault="00B650E5">
      <w:pPr>
        <w:numPr>
          <w:ilvl w:val="0"/>
          <w:numId w:val="63"/>
        </w:numPr>
        <w:spacing w:before="120" w:after="120"/>
        <w:ind w:left="425" w:hanging="425"/>
        <w:jc w:val="both"/>
      </w:pPr>
      <w:r>
        <w:t>Príručka pre odborných hodnotiteľov obsahuje minimálne nasledujúce náležitosti:</w:t>
      </w:r>
    </w:p>
    <w:p w14:paraId="3CC18F80" w14:textId="77777777" w:rsidR="00B650E5" w:rsidRDefault="00B650E5">
      <w:pPr>
        <w:numPr>
          <w:ilvl w:val="1"/>
          <w:numId w:val="225"/>
        </w:numPr>
        <w:spacing w:before="120" w:after="120"/>
        <w:ind w:left="850" w:hanging="425"/>
        <w:jc w:val="both"/>
      </w:pPr>
      <w:r>
        <w:rPr>
          <w:b/>
        </w:rPr>
        <w:t xml:space="preserve">Spôsob vyhodnotenia jednotlivých kritérií pre výber projektov </w:t>
      </w:r>
      <w:r>
        <w:t>– RO stanoví jednoznačný postup vyhodnotenia vyraďovacích a bodovaných kritérií. Súčasťou tejto časti je aj identifikácia relevantných častí ŽoNFP a jej príloh, ktoré obsahujú informácie relevantné vo vzťahu k vyhodnoteniu konkrétnych kritérií; ak po dohode RO a gestora HP je posúdenie HP súčasťou hodnotiacich kritérií, predmetná časť obsahuje aj spôsob vyhodnotenia týchto kritérií;</w:t>
      </w:r>
    </w:p>
    <w:p w14:paraId="68AAE5FB" w14:textId="77777777" w:rsidR="00B650E5" w:rsidRDefault="00B650E5">
      <w:pPr>
        <w:numPr>
          <w:ilvl w:val="1"/>
          <w:numId w:val="225"/>
        </w:numPr>
        <w:spacing w:before="120" w:after="120"/>
        <w:ind w:left="850" w:hanging="425"/>
        <w:jc w:val="both"/>
      </w:pPr>
      <w:r>
        <w:rPr>
          <w:b/>
        </w:rPr>
        <w:t xml:space="preserve">Organizačné a technické zabezpečenie priebehu odborného hodnotenia </w:t>
      </w:r>
      <w:r>
        <w:t>– RO definuje spôsob vypracovania, odovzdávania a zadávania výstupov z odborného hodnotenia zo strany odborného hodnotiteľa;</w:t>
      </w:r>
    </w:p>
    <w:p w14:paraId="7F45CF22" w14:textId="7BED97B4" w:rsidR="00B650E5" w:rsidRDefault="00B650E5">
      <w:pPr>
        <w:numPr>
          <w:ilvl w:val="1"/>
          <w:numId w:val="225"/>
        </w:numPr>
        <w:spacing w:before="120" w:after="120"/>
        <w:ind w:left="850" w:hanging="425"/>
        <w:jc w:val="both"/>
        <w:rPr>
          <w:b/>
        </w:rPr>
      </w:pPr>
      <w:r>
        <w:rPr>
          <w:b/>
        </w:rPr>
        <w:t>Postupy uplatňované v prípadoch nezhody odborných hodnotiteľov</w:t>
      </w:r>
      <w:r>
        <w:t>;</w:t>
      </w:r>
    </w:p>
    <w:p w14:paraId="34283C58" w14:textId="77777777" w:rsidR="00B650E5" w:rsidRDefault="00B650E5">
      <w:pPr>
        <w:numPr>
          <w:ilvl w:val="1"/>
          <w:numId w:val="225"/>
        </w:numPr>
        <w:spacing w:before="120" w:after="120"/>
        <w:ind w:left="850" w:hanging="425"/>
        <w:jc w:val="both"/>
        <w:rPr>
          <w:b/>
        </w:rPr>
      </w:pPr>
      <w:r>
        <w:rPr>
          <w:b/>
        </w:rPr>
        <w:t xml:space="preserve">Aplikácia možnosti vyžiadania žiadateľa na predloženie doplňujúcich informácií </w:t>
      </w:r>
      <w:r>
        <w:t xml:space="preserve"> - relevantné v prípade, ak RO využil možnosť v súlade s </w:t>
      </w:r>
      <w:hyperlink w:anchor="kapitola_3212_ods_14" w:tooltip="kapitolou 3.2.1.2, ods. 14" w:history="1">
        <w:r w:rsidRPr="00415947">
          <w:rPr>
            <w:rStyle w:val="Hypertextovprepojenie"/>
          </w:rPr>
          <w:t>kapitolou 3.2.1.2, ods. 14</w:t>
        </w:r>
      </w:hyperlink>
      <w:r>
        <w:t>;</w:t>
      </w:r>
    </w:p>
    <w:p w14:paraId="069FD284" w14:textId="64E1C442" w:rsidR="00B650E5" w:rsidRDefault="00B650E5">
      <w:pPr>
        <w:numPr>
          <w:ilvl w:val="1"/>
          <w:numId w:val="225"/>
        </w:numPr>
        <w:spacing w:before="120" w:after="120"/>
        <w:ind w:left="850" w:hanging="425"/>
        <w:jc w:val="both"/>
      </w:pPr>
      <w:r>
        <w:rPr>
          <w:b/>
        </w:rPr>
        <w:t>Informácie o postupe pri identifikácii konfliktu záujmov</w:t>
      </w:r>
      <w:r>
        <w:t>;</w:t>
      </w:r>
    </w:p>
    <w:p w14:paraId="3C5BBD90" w14:textId="77777777" w:rsidR="00B650E5" w:rsidRDefault="00B650E5">
      <w:pPr>
        <w:numPr>
          <w:ilvl w:val="1"/>
          <w:numId w:val="225"/>
        </w:numPr>
        <w:spacing w:before="120" w:after="120"/>
        <w:ind w:left="850" w:hanging="425"/>
        <w:jc w:val="both"/>
      </w:pPr>
      <w:r>
        <w:rPr>
          <w:b/>
        </w:rPr>
        <w:t xml:space="preserve">Organizačné a technické zabezpečenie účasti zástupcov partnerov </w:t>
      </w:r>
      <w:r>
        <w:t>v procese odborného hodnotenia, vrátane postupov pri identifikovanom porušení postupov zo strany zástupcu partnerov.</w:t>
      </w:r>
    </w:p>
    <w:p w14:paraId="26840C37" w14:textId="77777777" w:rsidR="00B650E5" w:rsidRDefault="00B650E5">
      <w:pPr>
        <w:numPr>
          <w:ilvl w:val="0"/>
          <w:numId w:val="63"/>
        </w:numPr>
        <w:spacing w:before="120" w:after="120"/>
        <w:ind w:left="425" w:hanging="425"/>
        <w:jc w:val="both"/>
      </w:pPr>
      <w:r>
        <w:t>Súčasťou príručky pre odborných hodnotiteľov môže byť aj etický kódex odborného hodnotiteľa.</w:t>
      </w:r>
    </w:p>
    <w:p w14:paraId="32D557B9" w14:textId="77777777" w:rsidR="00B650E5" w:rsidRDefault="00B650E5">
      <w:pPr>
        <w:pStyle w:val="SRK3"/>
      </w:pPr>
      <w:bookmarkStart w:id="146" w:name="_Toc453233980"/>
      <w:bookmarkStart w:id="147" w:name="_Toc495649339"/>
      <w:r>
        <w:t>2.4.4 Príručka pre žiadateľa</w:t>
      </w:r>
      <w:bookmarkEnd w:id="146"/>
      <w:bookmarkEnd w:id="147"/>
      <w:r>
        <w:t xml:space="preserve"> </w:t>
      </w:r>
      <w:bookmarkEnd w:id="145"/>
    </w:p>
    <w:p w14:paraId="3D932175" w14:textId="77777777" w:rsidR="00B650E5" w:rsidRDefault="00B650E5">
      <w:pPr>
        <w:numPr>
          <w:ilvl w:val="0"/>
          <w:numId w:val="59"/>
        </w:numPr>
        <w:spacing w:before="120" w:after="120"/>
        <w:ind w:left="426" w:hanging="426"/>
        <w:jc w:val="both"/>
        <w:rPr>
          <w:b/>
          <w:bCs/>
          <w:i/>
          <w:iCs/>
          <w:szCs w:val="22"/>
          <w:lang w:eastAsia="en-US"/>
        </w:rPr>
      </w:pPr>
      <w:bookmarkStart w:id="148" w:name="kapitola_244_ods_1"/>
      <w:r>
        <w:rPr>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14:paraId="507769C2" w14:textId="77777777" w:rsidR="00B650E5" w:rsidRDefault="00B650E5">
      <w:pPr>
        <w:numPr>
          <w:ilvl w:val="0"/>
          <w:numId w:val="59"/>
        </w:numPr>
        <w:spacing w:before="120" w:after="120"/>
        <w:ind w:left="426" w:hanging="426"/>
        <w:jc w:val="both"/>
        <w:rPr>
          <w:b/>
          <w:bCs/>
          <w:i/>
          <w:iCs/>
          <w:szCs w:val="22"/>
          <w:lang w:eastAsia="en-US"/>
        </w:rPr>
      </w:pPr>
      <w:bookmarkStart w:id="149" w:name="kapitola_244_ods_2"/>
      <w:bookmarkEnd w:id="148"/>
      <w:r>
        <w:rPr>
          <w:bCs/>
          <w:iCs/>
          <w:szCs w:val="22"/>
          <w:lang w:eastAsia="en-US"/>
        </w:rPr>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 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149"/>
    <w:p w14:paraId="102112AB" w14:textId="34E43B8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lastRenderedPageBreak/>
        <w:t>RO vypracuje príručku pre žiadateľa spravidla pre daný OP, príp. PO/špecifický cieľ alebo na</w:t>
      </w:r>
      <w:r w:rsidR="00742BA9" w:rsidRPr="00773876">
        <w:rPr>
          <w:bCs/>
          <w:iCs/>
          <w:szCs w:val="22"/>
          <w:lang w:eastAsia="en-US"/>
        </w:rPr>
        <w:t> </w:t>
      </w:r>
      <w:r w:rsidRPr="00773876">
        <w:rPr>
          <w:bCs/>
          <w:iCs/>
          <w:szCs w:val="22"/>
          <w:lang w:eastAsia="en-US"/>
        </w:rPr>
        <w:t xml:space="preserve">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14:paraId="5FD5DFC5"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 xml:space="preserve">RO pri vypracovaní príručky pre žiadateľa prihliada na minimalizovanie duplicitných informácií a na „user-friendly“ formát poskytnutých informácií. </w:t>
      </w:r>
    </w:p>
    <w:p w14:paraId="2AF66481" w14:textId="32CC6F94"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nie je oprávnený v príručke pre žiadateľa stanovovať podmienky poskytnutia príspevku nad</w:t>
      </w:r>
      <w:r w:rsidR="00773876">
        <w:rPr>
          <w:bCs/>
          <w:iCs/>
          <w:szCs w:val="22"/>
          <w:lang w:eastAsia="en-US"/>
        </w:rPr>
        <w:t> </w:t>
      </w:r>
      <w:r w:rsidRPr="00773876">
        <w:rPr>
          <w:bCs/>
          <w:iCs/>
          <w:szCs w:val="22"/>
          <w:lang w:eastAsia="en-US"/>
        </w:rPr>
        <w:t xml:space="preserve">rozsah stanovený vo výzve. </w:t>
      </w:r>
    </w:p>
    <w:p w14:paraId="497A7DD5" w14:textId="67E149D2"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S prihliadnutím na účel vypracovania príručky pre žiadateľa je obsah a štruktúra príručky pre</w:t>
      </w:r>
      <w:r w:rsidR="00773876">
        <w:rPr>
          <w:bCs/>
          <w:iCs/>
          <w:szCs w:val="22"/>
          <w:lang w:eastAsia="en-US"/>
        </w:rPr>
        <w:t> </w:t>
      </w:r>
      <w:r w:rsidRPr="00773876">
        <w:rPr>
          <w:bCs/>
          <w:iCs/>
          <w:szCs w:val="22"/>
          <w:lang w:eastAsia="en-US"/>
        </w:rPr>
        <w:t xml:space="preserve">žiadateľa v kompetencii RO, musí však obsahovať minimálne tieto informácie: </w:t>
      </w:r>
    </w:p>
    <w:p w14:paraId="7B3A2D77"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Všeobecné informácie</w:t>
      </w:r>
      <w:r w:rsidRPr="00773876">
        <w:rPr>
          <w:bCs/>
          <w:iCs/>
          <w:szCs w:val="22"/>
          <w:lang w:eastAsia="en-US"/>
        </w:rPr>
        <w:t xml:space="preserve"> – cieľ príručky, definícia pojmov, platnosť príručky; </w:t>
      </w:r>
    </w:p>
    <w:p w14:paraId="01EF2D50" w14:textId="48D9DAF3"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Pokyny pre žiadateľa v súvislosti s vypracovaním a predkladaním ŽoNFP</w:t>
      </w:r>
      <w:r w:rsidRPr="00773876">
        <w:rPr>
          <w:bCs/>
          <w:iCs/>
          <w:szCs w:val="22"/>
          <w:lang w:eastAsia="en-US"/>
        </w:rPr>
        <w:t xml:space="preserve"> – RO uvedie odkaz na dokument vypracovaný na úrovni CKO, ktorý popisuje spôsob vypracovania ŽoNFP prostredníctvom ITMS 2014+. Osobitne RO definuje spôsob predkladania ŽoNFP v podmienkach konkrétneho RO (osobné odovzdanie, poštová preprava a pod., miesto na</w:t>
      </w:r>
      <w:r w:rsidR="00773876">
        <w:rPr>
          <w:bCs/>
          <w:iCs/>
          <w:szCs w:val="22"/>
          <w:lang w:eastAsia="en-US"/>
        </w:rPr>
        <w:t> </w:t>
      </w:r>
      <w:r w:rsidRPr="00773876">
        <w:rPr>
          <w:bCs/>
          <w:iCs/>
          <w:szCs w:val="22"/>
          <w:lang w:eastAsia="en-US"/>
        </w:rPr>
        <w:t>zaslanie dokumentov);</w:t>
      </w:r>
    </w:p>
    <w:p w14:paraId="4FAA0BEF"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Postupy schvaľovania ŽoNFP</w:t>
      </w:r>
      <w:r>
        <w:rPr>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Pr>
          <w:t>v kapitol</w:t>
        </w:r>
        <w:r>
          <w:rPr>
            <w:rStyle w:val="Hypertextovprepojenie"/>
            <w:bCs/>
            <w:iCs/>
            <w:szCs w:val="22"/>
            <w:lang w:eastAsia="en-US"/>
          </w:rPr>
          <w:t>e</w:t>
        </w:r>
        <w:r>
          <w:rPr>
            <w:rStyle w:val="Hypertextovprepojenie"/>
          </w:rPr>
          <w:t xml:space="preserve"> </w:t>
        </w:r>
        <w:r>
          <w:rPr>
            <w:rStyle w:val="Hypertextovprepojenie"/>
            <w:bCs/>
            <w:iCs/>
            <w:szCs w:val="22"/>
            <w:lang w:eastAsia="en-US"/>
          </w:rPr>
          <w:t>3.</w:t>
        </w:r>
        <w:r>
          <w:rPr>
            <w:rStyle w:val="Hypertextovprepojenie"/>
          </w:rPr>
          <w:t>2</w:t>
        </w:r>
      </w:hyperlink>
      <w:r>
        <w:rPr>
          <w:bCs/>
          <w:iCs/>
          <w:szCs w:val="22"/>
          <w:lang w:eastAsia="en-US"/>
        </w:rPr>
        <w:t>, vrátane komplexného popisu riešenia opravných prostriedkov;</w:t>
      </w:r>
    </w:p>
    <w:p w14:paraId="4998C0AB"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 xml:space="preserve">Informácia o HP </w:t>
      </w:r>
      <w:r>
        <w:rPr>
          <w:bCs/>
          <w:iCs/>
          <w:szCs w:val="22"/>
          <w:lang w:eastAsia="en-US"/>
        </w:rPr>
        <w:t>– RO spolupracuje pri vypracúvaní relevantnej časti s gestormi HP;</w:t>
      </w:r>
    </w:p>
    <w:p w14:paraId="04243FBC" w14:textId="7B57EB34"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Odkaz na zverejnený štandardný formulár zmluvy o NFP a popis</w:t>
      </w:r>
      <w:r>
        <w:rPr>
          <w:bCs/>
          <w:iCs/>
          <w:szCs w:val="22"/>
          <w:lang w:eastAsia="en-US"/>
        </w:rPr>
        <w:t xml:space="preserve"> </w:t>
      </w:r>
      <w:r>
        <w:rPr>
          <w:b/>
          <w:bCs/>
          <w:iCs/>
          <w:szCs w:val="22"/>
          <w:lang w:eastAsia="en-US"/>
        </w:rPr>
        <w:t>postupov pre</w:t>
      </w:r>
      <w:r w:rsidR="00773876">
        <w:rPr>
          <w:b/>
          <w:bCs/>
          <w:iCs/>
          <w:szCs w:val="22"/>
          <w:lang w:eastAsia="en-US"/>
        </w:rPr>
        <w:t> </w:t>
      </w:r>
      <w:r>
        <w:rPr>
          <w:b/>
          <w:bCs/>
          <w:iCs/>
          <w:szCs w:val="22"/>
          <w:lang w:eastAsia="en-US"/>
        </w:rPr>
        <w:t>uzavretie zmluvy o NFP</w:t>
      </w:r>
      <w:r>
        <w:rPr>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bCs/>
          <w:iCs/>
          <w:szCs w:val="22"/>
          <w:lang w:eastAsia="en-US"/>
        </w:rPr>
        <w:t>implementácie projektov</w:t>
      </w:r>
      <w:r w:rsidR="00773876">
        <w:rPr>
          <w:bCs/>
          <w:iCs/>
          <w:szCs w:val="22"/>
          <w:lang w:eastAsia="en-US"/>
        </w:rPr>
        <w:t>;</w:t>
      </w:r>
      <w:r w:rsidRPr="009078F6">
        <w:rPr>
          <w:bCs/>
          <w:iCs/>
          <w:szCs w:val="22"/>
          <w:lang w:eastAsia="en-US"/>
        </w:rPr>
        <w:t xml:space="preserve"> </w:t>
      </w:r>
    </w:p>
    <w:p w14:paraId="7DADBA14"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Komunikácia</w:t>
      </w:r>
      <w:r>
        <w:rPr>
          <w:bCs/>
          <w:iCs/>
          <w:szCs w:val="22"/>
          <w:lang w:eastAsia="en-US"/>
        </w:rPr>
        <w:t xml:space="preserve"> </w:t>
      </w:r>
      <w:r>
        <w:rPr>
          <w:b/>
          <w:bCs/>
          <w:iCs/>
          <w:szCs w:val="22"/>
          <w:lang w:eastAsia="en-US"/>
        </w:rPr>
        <w:t>medzi žiadateľmi a RO počas trvania výzvy a konania o ŽoNFP</w:t>
      </w:r>
      <w:r>
        <w:rPr>
          <w:bCs/>
          <w:iCs/>
          <w:szCs w:val="22"/>
          <w:lang w:eastAsia="en-US"/>
        </w:rPr>
        <w:t xml:space="preserve">. </w:t>
      </w:r>
    </w:p>
    <w:p w14:paraId="0CC8869B" w14:textId="77777777" w:rsidR="00B650E5" w:rsidRDefault="00B650E5">
      <w:pPr>
        <w:numPr>
          <w:ilvl w:val="0"/>
          <w:numId w:val="59"/>
        </w:numPr>
        <w:spacing w:before="120" w:after="120"/>
        <w:ind w:left="426" w:hanging="426"/>
        <w:jc w:val="both"/>
        <w:rPr>
          <w:bCs/>
          <w:iCs/>
          <w:szCs w:val="22"/>
          <w:lang w:eastAsia="en-US"/>
        </w:rPr>
      </w:pPr>
      <w:r>
        <w:rPr>
          <w:bCs/>
          <w:iCs/>
          <w:szCs w:val="22"/>
          <w:lang w:eastAsia="en-US"/>
        </w:rPr>
        <w:t xml:space="preserve">RO definuje informácie uvedené v predchádzajúcom odseku vo vhodnej a dostatočne podrobnej forme tak, aby minimalizoval riziko nesprávneho vypracovania a predloženia ŽoNFP. </w:t>
      </w:r>
    </w:p>
    <w:p w14:paraId="03E0AD2C" w14:textId="77777777" w:rsidR="00B650E5" w:rsidRDefault="00B650E5">
      <w:pPr>
        <w:numPr>
          <w:ilvl w:val="0"/>
          <w:numId w:val="59"/>
        </w:numPr>
        <w:spacing w:before="120" w:after="120"/>
        <w:ind w:left="426" w:hanging="426"/>
        <w:jc w:val="both"/>
        <w:rPr>
          <w:lang w:eastAsia="en-US"/>
        </w:rPr>
      </w:pPr>
      <w:r>
        <w:rPr>
          <w:bCs/>
          <w:iCs/>
          <w:szCs w:val="22"/>
          <w:lang w:eastAsia="en-US"/>
        </w:rPr>
        <w:t>Príručka pre žiadateľa neobsahuje informácie týkajúce sa realizácie projektov. Tieto informácie sú obsahom príručky pre prijímateľa.</w:t>
      </w:r>
    </w:p>
    <w:p w14:paraId="5D6021B0" w14:textId="77777777" w:rsidR="00B650E5" w:rsidRDefault="00B650E5">
      <w:pPr>
        <w:numPr>
          <w:ilvl w:val="0"/>
          <w:numId w:val="59"/>
        </w:numPr>
        <w:spacing w:before="120" w:after="120"/>
        <w:ind w:left="426" w:hanging="426"/>
        <w:jc w:val="both"/>
        <w:rPr>
          <w:lang w:eastAsia="en-US"/>
        </w:rPr>
      </w:pPr>
      <w:r>
        <w:rPr>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bCs/>
            <w:iCs/>
            <w:szCs w:val="22"/>
            <w:lang w:eastAsia="en-US"/>
          </w:rPr>
          <w:t>ods. 2 tejto kapitoly</w:t>
        </w:r>
      </w:hyperlink>
      <w:r>
        <w:rPr>
          <w:bCs/>
          <w:iCs/>
          <w:szCs w:val="22"/>
          <w:lang w:eastAsia="en-US"/>
        </w:rPr>
        <w:t>) ako prílohu výzvy na predkladanie projektových zámerov.</w:t>
      </w:r>
    </w:p>
    <w:p w14:paraId="4BF93953" w14:textId="77777777" w:rsidR="00B650E5" w:rsidRDefault="00B650E5">
      <w:pPr>
        <w:pStyle w:val="SRK3"/>
        <w:tabs>
          <w:tab w:val="left" w:pos="7950"/>
        </w:tabs>
      </w:pPr>
      <w:bookmarkStart w:id="150" w:name="_Toc453233981"/>
      <w:bookmarkStart w:id="151" w:name="_Toc495649340"/>
      <w:r>
        <w:t>2.4.5 Príručka pre prijímateľa</w:t>
      </w:r>
      <w:bookmarkEnd w:id="150"/>
      <w:bookmarkEnd w:id="151"/>
    </w:p>
    <w:p w14:paraId="3318FD92" w14:textId="77777777" w:rsidR="00B650E5" w:rsidRDefault="00B650E5">
      <w:pPr>
        <w:numPr>
          <w:ilvl w:val="0"/>
          <w:numId w:val="60"/>
        </w:numPr>
        <w:spacing w:before="120" w:after="120"/>
        <w:ind w:left="426" w:hanging="426"/>
        <w:jc w:val="both"/>
        <w:rPr>
          <w:bCs/>
          <w:iCs/>
          <w:szCs w:val="22"/>
          <w:lang w:eastAsia="en-US"/>
        </w:rPr>
      </w:pPr>
      <w:bookmarkStart w:id="152" w:name="_Toc378947492"/>
      <w:r>
        <w:rPr>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 v relevantných prípadoch (najmä ak to nie je zrejmé zo samotného popisu nedostatku) opisuje spôsoby ich eliminácie. </w:t>
      </w:r>
    </w:p>
    <w:p w14:paraId="60C48A67" w14:textId="1E661F89" w:rsidR="00B650E5" w:rsidRDefault="00B650E5">
      <w:pPr>
        <w:numPr>
          <w:ilvl w:val="0"/>
          <w:numId w:val="60"/>
        </w:numPr>
        <w:spacing w:before="120" w:after="120"/>
        <w:ind w:left="426" w:hanging="426"/>
        <w:jc w:val="both"/>
        <w:rPr>
          <w:bCs/>
          <w:iCs/>
          <w:szCs w:val="22"/>
          <w:lang w:eastAsia="en-US"/>
        </w:rPr>
      </w:pPr>
      <w:r>
        <w:rPr>
          <w:bCs/>
          <w:iCs/>
          <w:szCs w:val="22"/>
          <w:lang w:eastAsia="en-US"/>
        </w:rPr>
        <w:lastRenderedPageBreak/>
        <w:t xml:space="preserve">RO vypracuje príručku pre prijímateľa spravidla pre daný OP, príp. PO/špecifický cieľ, prípadne pre vecne podobnú skupinu projektov a/alebo prijímateľov. </w:t>
      </w:r>
    </w:p>
    <w:p w14:paraId="6EFE6C61"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RO pri vypracovaní príručky pre prijímateľa prihliada na minimalizovanie duplicitných informácií a na „user-friendly“ formát poskytnutých informácií. Príručka pre prijímateľa obsahuje predovšetkým popis aplikácie a procesný spôsob výkonu jednotlivých práv a povinností, ktoré musia byť vždy primárne určené v zmluve o NFP.</w:t>
      </w:r>
    </w:p>
    <w:p w14:paraId="3190B2B6" w14:textId="4ED48EBB" w:rsidR="00B650E5" w:rsidRDefault="00B650E5">
      <w:pPr>
        <w:numPr>
          <w:ilvl w:val="0"/>
          <w:numId w:val="60"/>
        </w:numPr>
        <w:spacing w:before="120" w:after="120"/>
        <w:ind w:left="426" w:hanging="426"/>
        <w:jc w:val="both"/>
        <w:rPr>
          <w:bCs/>
          <w:iCs/>
          <w:szCs w:val="22"/>
          <w:lang w:eastAsia="en-US"/>
        </w:rPr>
      </w:pPr>
      <w:r>
        <w:rPr>
          <w:bCs/>
          <w:iCs/>
          <w:szCs w:val="22"/>
          <w:lang w:eastAsia="en-US"/>
        </w:rPr>
        <w:t>S prihliadnutím na účel vypracovania príručky pre prijímateľa je obsah a štruktúra príručky pre</w:t>
      </w:r>
      <w:r w:rsidR="00773876">
        <w:rPr>
          <w:bCs/>
          <w:iCs/>
          <w:szCs w:val="22"/>
          <w:lang w:eastAsia="en-US"/>
        </w:rPr>
        <w:t> </w:t>
      </w:r>
      <w:r>
        <w:rPr>
          <w:bCs/>
          <w:iCs/>
          <w:szCs w:val="22"/>
          <w:lang w:eastAsia="en-US"/>
        </w:rPr>
        <w:t>prijímateľa v kompetencii RO, musí však obsahovať minimálne tieto informácie:</w:t>
      </w:r>
    </w:p>
    <w:p w14:paraId="1724B222"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Všeobecné informácie</w:t>
      </w:r>
      <w:r>
        <w:rPr>
          <w:bCs/>
          <w:iCs/>
          <w:szCs w:val="22"/>
          <w:lang w:eastAsia="en-US"/>
        </w:rPr>
        <w:t xml:space="preserve"> – cieľ príručky, platnosť príručky; </w:t>
      </w:r>
    </w:p>
    <w:p w14:paraId="75D276CC" w14:textId="4B746C1B" w:rsidR="00B650E5" w:rsidRPr="00773876" w:rsidRDefault="00B650E5">
      <w:pPr>
        <w:numPr>
          <w:ilvl w:val="1"/>
          <w:numId w:val="227"/>
        </w:numPr>
        <w:spacing w:before="120" w:after="120"/>
        <w:ind w:left="851" w:hanging="425"/>
        <w:jc w:val="both"/>
        <w:rPr>
          <w:b/>
          <w:bCs/>
          <w:iCs/>
          <w:szCs w:val="22"/>
          <w:lang w:eastAsia="en-US"/>
        </w:rPr>
      </w:pPr>
      <w:r>
        <w:rPr>
          <w:b/>
          <w:bCs/>
          <w:iCs/>
          <w:szCs w:val="22"/>
          <w:lang w:eastAsia="en-US"/>
        </w:rPr>
        <w:t xml:space="preserve">Informácie o spôsoboch kontroly projektov, vrátane finančnej kontroly VO – </w:t>
      </w:r>
      <w:r>
        <w:rPr>
          <w:bCs/>
          <w:iCs/>
          <w:szCs w:val="22"/>
          <w:lang w:eastAsia="en-US"/>
        </w:rPr>
        <w:t xml:space="preserve">osobitná časť týkajúca sa kontroly VO definuje aj pravidlá pre zverejňovanie zákaziek nad 15 000 EUR bez DPH na webovom sídle prijímateľa v súlade s postupom </w:t>
      </w:r>
      <w:r w:rsidRPr="00773876">
        <w:rPr>
          <w:bCs/>
          <w:iCs/>
          <w:szCs w:val="22"/>
          <w:lang w:eastAsia="en-US"/>
        </w:rPr>
        <w:t>upraveným v</w:t>
      </w:r>
      <w:r w:rsidR="00773876">
        <w:rPr>
          <w:bCs/>
          <w:iCs/>
          <w:szCs w:val="22"/>
          <w:lang w:eastAsia="en-US"/>
        </w:rPr>
        <w:t> </w:t>
      </w:r>
      <w:hyperlink w:anchor="kapitola_337251" w:history="1">
        <w:r w:rsidR="00773876" w:rsidRPr="00773876">
          <w:rPr>
            <w:rStyle w:val="Hypertextovprepojenie"/>
            <w:bCs/>
            <w:iCs/>
            <w:szCs w:val="22"/>
            <w:lang w:eastAsia="en-US"/>
          </w:rPr>
          <w:t>kapitol</w:t>
        </w:r>
        <w:r w:rsidR="00773876">
          <w:rPr>
            <w:rStyle w:val="Hypertextovprepojenie"/>
            <w:bCs/>
            <w:iCs/>
            <w:szCs w:val="22"/>
            <w:lang w:eastAsia="en-US"/>
          </w:rPr>
          <w:t>e 3.3.7.2.5.1</w:t>
        </w:r>
      </w:hyperlink>
      <w:r w:rsidR="00773876">
        <w:rPr>
          <w:bCs/>
          <w:iCs/>
          <w:szCs w:val="22"/>
          <w:lang w:eastAsia="en-US"/>
        </w:rPr>
        <w:t>;</w:t>
      </w:r>
    </w:p>
    <w:p w14:paraId="26247602"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w:t>
      </w:r>
      <w:r>
        <w:rPr>
          <w:bCs/>
          <w:iCs/>
          <w:szCs w:val="22"/>
          <w:lang w:eastAsia="en-US"/>
        </w:rPr>
        <w:t xml:space="preserve"> </w:t>
      </w:r>
      <w:r>
        <w:rPr>
          <w:b/>
          <w:bCs/>
          <w:iCs/>
          <w:szCs w:val="22"/>
          <w:lang w:eastAsia="en-US"/>
        </w:rPr>
        <w:t>o spôsobe poskytovania informácií</w:t>
      </w:r>
      <w:r>
        <w:rPr>
          <w:bCs/>
          <w:iCs/>
          <w:szCs w:val="22"/>
          <w:lang w:eastAsia="en-US"/>
        </w:rPr>
        <w:t xml:space="preserve"> </w:t>
      </w:r>
      <w:r>
        <w:rPr>
          <w:b/>
          <w:bCs/>
          <w:iCs/>
          <w:szCs w:val="22"/>
          <w:lang w:eastAsia="en-US"/>
        </w:rPr>
        <w:t>a dát</w:t>
      </w:r>
      <w:r>
        <w:rPr>
          <w:bCs/>
          <w:iCs/>
          <w:szCs w:val="22"/>
          <w:lang w:eastAsia="en-US"/>
        </w:rPr>
        <w:t xml:space="preserve"> pre RO, predkladania monitorovacích správ; </w:t>
      </w:r>
    </w:p>
    <w:p w14:paraId="5FCFF4FB"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 o postupe pri zmenách projektu v priebehu implementácie</w:t>
      </w:r>
      <w:r>
        <w:rPr>
          <w:bCs/>
          <w:iCs/>
          <w:szCs w:val="22"/>
          <w:lang w:eastAsia="en-US"/>
        </w:rPr>
        <w:t>;</w:t>
      </w:r>
    </w:p>
    <w:p w14:paraId="47F61B3F" w14:textId="77777777" w:rsidR="00B650E5" w:rsidRDefault="00B650E5">
      <w:pPr>
        <w:numPr>
          <w:ilvl w:val="1"/>
          <w:numId w:val="227"/>
        </w:numPr>
        <w:spacing w:before="120" w:after="120"/>
        <w:ind w:left="851" w:hanging="425"/>
        <w:jc w:val="both"/>
        <w:rPr>
          <w:b/>
          <w:bCs/>
          <w:iCs/>
          <w:szCs w:val="22"/>
          <w:lang w:eastAsia="en-US"/>
        </w:rPr>
      </w:pPr>
      <w:r>
        <w:rPr>
          <w:b/>
          <w:bCs/>
          <w:iCs/>
          <w:szCs w:val="22"/>
          <w:lang w:eastAsia="en-US"/>
        </w:rPr>
        <w:t>Informácie o financovaní projektu</w:t>
      </w:r>
      <w:r>
        <w:rPr>
          <w:bCs/>
          <w:iCs/>
          <w:szCs w:val="22"/>
          <w:lang w:eastAsia="en-US"/>
        </w:rPr>
        <w:t>;</w:t>
      </w:r>
      <w:r>
        <w:rPr>
          <w:b/>
          <w:bCs/>
          <w:iCs/>
          <w:szCs w:val="22"/>
          <w:lang w:eastAsia="en-US"/>
        </w:rPr>
        <w:t xml:space="preserve"> </w:t>
      </w:r>
    </w:p>
    <w:p w14:paraId="47802677" w14:textId="4C642F49"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Informácie obsahujúce sumár </w:t>
      </w:r>
      <w:r>
        <w:rPr>
          <w:b/>
          <w:bCs/>
          <w:iCs/>
          <w:szCs w:val="22"/>
          <w:lang w:eastAsia="en-US"/>
        </w:rPr>
        <w:t>najčastejších identifikovaných chýb</w:t>
      </w:r>
      <w:r>
        <w:rPr>
          <w:bCs/>
          <w:iCs/>
          <w:szCs w:val="22"/>
          <w:lang w:eastAsia="en-US"/>
        </w:rPr>
        <w:t xml:space="preserve"> v priebehu</w:t>
      </w:r>
      <w:r w:rsidR="00773876">
        <w:rPr>
          <w:bCs/>
          <w:iCs/>
          <w:szCs w:val="22"/>
          <w:lang w:eastAsia="en-US"/>
        </w:rPr>
        <w:t xml:space="preserve"> </w:t>
      </w:r>
      <w:r>
        <w:rPr>
          <w:bCs/>
          <w:iCs/>
          <w:szCs w:val="22"/>
          <w:lang w:eastAsia="en-US"/>
        </w:rPr>
        <w:t>implementácie projektov (ak relevantné s ohľadom na predchádzajúce skúsenosti RO s podobnými chybami v rámci implementácie projektov);</w:t>
      </w:r>
    </w:p>
    <w:p w14:paraId="1A507042"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Komunikácia medzi prijímateľmi a RO počas implementácie projektov. </w:t>
      </w:r>
    </w:p>
    <w:p w14:paraId="1AEF6354" w14:textId="6A7E98BE" w:rsidR="00B650E5" w:rsidRPr="007A00B7" w:rsidRDefault="00B650E5" w:rsidP="00DE5D89">
      <w:pPr>
        <w:numPr>
          <w:ilvl w:val="0"/>
          <w:numId w:val="60"/>
        </w:numPr>
        <w:spacing w:before="120" w:after="120"/>
        <w:ind w:left="426" w:hanging="426"/>
        <w:jc w:val="both"/>
        <w:rPr>
          <w:bCs/>
          <w:iCs/>
          <w:szCs w:val="22"/>
          <w:lang w:eastAsia="en-US"/>
        </w:rPr>
      </w:pPr>
      <w:r>
        <w:rPr>
          <w:bCs/>
          <w:iCs/>
          <w:szCs w:val="22"/>
          <w:lang w:eastAsia="en-US"/>
        </w:rPr>
        <w:t>RO zverejňuje príručku pre prijímateľa a každú jej aktualizáciu na svojom webovom sídle s jasným označením verzie a dátumu, od kedy je predmetná verzia účinná. Príručka pre</w:t>
      </w:r>
      <w:r w:rsidR="00D45D1E">
        <w:rPr>
          <w:bCs/>
          <w:iCs/>
          <w:szCs w:val="22"/>
          <w:lang w:eastAsia="en-US"/>
        </w:rPr>
        <w:t> </w:t>
      </w:r>
      <w:r>
        <w:rPr>
          <w:bCs/>
          <w:iCs/>
          <w:szCs w:val="22"/>
          <w:lang w:eastAsia="en-US"/>
        </w:rPr>
        <w:t xml:space="preserve">prijímateľa a jej aktualizácia nesmie nadobudnúť účinnosť skôr ako došlo k jej zverejneniu. </w:t>
      </w:r>
      <w:r w:rsidRPr="009078F6">
        <w:rPr>
          <w:bCs/>
          <w:iCs/>
          <w:szCs w:val="22"/>
          <w:lang w:eastAsia="en-US"/>
        </w:rPr>
        <w:t>Informácie týkajúce sa implementácie projektov, ktoré sú obsiahnuté v P</w:t>
      </w:r>
      <w:r w:rsidRPr="007A00B7">
        <w:rPr>
          <w:bCs/>
          <w:iCs/>
          <w:szCs w:val="22"/>
          <w:lang w:eastAsia="en-US"/>
        </w:rPr>
        <w:t xml:space="preserve">ríručke pre prijímateľa a tiež v Zmluve o NFP, vrátane požiadaviek týkajúcich sa VO, finančného plánu a časového obmedzenia realizácie projektov musia byť k dispozícii pre potenciálnych prijímateľov, </w:t>
      </w:r>
      <w:r w:rsidR="00C93F30">
        <w:rPr>
          <w:bCs/>
          <w:iCs/>
          <w:szCs w:val="22"/>
          <w:lang w:eastAsia="en-US"/>
        </w:rPr>
        <w:t xml:space="preserve">t. j. </w:t>
      </w:r>
      <w:r w:rsidRPr="007A00B7">
        <w:rPr>
          <w:bCs/>
          <w:iCs/>
          <w:szCs w:val="22"/>
          <w:lang w:eastAsia="en-US"/>
        </w:rPr>
        <w:t xml:space="preserve"> zverejnené na webovom sídle najneskôr v čase vyhlásenia výzvy.</w:t>
      </w:r>
    </w:p>
    <w:p w14:paraId="6CC24EB3" w14:textId="77777777" w:rsidR="00B650E5" w:rsidRDefault="00B650E5">
      <w:pPr>
        <w:pStyle w:val="SRK3"/>
      </w:pPr>
      <w:bookmarkStart w:id="153" w:name="_Toc453233982"/>
      <w:bookmarkStart w:id="154" w:name="_Toc495649341"/>
      <w:r>
        <w:t>2.4.6 Merateľné ukazovatele</w:t>
      </w:r>
      <w:bookmarkEnd w:id="153"/>
      <w:bookmarkEnd w:id="154"/>
    </w:p>
    <w:p w14:paraId="75522A47" w14:textId="77777777" w:rsidR="00B650E5" w:rsidRDefault="00B650E5">
      <w:pPr>
        <w:numPr>
          <w:ilvl w:val="0"/>
          <w:numId w:val="306"/>
        </w:numPr>
        <w:spacing w:before="120" w:after="120"/>
        <w:ind w:left="425" w:hanging="425"/>
        <w:jc w:val="both"/>
        <w:rPr>
          <w:szCs w:val="22"/>
          <w:lang w:eastAsia="en-US"/>
        </w:rPr>
      </w:pPr>
      <w:r>
        <w:rPr>
          <w:szCs w:val="22"/>
          <w:lang w:eastAsia="en-US"/>
        </w:rPr>
        <w:t xml:space="preserve">V súvislosti s prípravou OP je RO zodpovedný za nastavenie efektívneho a účinného systému merateľných ukazovateľov na úrovni OP. </w:t>
      </w:r>
    </w:p>
    <w:p w14:paraId="6C2CCC5E" w14:textId="77777777" w:rsidR="00B650E5" w:rsidRDefault="00B650E5">
      <w:pPr>
        <w:numPr>
          <w:ilvl w:val="0"/>
          <w:numId w:val="306"/>
        </w:numPr>
        <w:spacing w:before="120" w:after="120"/>
        <w:ind w:left="425" w:hanging="425"/>
        <w:jc w:val="both"/>
        <w:rPr>
          <w:szCs w:val="22"/>
          <w:lang w:eastAsia="en-US"/>
        </w:rPr>
      </w:pPr>
      <w:r>
        <w:rPr>
          <w:szCs w:val="22"/>
          <w:lang w:eastAsia="en-US"/>
        </w:rPr>
        <w:t>V nadväznosti na stanovenie efektívneho systému merateľných ukazovateľov OP je RO zodpovedný rovnako za nastavenie účinného systému ukazovateľov projektov.</w:t>
      </w:r>
    </w:p>
    <w:p w14:paraId="0DA9259E" w14:textId="77777777" w:rsidR="00B650E5" w:rsidRDefault="00B650E5">
      <w:pPr>
        <w:numPr>
          <w:ilvl w:val="0"/>
          <w:numId w:val="306"/>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14:paraId="2D14CE6E" w14:textId="77777777" w:rsidR="00B650E5" w:rsidRDefault="00B650E5">
      <w:pPr>
        <w:numPr>
          <w:ilvl w:val="1"/>
          <w:numId w:val="307"/>
        </w:numPr>
        <w:spacing w:before="120" w:after="120"/>
        <w:ind w:left="851" w:hanging="425"/>
        <w:rPr>
          <w:lang w:val="pl-PL"/>
        </w:rPr>
      </w:pPr>
      <w:r>
        <w:rPr>
          <w:lang w:val="pl-PL"/>
        </w:rPr>
        <w:t>finančné ukazovatele súvisiace s vyčlenenými výdavkami;</w:t>
      </w:r>
    </w:p>
    <w:p w14:paraId="12401600" w14:textId="77777777" w:rsidR="00B650E5" w:rsidRDefault="00B650E5" w:rsidP="00997CB0">
      <w:pPr>
        <w:numPr>
          <w:ilvl w:val="1"/>
          <w:numId w:val="307"/>
        </w:numPr>
        <w:spacing w:before="120" w:after="120"/>
        <w:ind w:left="851" w:hanging="425"/>
        <w:jc w:val="both"/>
        <w:rPr>
          <w:lang w:val="pl-PL"/>
        </w:rPr>
      </w:pPr>
      <w:r>
        <w:rPr>
          <w:lang w:val="pl-PL"/>
        </w:rPr>
        <w:t>ukazovatele výstupov súvisiace s podporovanými operáciami; (čl. 96 ods. 2, písm. b) (iv) všeobecného nariadenia);</w:t>
      </w:r>
    </w:p>
    <w:p w14:paraId="3F98AEC7" w14:textId="77777777" w:rsidR="00B650E5" w:rsidRDefault="00B650E5">
      <w:pPr>
        <w:numPr>
          <w:ilvl w:val="1"/>
          <w:numId w:val="307"/>
        </w:numPr>
        <w:spacing w:before="120" w:after="120"/>
        <w:ind w:left="851" w:hanging="425"/>
        <w:jc w:val="both"/>
      </w:pPr>
      <w:r>
        <w:rPr>
          <w:lang w:val="pl-PL"/>
        </w:rPr>
        <w:t>ukazovatele výsledkov vzťahujúce sa na definované špecifické ciele OP (čl. 96 ods. 2, písm. b) (ii) všeobecného nariadenia).</w:t>
      </w:r>
    </w:p>
    <w:p w14:paraId="5F75EBA5" w14:textId="1C525466" w:rsidR="00B650E5" w:rsidRDefault="00B650E5">
      <w:pPr>
        <w:numPr>
          <w:ilvl w:val="0"/>
          <w:numId w:val="306"/>
        </w:numPr>
        <w:spacing w:before="120" w:after="120"/>
        <w:ind w:left="425" w:hanging="425"/>
        <w:jc w:val="both"/>
      </w:pPr>
      <w:r>
        <w:rPr>
          <w:szCs w:val="22"/>
          <w:lang w:eastAsia="en-US"/>
        </w:rPr>
        <w:lastRenderedPageBreak/>
        <w:t xml:space="preserve">Overenie správneho nastavenia je súčasťou schvaľovania OP v rámci overenia splnenia </w:t>
      </w:r>
      <w:r w:rsidR="00FB1D18">
        <w:rPr>
          <w:szCs w:val="22"/>
          <w:lang w:eastAsia="en-US"/>
        </w:rPr>
        <w:t>ex ante</w:t>
      </w:r>
      <w:r>
        <w:rPr>
          <w:szCs w:val="22"/>
          <w:lang w:eastAsia="en-US"/>
        </w:rPr>
        <w:t xml:space="preserve"> kondicionality - štatistické systémy a ukazovatele výsledku. RO uchováva podpornú dokumentáciu k určeniu merateľných ukazovateľov na úrovni OP a stanovenia ich hodnôt za</w:t>
      </w:r>
      <w:r w:rsidR="00D45D1E">
        <w:rPr>
          <w:szCs w:val="22"/>
          <w:lang w:eastAsia="en-US"/>
        </w:rPr>
        <w:t> </w:t>
      </w:r>
      <w:r>
        <w:rPr>
          <w:szCs w:val="22"/>
          <w:lang w:eastAsia="en-US"/>
        </w:rPr>
        <w:t>účelom možného overenia postupov pri nastavovaní systému merateľných ukazovateľov na</w:t>
      </w:r>
      <w:r w:rsidR="00D45D1E">
        <w:rPr>
          <w:szCs w:val="22"/>
          <w:lang w:eastAsia="en-US"/>
        </w:rPr>
        <w:t> </w:t>
      </w:r>
      <w:r>
        <w:rPr>
          <w:szCs w:val="22"/>
          <w:lang w:eastAsia="en-US"/>
        </w:rPr>
        <w:t>úrovni OP.</w:t>
      </w:r>
    </w:p>
    <w:p w14:paraId="49DE1399" w14:textId="77777777" w:rsidR="00B650E5" w:rsidRDefault="00B650E5" w:rsidP="0045286B">
      <w:pPr>
        <w:pStyle w:val="SRK4"/>
      </w:pPr>
      <w:bookmarkStart w:id="155" w:name="_Toc453233983"/>
      <w:bookmarkStart w:id="156" w:name="_Toc495649342"/>
      <w:r>
        <w:t>2.4.6.1 Merateľné ukazovatele na úrovni projektov</w:t>
      </w:r>
      <w:bookmarkEnd w:id="155"/>
      <w:bookmarkEnd w:id="156"/>
    </w:p>
    <w:p w14:paraId="67A2BBAE" w14:textId="1D7CA15A" w:rsidR="00B650E5" w:rsidRDefault="00B650E5">
      <w:pPr>
        <w:numPr>
          <w:ilvl w:val="0"/>
          <w:numId w:val="308"/>
        </w:numPr>
        <w:spacing w:before="120" w:after="120"/>
        <w:ind w:left="426" w:hanging="426"/>
        <w:jc w:val="both"/>
      </w:pPr>
      <w:r>
        <w:t xml:space="preserve">RO zostavuje návrh merateľných ukazovateľov na úrovni projektov, za ktorých plnenie a vyhodnocovanie zodpovedá prijímateľ na úrovni schváleného projektu. </w:t>
      </w:r>
    </w:p>
    <w:p w14:paraId="69070003" w14:textId="77777777" w:rsidR="00B650E5" w:rsidRDefault="00B650E5">
      <w:pPr>
        <w:numPr>
          <w:ilvl w:val="0"/>
          <w:numId w:val="308"/>
        </w:numPr>
        <w:spacing w:before="120" w:after="120"/>
        <w:ind w:left="426" w:hanging="426"/>
        <w:jc w:val="both"/>
      </w:pPr>
      <w:r>
        <w:t>Merateľné ukazovatele na úrovni projektu majú zabezpečiť, aby RO mal možnosť sledovať a záväzne stanoviť ciele, ktoré majú byť realizáciou projektu dosiahnuté a ktorými sa zabezpečí dosahovanie cieľov na úrovni OP.</w:t>
      </w:r>
    </w:p>
    <w:p w14:paraId="4C987251" w14:textId="7192D92D" w:rsidR="00B650E5" w:rsidRDefault="00B650E5">
      <w:pPr>
        <w:numPr>
          <w:ilvl w:val="0"/>
          <w:numId w:val="308"/>
        </w:numPr>
        <w:spacing w:before="120" w:after="120"/>
        <w:ind w:left="426" w:hanging="426"/>
        <w:jc w:val="both"/>
      </w:pPr>
      <w:r>
        <w:t>RO zodpovedá za návrh merateľných ukazovateľov na úrovni projektu za relevantný OP. RO pri</w:t>
      </w:r>
      <w:r w:rsidR="00D45D1E">
        <w:t> </w:t>
      </w:r>
      <w:r>
        <w:t>návrhu merateľných ukazovateľov na úrovni projektu zabezpečí, aby definovanými merateľnými ukazovateľmi boli pokryté všetky kľúčové aktivity, ktoré sú pre RO nevyhnutné na</w:t>
      </w:r>
      <w:r w:rsidR="00D45D1E">
        <w:t> </w:t>
      </w:r>
      <w:r>
        <w:t>správnu implementáciu OP, a zároveň aby takéto merateľné ukazovatele odzrkadľovali skutočné dosahovanie pokroku na úrovni projektu. V prípade, ak pre potreby monitorovania na</w:t>
      </w:r>
      <w:r w:rsidR="00D45D1E">
        <w:t> </w:t>
      </w:r>
      <w:r>
        <w:t>úrovni OP potrebuje RO štatistické údaje z jednotlivých projektov, ale zo strany prijímateľa nie je potrebné vopred stanovovať cieľovú hodnotu, resp. táto hodnota nebude pre prijímateľa záväzná, RO uvedené informácie získa prostredníctvom údajov vyžadovaných v rámci monitorovania projektu (ďalej len ,,iné údaje“). Tieto údaje nie sú získavané prostredníctvom merateľných ukazovateľov projektu, ale v priebehu implementácie projektu, na základe uzavretej zmluvy o NFP. RO sa odporúča, aby už v čase vyhlásenia výzvy mal potenciálny žiadateľ dostupnú informáciu o tom, že v prípade schválenia jeho ŽoNFP bude povinný poskytovať RO v stanovených termínoch iné údaje (informáciu je možné zakomponovať napr. v príručke pre</w:t>
      </w:r>
      <w:r w:rsidR="00D45D1E">
        <w:t> </w:t>
      </w:r>
      <w:r>
        <w:t>žiadateľa, ako prílohu výzvy alebo iným vhodným spôsob, dostupným pre žiadateľa).</w:t>
      </w:r>
    </w:p>
    <w:p w14:paraId="0F66779A" w14:textId="77777777" w:rsidR="00B650E5" w:rsidRDefault="00B650E5">
      <w:pPr>
        <w:numPr>
          <w:ilvl w:val="0"/>
          <w:numId w:val="308"/>
        </w:numPr>
        <w:spacing w:before="120" w:after="120"/>
        <w:ind w:left="426" w:hanging="426"/>
        <w:jc w:val="both"/>
      </w:pPr>
      <w:r>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14:paraId="6907112E" w14:textId="77777777" w:rsidR="00B650E5" w:rsidRDefault="00B650E5">
      <w:pPr>
        <w:numPr>
          <w:ilvl w:val="0"/>
          <w:numId w:val="308"/>
        </w:numPr>
        <w:spacing w:before="120" w:after="120"/>
        <w:ind w:left="426" w:hanging="426"/>
        <w:jc w:val="both"/>
      </w:pPr>
      <w:r>
        <w:t>RO pri návrhu merateľných ukazovateľov na úrovni projektu zabezpečí, aby každý merateľný ukazovateľ obsahoval nasledujúce náležitosti:</w:t>
      </w:r>
    </w:p>
    <w:p w14:paraId="3FE2AC22" w14:textId="77777777" w:rsidR="00B650E5" w:rsidRDefault="00B650E5">
      <w:pPr>
        <w:numPr>
          <w:ilvl w:val="1"/>
          <w:numId w:val="308"/>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14:paraId="75F25FA7" w14:textId="77777777" w:rsidR="00B650E5" w:rsidRDefault="00B650E5">
      <w:pPr>
        <w:numPr>
          <w:ilvl w:val="1"/>
          <w:numId w:val="308"/>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14:paraId="6E4C788F" w14:textId="303A4061" w:rsidR="00B650E5" w:rsidRDefault="00B650E5">
      <w:pPr>
        <w:numPr>
          <w:ilvl w:val="1"/>
          <w:numId w:val="308"/>
        </w:numPr>
        <w:spacing w:before="120" w:after="120"/>
        <w:ind w:left="851" w:hanging="425"/>
        <w:jc w:val="both"/>
      </w:pPr>
      <w:r>
        <w:rPr>
          <w:b/>
        </w:rPr>
        <w:t xml:space="preserve">Merná jednotka </w:t>
      </w:r>
      <w:r>
        <w:t>-  každý merateľný ukazovateľ musí mať určenú jednu mernú jednotu, ktorá bude jednotne používaná na úrovni všetkých prijímateľov. Definovaná merná jednotka je využívaná vo vzťahu k predmetnému merateľnému ukazovateľu počas celej doby implementácie OP a rovnako na úrovni všetkých OP využívajúcich rovnaký merateľný ukazovateľ tak, aby bolo možné monitorovať relevantné údaje z viacerých projektov v rôznom čase a porovnávať ich navzájom.</w:t>
      </w:r>
    </w:p>
    <w:p w14:paraId="06B9FF90" w14:textId="77777777" w:rsidR="00B650E5" w:rsidRDefault="00B650E5">
      <w:pPr>
        <w:numPr>
          <w:ilvl w:val="1"/>
          <w:numId w:val="308"/>
        </w:numPr>
        <w:spacing w:before="120" w:after="120"/>
        <w:ind w:left="851" w:hanging="425"/>
        <w:jc w:val="both"/>
      </w:pPr>
      <w:r>
        <w:rPr>
          <w:b/>
        </w:rPr>
        <w:lastRenderedPageBreak/>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14:paraId="288DE34C" w14:textId="77777777" w:rsidR="00B650E5" w:rsidRDefault="0053588C">
      <w:pPr>
        <w:numPr>
          <w:ilvl w:val="0"/>
          <w:numId w:val="308"/>
        </w:numPr>
        <w:spacing w:before="120" w:after="120"/>
        <w:ind w:left="425" w:hanging="425"/>
        <w:jc w:val="both"/>
      </w:pPr>
      <w:r>
        <w:rPr>
          <w:noProof/>
        </w:rPr>
        <w:drawing>
          <wp:anchor distT="12192" distB="0" distL="156972" distR="156972" simplePos="0" relativeHeight="251659264" behindDoc="0" locked="0" layoutInCell="1" allowOverlap="1" wp14:anchorId="79315274" wp14:editId="743527D8">
            <wp:simplePos x="0" y="0"/>
            <wp:positionH relativeFrom="column">
              <wp:posOffset>276352</wp:posOffset>
            </wp:positionH>
            <wp:positionV relativeFrom="paragraph">
              <wp:posOffset>568452</wp:posOffset>
            </wp:positionV>
            <wp:extent cx="5485765" cy="2218690"/>
            <wp:effectExtent l="76200" t="57150" r="114935" b="0"/>
            <wp:wrapTopAndBottom/>
            <wp:docPr id="83" name="Diagram 107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7" r:lo="rId48" r:qs="rId49" r:cs="rId50"/>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4144" behindDoc="0" locked="0" layoutInCell="1" allowOverlap="1" wp14:anchorId="3646857A" wp14:editId="4A7B6479">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14:paraId="374C7252" w14:textId="77777777" w:rsidR="00DF4E07" w:rsidRDefault="00DF4E07">
                            <w:pPr>
                              <w:jc w:val="center"/>
                            </w:pPr>
                            <w:r>
                              <w:rPr>
                                <w:sz w:val="18"/>
                                <w:szCs w:val="18"/>
                              </w:rPr>
                              <w:t>Základné princípy tvorby merateľných ukazovateľov na úrovni projektu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646857A" id="_x0000_t202" coordsize="21600,21600" o:spt="202" path="m,l,21600r21600,l21600,xe">
                <v:stroke joinstyle="miter"/>
                <v:path gradientshapeok="t" o:connecttype="rect"/>
              </v:shapetype>
              <v:shape id="Blok textu 1051" o:spid="_x0000_s1027" type="#_x0000_t202" style="position:absolute;left:0;text-align:left;margin-left:103.4pt;margin-top:194.45pt;width:279.75pt;height:2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N4BYQIAAMA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" fillcolor="window" stroked="f" strokeweight=".5pt">
                <v:path arrowok="t"/>
                <v:textbox>
                  <w:txbxContent>
                    <w:p w14:paraId="374C7252" w14:textId="77777777" w:rsidR="00DF4E07" w:rsidRDefault="00DF4E07">
                      <w:pPr>
                        <w:jc w:val="center"/>
                      </w:pPr>
                      <w:r>
                        <w:rPr>
                          <w:sz w:val="18"/>
                          <w:szCs w:val="18"/>
                        </w:rPr>
                        <w:t>Základné princípy tvorby merateľných ukazovateľov na úrovni projektu</w:t>
                      </w:r>
                    </w:p>
                  </w:txbxContent>
                </v:textbox>
              </v:shape>
            </w:pict>
          </mc:Fallback>
        </mc:AlternateContent>
      </w:r>
      <w:r w:rsidR="00B650E5">
        <w:t>RO pri tvorbe merateľných ukazovateľov projektu vychádza z ich priradenia k špecifickému cieľu na úrovni OP a relevantným typom aktivít, ktoré sú zadefinované na úrovni OP.</w:t>
      </w:r>
    </w:p>
    <w:p w14:paraId="6655A5FC" w14:textId="77777777" w:rsidR="00B650E5" w:rsidRDefault="00B650E5">
      <w:pPr>
        <w:numPr>
          <w:ilvl w:val="0"/>
          <w:numId w:val="308"/>
        </w:numPr>
        <w:spacing w:before="120" w:after="120"/>
        <w:ind w:left="426" w:hanging="426"/>
        <w:jc w:val="both"/>
      </w:pPr>
      <w:r>
        <w:t>V nadväznosti na relevantný špecifický cieľ a zodpovedajúce typy aktivít, RO definuje merateľné ukazovatele projektu nasledovným spôsobom:</w:t>
      </w:r>
    </w:p>
    <w:p w14:paraId="7ECDAA68" w14:textId="45C4869B" w:rsidR="00B650E5" w:rsidRDefault="00B650E5">
      <w:pPr>
        <w:numPr>
          <w:ilvl w:val="1"/>
          <w:numId w:val="308"/>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w:t>
      </w:r>
      <w:r w:rsidR="006F3B93">
        <w:t>,</w:t>
      </w:r>
      <w:r>
        <w:t xml:space="preserve"> ako aj špecifické ukazovatele výstupu). RO na projektovej úrovni vytvára merateľné ukazovatele tak, že ich definuje rovnakým spôsobom ako sú definované v OP, resp. spôsobom umožňujúcim ich priamu agregáciu na úroveň OP. Priamo sa na projektovú úroveň nedefinujú spoločné a špecifické merateľné ukazovatele OP v prípadoch, ak ide o merateľné ukazovatele, ktoré sú agregované na základe údajov z viacerých projektov a slúžia na</w:t>
      </w:r>
      <w:r w:rsidR="00D45D1E">
        <w:t> </w:t>
      </w:r>
      <w:r>
        <w:t xml:space="preserve">sledovanie údajov za subjekty (napr. počet podporených podnikov). </w:t>
      </w:r>
    </w:p>
    <w:p w14:paraId="330F4D45" w14:textId="1F6CB915" w:rsidR="00B650E5" w:rsidRDefault="00B650E5">
      <w:pPr>
        <w:numPr>
          <w:ilvl w:val="1"/>
          <w:numId w:val="308"/>
        </w:numPr>
        <w:spacing w:before="120" w:after="120"/>
        <w:ind w:left="851" w:hanging="425"/>
        <w:jc w:val="both"/>
      </w:pPr>
      <w:r>
        <w:rPr>
          <w:u w:val="single"/>
        </w:rPr>
        <w:t xml:space="preserve">RO definuje ďalšie merateľné ukazovatele projektu, </w:t>
      </w:r>
      <w:r>
        <w:t>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na úrovni projektu však platí, že musí byť jednoznačne priraditeľný k typom podporovaných aktivít a špecifickým cieľom na úrovni OP.</w:t>
      </w:r>
    </w:p>
    <w:p w14:paraId="6D1422B6" w14:textId="64F52B99" w:rsidR="00B650E5" w:rsidRPr="00AE34F1" w:rsidRDefault="00B650E5">
      <w:pPr>
        <w:numPr>
          <w:ilvl w:val="1"/>
          <w:numId w:val="308"/>
        </w:numPr>
        <w:spacing w:before="120" w:after="120"/>
        <w:ind w:left="851" w:hanging="425"/>
        <w:jc w:val="both"/>
      </w:pPr>
      <w:r w:rsidRPr="00AE34F1">
        <w:rPr>
          <w:u w:val="single"/>
        </w:rPr>
        <w:t>Na základe návrhu gestorov HP</w:t>
      </w:r>
      <w:r w:rsidRPr="00AE34F1">
        <w:t xml:space="preserve"> RO </w:t>
      </w:r>
      <w:r w:rsidR="002B722F">
        <w:t xml:space="preserve">požiada CKO o </w:t>
      </w:r>
      <w:r>
        <w:t>pri</w:t>
      </w:r>
      <w:r w:rsidRPr="00AE34F1">
        <w:t>rad</w:t>
      </w:r>
      <w:r w:rsidR="002B722F">
        <w:t>enie</w:t>
      </w:r>
      <w:r w:rsidRPr="00AE34F1">
        <w:t xml:space="preserve"> </w:t>
      </w:r>
      <w:r>
        <w:t>relevanci</w:t>
      </w:r>
      <w:r w:rsidR="00E96D5F">
        <w:t>e</w:t>
      </w:r>
      <w:r>
        <w:t xml:space="preserve"> HP k</w:t>
      </w:r>
      <w:r w:rsidRPr="00AE34F1">
        <w:t xml:space="preserve"> merateľn</w:t>
      </w:r>
      <w:r>
        <w:t>ým</w:t>
      </w:r>
      <w:r w:rsidRPr="00AE34F1">
        <w:t xml:space="preserve"> ukazovate</w:t>
      </w:r>
      <w:r>
        <w:t>ľom</w:t>
      </w:r>
      <w:r w:rsidRPr="00AE34F1">
        <w:t xml:space="preserve"> </w:t>
      </w:r>
      <w:r>
        <w:t xml:space="preserve">alebo </w:t>
      </w:r>
      <w:r w:rsidR="00D45D1E">
        <w:t xml:space="preserve">o </w:t>
      </w:r>
      <w:r>
        <w:t>vytvoren</w:t>
      </w:r>
      <w:r w:rsidR="00E335EF">
        <w:t>ie</w:t>
      </w:r>
      <w:r>
        <w:t xml:space="preserve"> iných údajov</w:t>
      </w:r>
      <w:r w:rsidRPr="00AE34F1">
        <w:t xml:space="preserve">, ktorými sa zabezpečí sledovanie príspevku k napĺňaniu HP. </w:t>
      </w:r>
      <w:r>
        <w:t>Relevancia HP k merateľným ukazovateľom je jedným z nástrojov sledovania príspevku k plneniu špecifických cieľov HP, nemá vplyv na plnenie podmienok poskytnutia príspevku a slúži výhradne pre potreby gestora HP. Zmena v relevancii HP nie je dôvodom potreby zmeny, resp. aktualizácie výzvy, ŽoNFP, zmluvy o NFP, monitorovacej správy a ďalších dokumentov, do ktorých sa v elektronickej verzii v ITMS 2014+ zmena automaticky premietne.</w:t>
      </w:r>
    </w:p>
    <w:p w14:paraId="4F4A06AD" w14:textId="753CF74D" w:rsidR="00B650E5" w:rsidRDefault="00B650E5" w:rsidP="000D39F8">
      <w:pPr>
        <w:numPr>
          <w:ilvl w:val="0"/>
          <w:numId w:val="308"/>
        </w:numPr>
        <w:spacing w:before="120" w:after="120"/>
        <w:ind w:left="426" w:hanging="426"/>
        <w:jc w:val="both"/>
      </w:pPr>
      <w:bookmarkStart w:id="157" w:name="kapitola_2461_ods_89"/>
      <w:r>
        <w:t xml:space="preserve">V rámci merateľných ukazovateľov definovaných v príslušnej výzve je RO oprávnený identifikovať také merateľné ukazovatele na úrovni projektu, ktorých dosiahnutie je objektívne ovplyvniteľné externými faktormi, a ktorých dosahovanie nie je plne v kompetencii prijímateľa (merateľné ukazovatele na úrovni projektu s príznakom). Nedosiahnutie plánovanej hodnoty takýchto merateľných ukazovateľov pri preukázaní daného externého vplyvu nemusí byť spojené </w:t>
      </w:r>
      <w:r>
        <w:lastRenderedPageBreak/>
        <w:t>s finančnou sankciou vo vzťahu k prijímateľovi. RO pri určení takýchto merateľných ukazovateľov vychádza z posúdenia miery externých vplyvov na dosahovanie stanovených hodnôt ukazovateľa, ako aj zo záväzkov, ktoré má RO vo vzťahu k dosahovaniu výstupov a cieľov na úrovni OP.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w:t>
      </w:r>
      <w:r w:rsidR="00D45D1E">
        <w:t> </w:t>
      </w:r>
      <w:r>
        <w:t>nedosiahnutí plánovanej hodnoty.</w:t>
      </w:r>
    </w:p>
    <w:bookmarkEnd w:id="157"/>
    <w:p w14:paraId="65EEF968" w14:textId="77777777" w:rsidR="00B650E5" w:rsidRDefault="00B650E5">
      <w:pPr>
        <w:numPr>
          <w:ilvl w:val="0"/>
          <w:numId w:val="308"/>
        </w:numPr>
        <w:spacing w:before="120" w:after="120"/>
        <w:ind w:left="426" w:hanging="426"/>
        <w:jc w:val="both"/>
      </w:pPr>
      <w:r>
        <w:t xml:space="preserve">RO v rámci výzvy na predkladanie projektových zámerov a výzvy definuje vo vzťahu k jednotlivým typom aktivít zodpovedajúce merateľné ukazovatele na úrovni projektu, ktoré bude musieť žiadateľ priradiť k hlavným aktivitám projektu, ak jeho projekt bude priradený k relevantnému typu aktivít. </w:t>
      </w:r>
    </w:p>
    <w:p w14:paraId="1BE2ED77" w14:textId="3EE84134" w:rsidR="00B650E5" w:rsidRDefault="00B650E5">
      <w:pPr>
        <w:numPr>
          <w:ilvl w:val="0"/>
          <w:numId w:val="308"/>
        </w:numPr>
        <w:spacing w:before="120" w:after="120"/>
        <w:ind w:left="426" w:hanging="426"/>
        <w:jc w:val="both"/>
      </w:pPr>
      <w:r>
        <w:t>V prípade OP RH je RO povinný používať spoločné ukazovatele v súlade s čl. 109 nariadenia o</w:t>
      </w:r>
      <w:r w:rsidR="00D45D1E">
        <w:t> </w:t>
      </w:r>
      <w:r>
        <w:t>ENRF.</w:t>
      </w:r>
    </w:p>
    <w:p w14:paraId="6BBCAA2C" w14:textId="77777777" w:rsidR="00B650E5" w:rsidRDefault="00B650E5">
      <w:pPr>
        <w:pStyle w:val="SRK5"/>
      </w:pPr>
      <w:bookmarkStart w:id="158" w:name="_Toc453233984"/>
      <w:bookmarkStart w:id="159" w:name="_Toc495649343"/>
      <w:r>
        <w:t>2.4.6.1.1 Používanie merateľných ukazovateľov projektu pri predkladaní ŽoNFP a počas implementácie projektu</w:t>
      </w:r>
      <w:bookmarkEnd w:id="158"/>
      <w:bookmarkEnd w:id="159"/>
    </w:p>
    <w:p w14:paraId="3FD93FD0" w14:textId="6F1A4805" w:rsidR="00B650E5" w:rsidRDefault="00B650E5">
      <w:pPr>
        <w:numPr>
          <w:ilvl w:val="0"/>
          <w:numId w:val="309"/>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w:t>
      </w:r>
      <w:r w:rsidR="00D45D1E">
        <w:t>le</w:t>
      </w:r>
      <w:r>
        <w:t xml:space="preserve"> z celkovej sady štyroch merateľných ukazovateľov definovaných RO k typom aktivít. Prijímateľ pri štvrtom (nerelevantnom) merateľnom ukazovateli vypĺňa pri predkladaní ŽoNFP plánovanú hodnotu ,,0“.</w:t>
      </w:r>
    </w:p>
    <w:p w14:paraId="0C71E2B6" w14:textId="77777777" w:rsidR="00B650E5" w:rsidRDefault="0053588C">
      <w:pPr>
        <w:jc w:val="both"/>
      </w:pPr>
      <w:r>
        <w:rPr>
          <w:noProof/>
        </w:rPr>
        <w:drawing>
          <wp:inline distT="0" distB="0" distL="0" distR="0" wp14:anchorId="7ACA56E9" wp14:editId="3F752A7F">
            <wp:extent cx="5710555" cy="3206115"/>
            <wp:effectExtent l="0" t="57150" r="0" b="51435"/>
            <wp:docPr id="23" name="Diagram 107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2" r:lo="rId53" r:qs="rId54" r:cs="rId55"/>
              </a:graphicData>
            </a:graphic>
          </wp:inline>
        </w:drawing>
      </w:r>
    </w:p>
    <w:p w14:paraId="081312EC" w14:textId="5E49E9BE" w:rsidR="00B650E5" w:rsidRDefault="00B650E5">
      <w:pPr>
        <w:numPr>
          <w:ilvl w:val="0"/>
          <w:numId w:val="309"/>
        </w:numPr>
        <w:spacing w:before="120" w:after="120"/>
        <w:ind w:left="425" w:hanging="425"/>
        <w:jc w:val="both"/>
      </w:pPr>
      <w:r>
        <w:t xml:space="preserve">Žiadateľ je povinný ku každej aktivite projektu priradiť minimálne jeden merateľný ukazovateľ, ktorý musí predstavovať kvantifikáciu toho, čo sa realizáciou aktivity za požadované výdavky </w:t>
      </w:r>
      <w:r>
        <w:lastRenderedPageBreak/>
        <w:t>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hodnotách výlučne realizáciou projektu, je východisková hodnota všetkých merateľných ukazovateľov projektu vždy ,,0“, preto pri merateľnom ukazovateli žiadateľ uvádza výlučne plánovanú cieľovú hodnotu relevantných ukazovateľov.</w:t>
      </w:r>
    </w:p>
    <w:p w14:paraId="5EC9A10E" w14:textId="77777777" w:rsidR="00B650E5" w:rsidRDefault="00B650E5">
      <w:pPr>
        <w:numPr>
          <w:ilvl w:val="0"/>
          <w:numId w:val="309"/>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 každej aktivite. Jeho hodnota sa určuje s ohľadom na príspevok relevantnej aktivity k naplneniu celkovej hodnoty ukazovateľa.</w:t>
      </w:r>
    </w:p>
    <w:p w14:paraId="78346E33" w14:textId="0B69B425" w:rsidR="00B650E5" w:rsidRDefault="00B650E5">
      <w:pPr>
        <w:numPr>
          <w:ilvl w:val="0"/>
          <w:numId w:val="309"/>
        </w:numPr>
        <w:spacing w:before="120" w:after="120"/>
        <w:ind w:left="425" w:hanging="425"/>
        <w:jc w:val="both"/>
      </w:pPr>
      <w:r>
        <w:t xml:space="preserve">Merateľné ukazovatele sú počas implementácie projektu záväzné z hľadiska dosiahnutia ich plánovanej hodnoty, pričom akceptovateľná miera odchýlky, ktorá nebude mať za následok vznik finančnej zodpovednosti je určená v zmluve o NFP. </w:t>
      </w:r>
    </w:p>
    <w:p w14:paraId="0E748BBF" w14:textId="7130B7AB" w:rsidR="00B650E5" w:rsidRPr="00FB48EA" w:rsidRDefault="00B650E5">
      <w:pPr>
        <w:numPr>
          <w:ilvl w:val="0"/>
          <w:numId w:val="309"/>
        </w:numPr>
        <w:spacing w:before="120" w:after="120"/>
        <w:ind w:left="425" w:hanging="425"/>
        <w:jc w:val="both"/>
      </w:pPr>
      <w:r>
        <w:t>V prípade sledovania merateľných ukazovateľov na úrovni projektu s príznakom (</w:t>
      </w:r>
      <w:hyperlink w:anchor="kapitola_2461_ods_89" w:tooltip="ods. 8 a 9 kapitoly 2.4.6.1" w:history="1">
        <w:r>
          <w:rPr>
            <w:rStyle w:val="Hypertextovprepojenie"/>
          </w:rPr>
          <w:t>ods. 8 kapitoly 2.4.6.1</w:t>
        </w:r>
      </w:hyperlink>
      <w:r>
        <w:t xml:space="preserve">) RO pri vyhodnocovaní nedosahovania stanovenej hodnoty posúdi zdôvodnenie </w:t>
      </w:r>
      <w:r w:rsidRPr="00FB48EA">
        <w:t>nedosiahnutia cieľových hodnôt týchto ukazovateľov z hľadiska identifikácie rizík, ktoré boli predmetom analýzy pri predkladaní ŽoNFP a predložených dokumentov preukazujúcich skutočnosť, že nedosiahnutie cieľových hodnôt merateľných ukazovateľov bolo spôsobené faktormi, ktoré prijímateľ objektívne nemohol ovplyvniť. Pri vyhodnocovaní zodpovednosti prijímateľa za nedosiahnutie cieľových hodnôt merateľného ukazovateľa s príznakom RO aplikuje relevantné ustanovenia zmluvy o NFP.</w:t>
      </w:r>
    </w:p>
    <w:p w14:paraId="2821E38C" w14:textId="75031F37" w:rsidR="00B650E5" w:rsidRDefault="00B650E5">
      <w:pPr>
        <w:spacing w:before="120" w:after="120"/>
        <w:ind w:left="425"/>
        <w:contextualSpacing/>
        <w:jc w:val="both"/>
      </w:pPr>
      <w:r w:rsidRPr="00FB48EA">
        <w:t>Príklady možností priradenia hlavných aktivít projektu k merateľným ukazovateľom z hľadiska spôsobu dosahovania cieľových hodnôt</w:t>
      </w:r>
      <w:r>
        <w:t xml:space="preserve"> merateľného ukazovateľa realizáciou jednotlivých aktivít.</w:t>
      </w:r>
    </w:p>
    <w:p w14:paraId="37233E70" w14:textId="77777777" w:rsidR="00B650E5" w:rsidRDefault="00B650E5">
      <w:pPr>
        <w:spacing w:before="120" w:after="120"/>
        <w:ind w:left="425"/>
        <w:contextualSpacing/>
        <w:jc w:val="both"/>
      </w:pPr>
    </w:p>
    <w:p w14:paraId="5E1F1A97" w14:textId="77777777" w:rsidR="00B650E5" w:rsidRDefault="00B650E5">
      <w:pPr>
        <w:spacing w:before="120" w:after="120"/>
        <w:ind w:left="426"/>
        <w:contextualSpacing/>
        <w:jc w:val="both"/>
        <w:rPr>
          <w:b/>
        </w:rPr>
      </w:pPr>
      <w:r>
        <w:rPr>
          <w:b/>
        </w:rPr>
        <w:t>Variant 1:</w:t>
      </w:r>
    </w:p>
    <w:p w14:paraId="6A4BECC4" w14:textId="77777777" w:rsidR="00B650E5" w:rsidRDefault="0053588C">
      <w:pPr>
        <w:spacing w:before="120" w:after="120"/>
        <w:ind w:left="426"/>
        <w:contextualSpacing/>
        <w:jc w:val="both"/>
      </w:pPr>
      <w:r>
        <w:rPr>
          <w:noProof/>
        </w:rPr>
        <w:drawing>
          <wp:anchor distT="0" distB="0" distL="163068" distR="163068" simplePos="0" relativeHeight="251661312" behindDoc="0" locked="0" layoutInCell="1" allowOverlap="1" wp14:anchorId="0CEC1BBD" wp14:editId="58F0CDB8">
            <wp:simplePos x="0" y="0"/>
            <wp:positionH relativeFrom="column">
              <wp:posOffset>-4572</wp:posOffset>
            </wp:positionH>
            <wp:positionV relativeFrom="paragraph">
              <wp:posOffset>484886</wp:posOffset>
            </wp:positionV>
            <wp:extent cx="5760720" cy="2056765"/>
            <wp:effectExtent l="76200" t="0" r="68580" b="0"/>
            <wp:wrapTopAndBottom/>
            <wp:docPr id="82" name="Diagram 107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7" r:lo="rId58" r:qs="rId59" r:cs="rId60"/>
              </a:graphicData>
            </a:graphic>
            <wp14:sizeRelH relativeFrom="page">
              <wp14:pctWidth>0</wp14:pctWidth>
            </wp14:sizeRelH>
            <wp14:sizeRelV relativeFrom="page">
              <wp14:pctHeight>0</wp14:pctHeight>
            </wp14:sizeRelV>
          </wp:anchor>
        </w:drawing>
      </w:r>
      <w:r w:rsidR="00B650E5">
        <w:t>Jedna hlavná aktivita prispieva k dosiahnutia jedného merateľného ukazovateľa definovaného v sade merateľných ukazovateľov na úrovni typov aktivít.</w:t>
      </w:r>
    </w:p>
    <w:p w14:paraId="7DC71A34" w14:textId="77777777" w:rsidR="00B650E5" w:rsidRDefault="00B650E5">
      <w:pPr>
        <w:spacing w:before="120" w:after="120"/>
        <w:ind w:left="425"/>
        <w:contextualSpacing/>
        <w:jc w:val="both"/>
        <w:rPr>
          <w:b/>
        </w:rPr>
      </w:pPr>
      <w:r>
        <w:rPr>
          <w:b/>
        </w:rPr>
        <w:t>Variant 2:</w:t>
      </w:r>
    </w:p>
    <w:p w14:paraId="5A453885" w14:textId="77777777" w:rsidR="00B650E5" w:rsidRDefault="00B650E5">
      <w:pPr>
        <w:spacing w:before="120" w:after="120"/>
        <w:ind w:left="425"/>
        <w:contextualSpacing/>
        <w:jc w:val="both"/>
      </w:pPr>
      <w:r>
        <w:t>Jedna hlavná aktivita prispieva k dosiahnutiu viac ako jedného merateľného ukazovateľa definovaného v sade merateľných ukazovateľov na úrovni typu aktivít.</w:t>
      </w:r>
    </w:p>
    <w:p w14:paraId="2C963B6E" w14:textId="77777777" w:rsidR="00B650E5" w:rsidRDefault="0053588C">
      <w:pPr>
        <w:jc w:val="both"/>
      </w:pPr>
      <w:r>
        <w:rPr>
          <w:noProof/>
        </w:rPr>
        <w:lastRenderedPageBreak/>
        <w:drawing>
          <wp:anchor distT="6096" distB="0" distL="114300" distR="114300" simplePos="0" relativeHeight="251662336" behindDoc="0" locked="0" layoutInCell="1" allowOverlap="1" wp14:anchorId="2910DE31" wp14:editId="0728C92F">
            <wp:simplePos x="0" y="0"/>
            <wp:positionH relativeFrom="column">
              <wp:posOffset>-404368</wp:posOffset>
            </wp:positionH>
            <wp:positionV relativeFrom="paragraph">
              <wp:posOffset>232791</wp:posOffset>
            </wp:positionV>
            <wp:extent cx="6505575" cy="2324100"/>
            <wp:effectExtent l="0" t="57150" r="0" b="38100"/>
            <wp:wrapTopAndBottom/>
            <wp:docPr id="81" name="Diagram 107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2" r:lo="rId63" r:qs="rId64" r:cs="rId65"/>
              </a:graphicData>
            </a:graphic>
            <wp14:sizeRelH relativeFrom="page">
              <wp14:pctWidth>0</wp14:pctWidth>
            </wp14:sizeRelH>
            <wp14:sizeRelV relativeFrom="page">
              <wp14:pctHeight>0</wp14:pctHeight>
            </wp14:sizeRelV>
          </wp:anchor>
        </w:drawing>
      </w:r>
    </w:p>
    <w:p w14:paraId="1A72C122" w14:textId="77777777" w:rsidR="00B650E5" w:rsidRDefault="00B650E5">
      <w:pPr>
        <w:spacing w:before="120" w:after="120"/>
        <w:ind w:left="425"/>
        <w:contextualSpacing/>
        <w:jc w:val="both"/>
        <w:rPr>
          <w:b/>
        </w:rPr>
      </w:pPr>
    </w:p>
    <w:p w14:paraId="3F67E47B" w14:textId="77777777" w:rsidR="00B650E5" w:rsidRDefault="00B650E5">
      <w:pPr>
        <w:spacing w:before="120" w:after="120"/>
        <w:ind w:left="425"/>
        <w:contextualSpacing/>
        <w:jc w:val="both"/>
        <w:rPr>
          <w:b/>
        </w:rPr>
      </w:pPr>
      <w:r>
        <w:rPr>
          <w:b/>
        </w:rPr>
        <w:t>Variant 3:</w:t>
      </w:r>
    </w:p>
    <w:p w14:paraId="0FB52631" w14:textId="77777777" w:rsidR="00B650E5" w:rsidRDefault="0053588C">
      <w:pPr>
        <w:spacing w:before="120" w:after="120"/>
        <w:ind w:left="425"/>
        <w:contextualSpacing/>
        <w:jc w:val="both"/>
        <w:rPr>
          <w:b/>
        </w:rPr>
      </w:pPr>
      <w:r>
        <w:rPr>
          <w:noProof/>
        </w:rPr>
        <w:drawing>
          <wp:anchor distT="0" distB="0" distL="114300" distR="114300" simplePos="0" relativeHeight="251660288" behindDoc="0" locked="0" layoutInCell="1" allowOverlap="1" wp14:anchorId="42BAB936" wp14:editId="10601BBF">
            <wp:simplePos x="0" y="0"/>
            <wp:positionH relativeFrom="column">
              <wp:posOffset>-585470</wp:posOffset>
            </wp:positionH>
            <wp:positionV relativeFrom="paragraph">
              <wp:posOffset>548894</wp:posOffset>
            </wp:positionV>
            <wp:extent cx="6172200" cy="3067050"/>
            <wp:effectExtent l="0" t="57150" r="0" b="0"/>
            <wp:wrapTopAndBottom/>
            <wp:docPr id="80" name="Diagram 108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7" r:lo="rId68" r:qs="rId69" r:cs="rId70"/>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40" behindDoc="0" locked="0" layoutInCell="1" allowOverlap="1" wp14:anchorId="52151AAB" wp14:editId="0EACF960">
                <wp:simplePos x="0" y="0"/>
                <wp:positionH relativeFrom="column">
                  <wp:posOffset>4000500</wp:posOffset>
                </wp:positionH>
                <wp:positionV relativeFrom="paragraph">
                  <wp:posOffset>2142490</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16E1D416" w14:textId="77777777" w:rsidR="00DF4E07" w:rsidRPr="000E6473" w:rsidRDefault="00DF4E07">
                            <w:pPr>
                              <w:jc w:val="center"/>
                              <w:rPr>
                                <w:color w:val="FFFFFF"/>
                              </w:rPr>
                            </w:pPr>
                            <w:r w:rsidRPr="000E6473">
                              <w:rPr>
                                <w:color w:val="FFFFFF"/>
                              </w:rPr>
                              <w:t xml:space="preserve">Merateľné ukazovatele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52151AAB"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1065" o:spid="_x0000_s1028" type="#_x0000_t66" style="position:absolute;left:0;text-align:left;margin-left:315pt;margin-top:168.7pt;width:190.5pt;height: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x/6mA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" adj="3912" fillcolor="#4f81bd" strokecolor="#385d8a" strokeweight="2pt">
                <v:path arrowok="t"/>
                <v:textbox>
                  <w:txbxContent>
                    <w:p w14:paraId="16E1D416" w14:textId="77777777" w:rsidR="00DF4E07" w:rsidRPr="000E6473" w:rsidRDefault="00DF4E07">
                      <w:pPr>
                        <w:jc w:val="center"/>
                        <w:rPr>
                          <w:color w:val="FFFFFF"/>
                        </w:rPr>
                      </w:pPr>
                      <w:r w:rsidRPr="000E6473">
                        <w:rPr>
                          <w:color w:val="FFFFFF"/>
                        </w:rPr>
                        <w:t xml:space="preserve">Merateľné ukazovatele </w:t>
                      </w:r>
                    </w:p>
                  </w:txbxContent>
                </v:textbox>
              </v:shape>
            </w:pict>
          </mc:Fallback>
        </mc:AlternateContent>
      </w:r>
      <w:r>
        <w:rPr>
          <w:noProof/>
        </w:rPr>
        <mc:AlternateContent>
          <mc:Choice Requires="wps">
            <w:drawing>
              <wp:anchor distT="0" distB="0" distL="114300" distR="114300" simplePos="0" relativeHeight="251657216" behindDoc="0" locked="0" layoutInCell="1" allowOverlap="1" wp14:anchorId="1CE796E4" wp14:editId="7B947973">
                <wp:simplePos x="0" y="0"/>
                <wp:positionH relativeFrom="column">
                  <wp:posOffset>3959225</wp:posOffset>
                </wp:positionH>
                <wp:positionV relativeFrom="paragraph">
                  <wp:posOffset>829945</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2EE929C1" w14:textId="77777777" w:rsidR="00DF4E07" w:rsidRPr="000E6473" w:rsidRDefault="00DF4E07">
                            <w:pPr>
                              <w:jc w:val="center"/>
                              <w:rPr>
                                <w:color w:val="FFFFFF"/>
                              </w:rPr>
                            </w:pPr>
                            <w:r w:rsidRPr="000E6473">
                              <w:rPr>
                                <w:color w:val="FFFFFF"/>
                              </w:rPr>
                              <w:t>Hlavné aktivity projektu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CE796E4" id="Šípka doľava 1066" o:spid="_x0000_s1029" type="#_x0000_t66" style="position:absolute;left:0;text-align:left;margin-left:311.75pt;margin-top:65.35pt;width:190.5pt;height:6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" adj="3912" fillcolor="#4f81bd" strokecolor="#385d8a" strokeweight="2pt">
                <v:path arrowok="t"/>
                <v:textbox>
                  <w:txbxContent>
                    <w:p w14:paraId="2EE929C1" w14:textId="77777777" w:rsidR="00DF4E07" w:rsidRPr="000E6473" w:rsidRDefault="00DF4E07">
                      <w:pPr>
                        <w:jc w:val="center"/>
                        <w:rPr>
                          <w:color w:val="FFFFFF"/>
                        </w:rPr>
                      </w:pPr>
                      <w:r w:rsidRPr="000E6473">
                        <w:rPr>
                          <w:color w:val="FFFFFF"/>
                        </w:rPr>
                        <w:t>Hlavné aktivity projektu</w:t>
                      </w:r>
                    </w:p>
                  </w:txbxContent>
                </v:textbox>
              </v:shape>
            </w:pict>
          </mc:Fallback>
        </mc:AlternateContent>
      </w:r>
      <w:r w:rsidR="00B650E5">
        <w:t>Viacero hlavných aktivít spoločnou realizáciou naplní dosiahnutie plánovanej hodnoty jedného merateľného ukazovateľa.</w:t>
      </w:r>
    </w:p>
    <w:p w14:paraId="3386E1AB" w14:textId="77777777" w:rsidR="00B650E5" w:rsidRDefault="0053588C">
      <w:r>
        <w:rPr>
          <w:noProof/>
        </w:rPr>
        <mc:AlternateContent>
          <mc:Choice Requires="wps">
            <w:drawing>
              <wp:anchor distT="0" distB="0" distL="114300" distR="114300" simplePos="0" relativeHeight="251656192" behindDoc="0" locked="0" layoutInCell="1" allowOverlap="1" wp14:anchorId="0A041BB4" wp14:editId="5AA783A8">
                <wp:simplePos x="0" y="0"/>
                <wp:positionH relativeFrom="column">
                  <wp:posOffset>4575175</wp:posOffset>
                </wp:positionH>
                <wp:positionV relativeFrom="paragraph">
                  <wp:posOffset>2868295</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14:paraId="3BC42662" w14:textId="77777777" w:rsidR="00DF4E07" w:rsidRPr="000E6473" w:rsidRDefault="00DF4E07" w:rsidP="000E6473">
                            <w:pPr>
                              <w:shd w:val="clear" w:color="auto" w:fill="548DD4"/>
                              <w:jc w:val="center"/>
                              <w:rPr>
                                <w:color w:val="FFFFFF"/>
                              </w:rPr>
                            </w:pPr>
                            <w:r w:rsidRPr="000E6473">
                              <w:rPr>
                                <w:color w:val="FFFFFF"/>
                              </w:rPr>
                              <w:t>Typy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A041BB4" id="Blok textu 1069" o:spid="_x0000_s1030" type="#_x0000_t202" style="position:absolute;margin-left:360.25pt;margin-top:225.85pt;width:129pt;height:24.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" fillcolor="#558ed5" stroked="f" strokeweight=".5pt">
                <v:path arrowok="t"/>
                <v:textbox>
                  <w:txbxContent>
                    <w:p w14:paraId="3BC42662" w14:textId="77777777" w:rsidR="00DF4E07" w:rsidRPr="000E6473" w:rsidRDefault="00DF4E07" w:rsidP="000E6473">
                      <w:pPr>
                        <w:shd w:val="clear" w:color="auto" w:fill="548DD4"/>
                        <w:jc w:val="center"/>
                        <w:rPr>
                          <w:color w:val="FFFFFF"/>
                        </w:rPr>
                      </w:pPr>
                      <w:r w:rsidRPr="000E6473">
                        <w:rPr>
                          <w:color w:val="FFFFFF"/>
                        </w:rPr>
                        <w:t>Typy aktivít</w:t>
                      </w:r>
                    </w:p>
                  </w:txbxContent>
                </v:textbox>
              </v:shape>
            </w:pict>
          </mc:Fallback>
        </mc:AlternateContent>
      </w:r>
      <w:r>
        <w:rPr>
          <w:noProof/>
        </w:rPr>
        <mc:AlternateContent>
          <mc:Choice Requires="wps">
            <w:drawing>
              <wp:anchor distT="0" distB="0" distL="114300" distR="114300" simplePos="0" relativeHeight="251655168" behindDoc="0" locked="0" layoutInCell="1" allowOverlap="1" wp14:anchorId="6772B7DE" wp14:editId="3704B8CF">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14:paraId="1FD52F20" w14:textId="77777777" w:rsidR="00DF4E07" w:rsidRDefault="00DF4E07">
                            <w:pPr>
                              <w:jc w:val="center"/>
                            </w:pPr>
                            <w:r>
                              <w:t>Merateľné ukazovatele výstupu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772B7DE" id="Blok textu 6" o:spid="_x0000_s1031" type="#_x0000_t202" style="position:absolute;margin-left:-35.65pt;margin-top:204.05pt;width:.05pt;height:.0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" fillcolor="#4f81bd" stroked="f" strokeweight="2pt">
                <v:path arrowok="t"/>
                <v:textbox>
                  <w:txbxContent>
                    <w:p w14:paraId="1FD52F20" w14:textId="77777777" w:rsidR="00DF4E07" w:rsidRDefault="00DF4E07">
                      <w:pPr>
                        <w:jc w:val="center"/>
                      </w:pPr>
                      <w:r>
                        <w:t>Merateľné ukazovatele výstupu</w:t>
                      </w:r>
                    </w:p>
                  </w:txbxContent>
                </v:textbox>
              </v:shape>
            </w:pict>
          </mc:Fallback>
        </mc:AlternateContent>
      </w:r>
    </w:p>
    <w:p w14:paraId="588C3BFB" w14:textId="77777777" w:rsidR="00B650E5" w:rsidRDefault="00B650E5" w:rsidP="0045286B">
      <w:pPr>
        <w:pStyle w:val="SRK4"/>
      </w:pPr>
      <w:bookmarkStart w:id="160" w:name="_Toc453233985"/>
      <w:bookmarkStart w:id="161" w:name="_Toc495649344"/>
      <w:r>
        <w:t>2.4.6.2 Číselník merateľných ukazovateľov</w:t>
      </w:r>
      <w:bookmarkEnd w:id="160"/>
      <w:bookmarkEnd w:id="161"/>
    </w:p>
    <w:p w14:paraId="16E5E461" w14:textId="77777777" w:rsidR="00B650E5" w:rsidRDefault="00B650E5">
      <w:pPr>
        <w:numPr>
          <w:ilvl w:val="0"/>
          <w:numId w:val="7"/>
        </w:numPr>
        <w:spacing w:before="120" w:after="120"/>
        <w:ind w:left="425" w:hanging="425"/>
        <w:jc w:val="both"/>
      </w:pPr>
      <w:r>
        <w:t>Číselník merateľných ukazovateľov predstavuje zoznam merateľných ukazovateľov a iných údajov používaných RO na úrovni programov a projektov, ktorý bol zostavený CKO v spolupráci s príslušnými RO a gestormi HP.</w:t>
      </w:r>
    </w:p>
    <w:p w14:paraId="0C7708B3" w14:textId="77777777" w:rsidR="00B650E5" w:rsidRDefault="00B650E5" w:rsidP="004F700A">
      <w:pPr>
        <w:numPr>
          <w:ilvl w:val="0"/>
          <w:numId w:val="7"/>
        </w:numPr>
        <w:spacing w:before="120" w:after="120"/>
        <w:ind w:left="426" w:hanging="426"/>
        <w:jc w:val="both"/>
      </w:pPr>
      <w:r>
        <w:t xml:space="preserve">Číselník merateľných ukazovateľov je tvorený z merateľných ukazovateľov na úrovni programu a projektu. Súčasťou číselníka sú aj iné údaje, ktoré sú na úrovni podporených projektov monitorované. CKO je oprávnený zaradiť do číselníka iné údaje (štatistické údaje prierezového charakteru), ktorých jednotné vykazovanie na úrovni všetkých OP je dôležité z pohľadu cieľov PD a ktoré sú sledované na úrovni všetkých alebo jednoznačne určených projektov. </w:t>
      </w:r>
    </w:p>
    <w:p w14:paraId="4D957BFD" w14:textId="0FC83088" w:rsidR="00B650E5" w:rsidRDefault="00B650E5">
      <w:pPr>
        <w:numPr>
          <w:ilvl w:val="0"/>
          <w:numId w:val="7"/>
        </w:numPr>
        <w:spacing w:before="120" w:after="120"/>
        <w:ind w:left="426" w:hanging="426"/>
        <w:jc w:val="both"/>
      </w:pPr>
      <w:r>
        <w:lastRenderedPageBreak/>
        <w:t xml:space="preserve">Merateľné ukazovatele na úrovni projektov a iné údaje na základe návrhu RO zaraďuje CKO </w:t>
      </w:r>
      <w:r>
        <w:br/>
        <w:t>do číselníka merateľných ukazovateľov, pričom pri zaradení navrhovaných merateľných ukazovateľov a iných údajov zo strany RO CKO zabezpečí, aby položky s rovnakou definíciou, ktoré sú využívané na projektovej úrovni naprieč viacerými RO, boli v číselníku zaradené iba jeden krát. Zároveň je CKO za účelom tvorby a aktualizácie číselníka zodpovedný za zjednotenie používaných definícií merateľných ukazovateľov a iných údajov tak, aby rovnaký merateľný ukazovateľ a iný údaj využívaný na úrovni viacerých OP bol definovaný vždy jednotne.</w:t>
      </w:r>
    </w:p>
    <w:p w14:paraId="137F017B" w14:textId="77777777" w:rsidR="00B650E5" w:rsidRDefault="00B650E5">
      <w:pPr>
        <w:numPr>
          <w:ilvl w:val="0"/>
          <w:numId w:val="7"/>
        </w:numPr>
        <w:spacing w:before="120" w:after="120"/>
        <w:ind w:left="426" w:hanging="426"/>
        <w:jc w:val="both"/>
        <w:rPr>
          <w:u w:val="single"/>
        </w:rPr>
      </w:pPr>
      <w:r>
        <w:t>Za správu číselníka a jeho aktualizáciu je zodpovedný CKO.</w:t>
      </w:r>
    </w:p>
    <w:p w14:paraId="0A6890B2" w14:textId="77777777" w:rsidR="00B650E5" w:rsidRDefault="00B650E5">
      <w:pPr>
        <w:pStyle w:val="SRK3"/>
      </w:pPr>
      <w:bookmarkStart w:id="162" w:name="_Toc453233986"/>
      <w:bookmarkStart w:id="163" w:name="_Toc495649345"/>
      <w:r>
        <w:t>2.4.7 Ďalšia dokumentácia na úrovni projektov</w:t>
      </w:r>
      <w:bookmarkEnd w:id="162"/>
      <w:bookmarkEnd w:id="163"/>
      <w:r>
        <w:t xml:space="preserve"> </w:t>
      </w:r>
    </w:p>
    <w:p w14:paraId="6883BB4D" w14:textId="5FCA2B46" w:rsidR="00B650E5" w:rsidRDefault="00B650E5">
      <w:pPr>
        <w:numPr>
          <w:ilvl w:val="0"/>
          <w:numId w:val="310"/>
        </w:numPr>
        <w:spacing w:before="120" w:after="120"/>
        <w:ind w:left="426" w:hanging="426"/>
        <w:jc w:val="both"/>
      </w:pPr>
      <w:r>
        <w:t>Vzhľadom na rozsah údajov uvádzaných v OP a ostatných dokumentoch RO zabezpečí, aby na</w:t>
      </w:r>
      <w:r w:rsidR="00FB48EA">
        <w:t> </w:t>
      </w:r>
      <w:r>
        <w:t>úrovni OP boli podrobnejšie upravené minimálne nasledujúce časti:</w:t>
      </w:r>
    </w:p>
    <w:p w14:paraId="20B5737C" w14:textId="77777777" w:rsidR="00B650E5" w:rsidRDefault="00B650E5">
      <w:pPr>
        <w:numPr>
          <w:ilvl w:val="1"/>
          <w:numId w:val="310"/>
        </w:numPr>
        <w:spacing w:before="120" w:after="120"/>
        <w:ind w:left="851" w:hanging="425"/>
        <w:jc w:val="both"/>
      </w:pPr>
      <w:r>
        <w:rPr>
          <w:b/>
        </w:rPr>
        <w:t>Podmienky oprávnenosti výdavkov</w:t>
      </w:r>
      <w: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14:paraId="6C1C0ED9" w14:textId="69EB1630" w:rsidR="00B650E5" w:rsidRDefault="00B650E5">
      <w:pPr>
        <w:numPr>
          <w:ilvl w:val="1"/>
          <w:numId w:val="310"/>
        </w:numPr>
        <w:spacing w:before="120" w:after="120"/>
        <w:ind w:left="851" w:hanging="425"/>
        <w:jc w:val="both"/>
      </w:pPr>
      <w:r>
        <w:rPr>
          <w:b/>
        </w:rPr>
        <w:t xml:space="preserve">Oprávnené aktivity </w:t>
      </w:r>
      <w:r>
        <w:t xml:space="preserve">– </w:t>
      </w:r>
      <w:r w:rsidR="00C93F30">
        <w:t>keďže</w:t>
      </w:r>
      <w:r>
        <w:t xml:space="preserve">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14:paraId="0B727A85" w14:textId="77777777" w:rsidR="00B650E5" w:rsidRDefault="00B650E5">
      <w:pPr>
        <w:pStyle w:val="SRK2"/>
        <w:rPr>
          <w:rStyle w:val="Nadpis1Char"/>
          <w:sz w:val="36"/>
          <w:szCs w:val="26"/>
        </w:rPr>
      </w:pPr>
      <w:bookmarkStart w:id="164" w:name="_Toc453233987"/>
      <w:bookmarkStart w:id="165" w:name="_Toc495649346"/>
      <w:r>
        <w:rPr>
          <w:rStyle w:val="Nadpis1Char"/>
          <w:sz w:val="36"/>
          <w:szCs w:val="26"/>
        </w:rPr>
        <w:t>2.5 Výber odborných hodnotiteľov</w:t>
      </w:r>
      <w:bookmarkEnd w:id="152"/>
      <w:r>
        <w:rPr>
          <w:rStyle w:val="Nadpis1Char"/>
          <w:sz w:val="36"/>
          <w:szCs w:val="26"/>
        </w:rPr>
        <w:t xml:space="preserve"> v procese odborného hodnotenia</w:t>
      </w:r>
      <w:bookmarkEnd w:id="164"/>
      <w:bookmarkEnd w:id="165"/>
    </w:p>
    <w:p w14:paraId="41D2F22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54A0474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125 ods. 3 všeobecného nariadenia </w:t>
      </w:r>
    </w:p>
    <w:p w14:paraId="23DABCA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i/>
        </w:rPr>
        <w:t>Delegované nariadenie Komisie (EÚ) č. 240/2014</w:t>
      </w:r>
      <w:r>
        <w:rPr>
          <w:bCs/>
          <w:i/>
          <w:iCs/>
        </w:rPr>
        <w:t xml:space="preserve"> </w:t>
      </w:r>
    </w:p>
    <w:p w14:paraId="1984B21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12B1825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19 ods. 6 zákona o príspevku z EŠIF</w:t>
      </w:r>
    </w:p>
    <w:p w14:paraId="3EE0FBFF" w14:textId="6E0B1C81" w:rsidR="00B650E5" w:rsidRDefault="00B650E5">
      <w:pPr>
        <w:numPr>
          <w:ilvl w:val="0"/>
          <w:numId w:val="324"/>
        </w:numPr>
        <w:spacing w:before="120" w:after="120"/>
        <w:ind w:left="426" w:hanging="426"/>
        <w:jc w:val="both"/>
      </w:pPr>
      <w:r>
        <w:t xml:space="preserve">RO je </w:t>
      </w:r>
      <w:r w:rsidRPr="009078F6">
        <w:t>zodpovedný za výber odborných hodnotiteľov, ktorí budú vykonávať odborné hodnotenie projektových zámerov (ak</w:t>
      </w:r>
      <w:r>
        <w:t xml:space="preserve"> relevantné) a ŽoNFP. RO vykoná výber na základe jasných a transparentných kritérií. Výber odborných hodnotiteľov zabezpečuje RO prostredníctvom vyhlásenia transparentnej výzvy na výber odborných hodnotiteľov, ktorú zverejňuje na svojom webovom sídle (o tejto skutočnosti zasiela informáciu vo forme emailu na adresu </w:t>
      </w:r>
      <w:hyperlink r:id="rId72" w:history="1">
        <w:r w:rsidRPr="00274005">
          <w:rPr>
            <w:rStyle w:val="Hypertextovprepojenie"/>
          </w:rPr>
          <w:t>eufondy@vlada.gov.sk</w:t>
        </w:r>
      </w:hyperlink>
      <w:r>
        <w:t xml:space="preserve"> s uvedením linku na zverejnenú výzvu). Súčasťou tejto výzvy sú kritériá na výber odborných hodnotiteľov, za ktoré zodpovedá RO, rovnako ako za ich aplikáciu. RO stanoví kritériá</w:t>
      </w:r>
      <w:r w:rsidR="001A08B6">
        <w:t>,</w:t>
      </w:r>
      <w:r>
        <w:t xml:space="preserve"> </w:t>
      </w:r>
      <w:r w:rsidR="001A08B6">
        <w:t>zamerané na výber</w:t>
      </w:r>
      <w:r>
        <w:t xml:space="preserve"> odborných hodnotiteľov s dostatočnou praxou a odbornými predpokladmi z oblastí, ktoré budú predmetom odborného hodnotenia. RO minimalizuje formálne kritériá na výber odborných hodnotiteľov.</w:t>
      </w:r>
      <w:r w:rsidR="007A46AE">
        <w:t xml:space="preserve"> Minimálne štandardy na výber odborných hodnotiteľov upraví CKO v metodickom pokyne.</w:t>
      </w:r>
    </w:p>
    <w:p w14:paraId="583043AC" w14:textId="77777777" w:rsidR="00B650E5" w:rsidRDefault="00B650E5">
      <w:pPr>
        <w:numPr>
          <w:ilvl w:val="0"/>
          <w:numId w:val="324"/>
        </w:numPr>
        <w:spacing w:before="120" w:after="120"/>
        <w:ind w:left="426" w:hanging="426"/>
        <w:jc w:val="both"/>
      </w:pPr>
      <w:r>
        <w:t xml:space="preserve">Vyhodnotenie </w:t>
      </w:r>
      <w:r w:rsidRPr="009078F6">
        <w:t>kritérií splnenia podmienok na výkon odborného hodnotenia je v kompetencii RO, pričom sa odporúča písomne zaznamenať výsledky vyhodnotenia splnenia kritérií pre výkon odborného hodnotenia, napr. vo forme</w:t>
      </w:r>
      <w:r w:rsidRPr="007A00B7">
        <w:t> kontrolného zoznamu sumarizujúceho všetky stanovené podmienky zo strany RO a vyhodnotenie ich splnenia/nesplnenia pri jednotlivých prihlásených</w:t>
      </w:r>
      <w:r>
        <w:t xml:space="preserve"> uchádzačoch.</w:t>
      </w:r>
    </w:p>
    <w:p w14:paraId="4EA0F5C0" w14:textId="77777777" w:rsidR="00B650E5" w:rsidRDefault="00B650E5">
      <w:pPr>
        <w:numPr>
          <w:ilvl w:val="0"/>
          <w:numId w:val="324"/>
        </w:numPr>
        <w:spacing w:before="120" w:after="120"/>
        <w:ind w:left="426" w:hanging="426"/>
        <w:jc w:val="both"/>
      </w:pPr>
      <w:r>
        <w:lastRenderedPageBreak/>
        <w:t>RO vedie zoznam odborných hodnotiteľov oprávnených vykonávať odborné hodnotenie v rámci OP.</w:t>
      </w:r>
    </w:p>
    <w:p w14:paraId="10009F8B" w14:textId="3B516F15" w:rsidR="00B650E5" w:rsidRDefault="00B650E5" w:rsidP="0028265C">
      <w:pPr>
        <w:numPr>
          <w:ilvl w:val="0"/>
          <w:numId w:val="324"/>
        </w:numPr>
        <w:spacing w:before="120" w:after="120"/>
        <w:ind w:left="426" w:hanging="426"/>
        <w:jc w:val="both"/>
      </w:pPr>
      <w:r>
        <w:t>RO zadá zoznam odborných hodnotiteľov do ITMS 2014+.</w:t>
      </w:r>
    </w:p>
    <w:p w14:paraId="02F55458" w14:textId="77777777" w:rsidR="00B650E5" w:rsidRDefault="00B650E5" w:rsidP="0028265C">
      <w:pPr>
        <w:numPr>
          <w:ilvl w:val="0"/>
          <w:numId w:val="324"/>
        </w:numPr>
        <w:spacing w:before="120" w:after="120"/>
        <w:ind w:left="426" w:hanging="426"/>
        <w:jc w:val="both"/>
      </w:pPr>
      <w:r>
        <w:t>RO vyberá odborných hodnotiteľov, ktorí budú hodnotiť ŽoNFP prostredníctvom funkcionality ITMS 2014+.</w:t>
      </w:r>
    </w:p>
    <w:p w14:paraId="18B153F7" w14:textId="2F584229" w:rsidR="00B650E5" w:rsidRDefault="00B650E5" w:rsidP="0028265C">
      <w:pPr>
        <w:numPr>
          <w:ilvl w:val="0"/>
          <w:numId w:val="324"/>
        </w:numPr>
        <w:spacing w:before="120" w:after="120"/>
        <w:ind w:left="426" w:hanging="426"/>
        <w:jc w:val="both"/>
      </w:pPr>
      <w:r>
        <w:t xml:space="preserve">RO priraďuje ŽoNFP </w:t>
      </w:r>
      <w:r w:rsidR="00C6725F">
        <w:t xml:space="preserve">a </w:t>
      </w:r>
      <w:r>
        <w:t>vybraný</w:t>
      </w:r>
      <w:r w:rsidR="00C6725F">
        <w:t>ch</w:t>
      </w:r>
      <w:r>
        <w:t xml:space="preserve"> odborný</w:t>
      </w:r>
      <w:r w:rsidR="00C6725F">
        <w:t>ch</w:t>
      </w:r>
      <w:r>
        <w:t xml:space="preserve"> hodnotiteľo</w:t>
      </w:r>
      <w:r w:rsidR="00C6725F">
        <w:t>v</w:t>
      </w:r>
      <w:r>
        <w:t xml:space="preserve"> prostredníctvom funkcionality ITMS 2014+.</w:t>
      </w:r>
    </w:p>
    <w:p w14:paraId="65EEF3B6" w14:textId="2554A5AE" w:rsidR="00B650E5" w:rsidRDefault="00B650E5" w:rsidP="0028265C">
      <w:pPr>
        <w:numPr>
          <w:ilvl w:val="0"/>
          <w:numId w:val="324"/>
        </w:numPr>
        <w:spacing w:before="120" w:after="120"/>
        <w:ind w:left="426" w:hanging="426"/>
        <w:jc w:val="both"/>
      </w:pPr>
      <w:r>
        <w:t xml:space="preserve">Vyššie uvedené funkcionality budú nasadené do užívania postupne. CKO zašle RO informáciu o nasadení jednotlivých funkcionalít s návodom na ich využívanie e-mailom. Do </w:t>
      </w:r>
      <w:r w:rsidR="0081288F">
        <w:t>zaslania informácie o nasadení</w:t>
      </w:r>
      <w:r>
        <w:t xml:space="preserve"> automatického náhodného výberu odborných hodnotiteľov a náhodného priraďovania ŽoNFP odborným hodnotiteľom prostredníctvom ITMS 2014+ je RO zodpovedný za zavedenie efektívneho a transparentného spôsobu prideľovania ŽoNFP odborným hodnotiteľom (napr. náhodné prideľovanie ŽoNFP hodnotiteľom žrebovaním).</w:t>
      </w:r>
    </w:p>
    <w:p w14:paraId="1B087AD1" w14:textId="062F0515" w:rsidR="00B650E5" w:rsidRDefault="00B650E5" w:rsidP="0028265C">
      <w:pPr>
        <w:numPr>
          <w:ilvl w:val="0"/>
          <w:numId w:val="324"/>
        </w:numPr>
        <w:spacing w:before="120" w:after="120"/>
        <w:ind w:left="426" w:hanging="426"/>
        <w:jc w:val="both"/>
      </w:pPr>
      <w:r w:rsidRPr="005243B9">
        <w:t xml:space="preserve">RO je </w:t>
      </w:r>
      <w:r w:rsidR="003A3228" w:rsidRPr="005243B9">
        <w:t>oprávnený</w:t>
      </w:r>
      <w:r w:rsidRPr="005243B9">
        <w:t xml:space="preserve"> preverovať a vyhodnocovať kvalitu práce odborných hodnotiteľov. V prípade nedostatočnej kvality ich práce je RO oprávnený vylúčiť odborných hodnotiteľov zo zoznamu odborných hodnotiteľov. Presné kritériá hodnotenia kvality práce odborných hodnotiteľov, ako aj postupy ich vylúčenia pri neplnení kritérií uvedie RO v manuáli procedúr</w:t>
      </w:r>
      <w:r w:rsidR="00E96D5F">
        <w:t>, resp. v inej relevantnej dokumentácii</w:t>
      </w:r>
      <w:r w:rsidR="00D726B2">
        <w:t xml:space="preserve"> </w:t>
      </w:r>
      <w:r w:rsidR="00E96D5F">
        <w:t xml:space="preserve">(napr. </w:t>
      </w:r>
      <w:r w:rsidR="00D726B2">
        <w:t>v </w:t>
      </w:r>
      <w:r w:rsidR="00E96D5F">
        <w:t>P</w:t>
      </w:r>
      <w:r w:rsidR="00D726B2">
        <w:t>ríručke pre odborných hodnotiteľov</w:t>
      </w:r>
      <w:r w:rsidR="00E96D5F">
        <w:t>)</w:t>
      </w:r>
      <w:r w:rsidRPr="005243B9">
        <w:t>.</w:t>
      </w:r>
    </w:p>
    <w:p w14:paraId="2F5C5468" w14:textId="77777777" w:rsidR="00B650E5" w:rsidRDefault="00B650E5">
      <w:bookmarkStart w:id="166" w:name="_Toc378947493"/>
      <w:r>
        <w:br w:type="page"/>
      </w:r>
    </w:p>
    <w:p w14:paraId="041EE144" w14:textId="77777777" w:rsidR="00B650E5" w:rsidRDefault="00B650E5">
      <w:pPr>
        <w:pStyle w:val="SRK1"/>
      </w:pPr>
      <w:bookmarkStart w:id="167" w:name="_Toc453233988"/>
      <w:bookmarkStart w:id="168" w:name="_Toc495649347"/>
      <w:r>
        <w:lastRenderedPageBreak/>
        <w:t>Časť 3</w:t>
      </w:r>
      <w:bookmarkEnd w:id="166"/>
      <w:r>
        <w:t xml:space="preserve"> </w:t>
      </w:r>
      <w:bookmarkStart w:id="169" w:name="_Toc378947494"/>
      <w:r>
        <w:t>Implementácia operačných programov</w:t>
      </w:r>
      <w:bookmarkEnd w:id="167"/>
      <w:bookmarkEnd w:id="168"/>
      <w:bookmarkEnd w:id="169"/>
    </w:p>
    <w:p w14:paraId="2FB4AC1F" w14:textId="77777777" w:rsidR="00B650E5" w:rsidRDefault="00B650E5">
      <w:pPr>
        <w:pStyle w:val="SRK2"/>
        <w:rPr>
          <w:rStyle w:val="Nadpis1Char"/>
          <w:bCs/>
          <w:sz w:val="36"/>
          <w:szCs w:val="26"/>
        </w:rPr>
      </w:pPr>
      <w:bookmarkStart w:id="170" w:name="_Toc378954330"/>
      <w:bookmarkStart w:id="171" w:name="_Toc378947495"/>
      <w:bookmarkStart w:id="172" w:name="_Toc453233989"/>
      <w:bookmarkStart w:id="173" w:name="_Toc495649348"/>
      <w:bookmarkStart w:id="174" w:name="kapitola_31"/>
      <w:r>
        <w:rPr>
          <w:rStyle w:val="Nadpis1Char"/>
          <w:bCs/>
          <w:sz w:val="36"/>
          <w:szCs w:val="26"/>
        </w:rPr>
        <w:t>3.1 Výzvy – spoločné ustanovenia</w:t>
      </w:r>
      <w:bookmarkEnd w:id="170"/>
      <w:bookmarkEnd w:id="171"/>
      <w:bookmarkEnd w:id="172"/>
      <w:bookmarkEnd w:id="173"/>
    </w:p>
    <w:p w14:paraId="413BE08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175" w:name="_Toc378947496"/>
      <w:bookmarkEnd w:id="174"/>
      <w:r>
        <w:rPr>
          <w:u w:val="single"/>
        </w:rPr>
        <w:t>Relevantná úprava v legislatíve EÚ:</w:t>
      </w:r>
    </w:p>
    <w:p w14:paraId="3120740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szCs w:val="22"/>
          <w:lang w:eastAsia="en-US"/>
        </w:rPr>
      </w:pPr>
      <w:r>
        <w:rPr>
          <w:bCs/>
          <w:i/>
          <w:iCs/>
          <w:szCs w:val="22"/>
          <w:lang w:eastAsia="en-US"/>
        </w:rPr>
        <w:t xml:space="preserve">Čl. 125 ods. 1 až 3 všeobecného nariadenia </w:t>
      </w:r>
    </w:p>
    <w:p w14:paraId="45100F1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14203B2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16 až 18 zákona o príspevku z EŠIF</w:t>
      </w:r>
    </w:p>
    <w:p w14:paraId="33891CEF" w14:textId="77777777" w:rsidR="00B650E5" w:rsidRPr="00430C9B" w:rsidRDefault="00B650E5">
      <w:pPr>
        <w:numPr>
          <w:ilvl w:val="0"/>
          <w:numId w:val="22"/>
        </w:numPr>
        <w:spacing w:before="120" w:after="120"/>
        <w:ind w:left="426" w:hanging="426"/>
        <w:jc w:val="both"/>
      </w:pPr>
      <w:r w:rsidRPr="00726CCE">
        <w:rPr>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14:paraId="2E27BC4A" w14:textId="77777777" w:rsidR="00B650E5" w:rsidRPr="00A13E26" w:rsidRDefault="00B650E5">
      <w:pPr>
        <w:numPr>
          <w:ilvl w:val="0"/>
          <w:numId w:val="22"/>
        </w:numPr>
        <w:spacing w:before="120" w:after="120"/>
        <w:ind w:left="426" w:hanging="426"/>
        <w:jc w:val="both"/>
        <w:rPr>
          <w:bCs/>
          <w:iCs/>
          <w:szCs w:val="22"/>
          <w:lang w:eastAsia="en-US"/>
        </w:rPr>
      </w:pPr>
      <w:r w:rsidRPr="00663970">
        <w:rPr>
          <w:bCs/>
          <w:iCs/>
          <w:szCs w:val="22"/>
          <w:lang w:eastAsia="en-US"/>
        </w:rPr>
        <w:t>Výzva na predkladanie projektový</w:t>
      </w:r>
      <w:r w:rsidRPr="00A13E26">
        <w:rPr>
          <w:bCs/>
          <w:iCs/>
          <w:szCs w:val="22"/>
          <w:lang w:eastAsia="en-US"/>
        </w:rPr>
        <w:t xml:space="preserve">ch zámerov a výzva na predkladanie ŽoNFP (ďalej spolu len ,,výzvy“) sú základným metodickým podkladom pre žiadateľa na predkladanie projektových zámerov/ŽoNFP. </w:t>
      </w:r>
    </w:p>
    <w:p w14:paraId="456F36F4" w14:textId="54E2B3EB" w:rsidR="00B650E5" w:rsidRPr="00430C9B" w:rsidRDefault="00B650E5">
      <w:pPr>
        <w:numPr>
          <w:ilvl w:val="0"/>
          <w:numId w:val="22"/>
        </w:numPr>
        <w:spacing w:before="120" w:after="120"/>
        <w:ind w:left="426" w:hanging="426"/>
        <w:jc w:val="both"/>
        <w:rPr>
          <w:bCs/>
          <w:iCs/>
          <w:szCs w:val="22"/>
          <w:lang w:eastAsia="en-US"/>
        </w:rPr>
      </w:pPr>
      <w:r w:rsidRPr="00A13E26">
        <w:rPr>
          <w:bCs/>
          <w:iCs/>
          <w:szCs w:val="22"/>
          <w:lang w:eastAsia="en-US"/>
        </w:rPr>
        <w:t xml:space="preserve">RO môže rozhodnúť v závislosti od charakteru projektov, ktorých podporu plánuje realizovať, že </w:t>
      </w:r>
      <w:r w:rsidRPr="00726CCE">
        <w:rPr>
          <w:bCs/>
          <w:iCs/>
          <w:szCs w:val="22"/>
          <w:lang w:eastAsia="en-US"/>
        </w:rPr>
        <w:t>výber projektov zabezpečí prostredníctvom dvoch výberových kôl (výzva na predkladanie projektových zámerov a výzva) alebo iba prostredníctvom jedného kola výberu (výzva na</w:t>
      </w:r>
      <w:r w:rsidR="00726CCE">
        <w:rPr>
          <w:bCs/>
          <w:iCs/>
          <w:szCs w:val="22"/>
          <w:lang w:eastAsia="en-US"/>
        </w:rPr>
        <w:t> </w:t>
      </w:r>
      <w:r w:rsidRPr="00726CCE">
        <w:rPr>
          <w:bCs/>
          <w:iCs/>
          <w:szCs w:val="22"/>
          <w:lang w:eastAsia="en-US"/>
        </w:rPr>
        <w:t>predkladanie ŽoNFP). RO je v závislosti od vhodnosti oprávnený využiť výber projektov prostredníctvom dvoch výberov</w:t>
      </w:r>
      <w:r w:rsidRPr="00430C9B">
        <w:rPr>
          <w:bCs/>
          <w:iCs/>
          <w:szCs w:val="22"/>
          <w:lang w:eastAsia="en-US"/>
        </w:rPr>
        <w:t>ých kôl aj pre časť OP (iba pre vybrané PO, špecifické ciele, resp. pre inú vhodnú úroveň implementácie OP v závislosti od rozhodnutia RO).</w:t>
      </w:r>
    </w:p>
    <w:p w14:paraId="569C00D6" w14:textId="77777777" w:rsidR="00B650E5" w:rsidRDefault="00B650E5">
      <w:pPr>
        <w:numPr>
          <w:ilvl w:val="0"/>
          <w:numId w:val="22"/>
        </w:numPr>
        <w:spacing w:before="120" w:after="120"/>
        <w:ind w:left="426" w:hanging="426"/>
        <w:jc w:val="both"/>
        <w:rPr>
          <w:bCs/>
          <w:iCs/>
          <w:szCs w:val="22"/>
          <w:lang w:eastAsia="en-US"/>
        </w:rPr>
      </w:pPr>
      <w:r w:rsidRPr="00663970">
        <w:rPr>
          <w:bCs/>
          <w:iCs/>
          <w:szCs w:val="22"/>
          <w:lang w:eastAsia="en-US"/>
        </w:rPr>
        <w:t>RO s cieľom dostatočnej informovanosti potenciálnych žiadateľov o možnostiach získan</w:t>
      </w:r>
      <w:r w:rsidRPr="00A13E26">
        <w:rPr>
          <w:bCs/>
          <w:iCs/>
          <w:szCs w:val="22"/>
          <w:lang w:eastAsia="en-US"/>
        </w:rPr>
        <w:t>ia NFP na financovanie projektov a dostatočnej pripravenosti predkladaných projektov vypracuje</w:t>
      </w:r>
      <w:r>
        <w:rPr>
          <w:bCs/>
          <w:iCs/>
          <w:szCs w:val="22"/>
          <w:lang w:eastAsia="en-US"/>
        </w:rPr>
        <w:t xml:space="preserve"> indikatívny harmonogram výziev, v ktorom zohľadní plánované termíny vyhlásenia výziev.</w:t>
      </w:r>
    </w:p>
    <w:p w14:paraId="39D8F58C" w14:textId="77777777" w:rsidR="00B650E5" w:rsidRDefault="00B650E5">
      <w:pPr>
        <w:numPr>
          <w:ilvl w:val="0"/>
          <w:numId w:val="22"/>
        </w:numPr>
        <w:spacing w:before="120" w:after="120"/>
        <w:ind w:left="426" w:hanging="426"/>
        <w:jc w:val="both"/>
        <w:rPr>
          <w:bCs/>
          <w:iCs/>
          <w:szCs w:val="22"/>
          <w:lang w:eastAsia="en-US"/>
        </w:rPr>
      </w:pPr>
      <w:r>
        <w:rPr>
          <w:bCs/>
          <w:iCs/>
          <w:szCs w:val="22"/>
          <w:lang w:eastAsia="en-US"/>
        </w:rPr>
        <w:t>Harmonogram výziev definuje pre jednotlivé PO a špecifické ciele plánované termíny zverejňovania príslušných výziev (kalendárny mesiac, v ktorom sa plánujú výzvy vyhlásiť) a obsahuje aj ďalšie informácie týkajúce sa plánovaných výziev. Vzor</w:t>
      </w:r>
      <w:r>
        <w:rPr>
          <w:rStyle w:val="Odkaznapoznmkupodiarou"/>
          <w:bCs/>
          <w:iCs/>
          <w:szCs w:val="22"/>
          <w:lang w:eastAsia="en-US"/>
        </w:rPr>
        <w:footnoteReference w:id="33"/>
      </w:r>
      <w:r>
        <w:rPr>
          <w:bCs/>
          <w:iCs/>
          <w:szCs w:val="22"/>
          <w:lang w:eastAsia="en-US"/>
        </w:rPr>
        <w:t xml:space="preserve"> harmonogramu výziev vydáva CKO.</w:t>
      </w:r>
    </w:p>
    <w:p w14:paraId="5350D399" w14:textId="181D2E8B" w:rsidR="00B650E5" w:rsidRDefault="00B650E5">
      <w:pPr>
        <w:numPr>
          <w:ilvl w:val="0"/>
          <w:numId w:val="22"/>
        </w:numPr>
        <w:spacing w:before="120" w:after="120"/>
        <w:ind w:left="426" w:hanging="426"/>
        <w:jc w:val="both"/>
        <w:rPr>
          <w:bCs/>
          <w:iCs/>
          <w:szCs w:val="22"/>
          <w:lang w:eastAsia="en-US"/>
        </w:rPr>
      </w:pPr>
      <w:r>
        <w:rPr>
          <w:szCs w:val="22"/>
          <w:lang w:eastAsia="en-US"/>
        </w:rPr>
        <w:t xml:space="preserve">RO zostavuje harmonogram výziev na obdobie kalendárneho roka a po zadaní údajov do </w:t>
      </w:r>
      <w:r>
        <w:rPr>
          <w:bCs/>
          <w:iCs/>
          <w:szCs w:val="22"/>
          <w:lang w:eastAsia="en-US"/>
        </w:rPr>
        <w:t xml:space="preserve">ITMS 2014+ </w:t>
      </w:r>
      <w:r>
        <w:rPr>
          <w:szCs w:val="22"/>
          <w:lang w:eastAsia="en-US"/>
        </w:rPr>
        <w:t>ho predkladá na preskúmanie pracovnej  komisii v súlade s </w:t>
      </w:r>
      <w:hyperlink w:anchor="kapitola_13110" w:tooltip="kapitolou 1.3.1.10" w:history="1">
        <w:r>
          <w:rPr>
            <w:rStyle w:val="Hypertextovprepojenie"/>
          </w:rPr>
          <w:t>kapitolou 1.3.1.10</w:t>
        </w:r>
      </w:hyperlink>
      <w:r>
        <w:rPr>
          <w:szCs w:val="22"/>
          <w:lang w:eastAsia="en-US"/>
        </w:rPr>
        <w:t>. RO zverejňuje harmonogram výziev na rok „n+1“ na svojom webovom sídle v termíne najneskôr do</w:t>
      </w:r>
      <w:r w:rsidR="00726CCE">
        <w:rPr>
          <w:szCs w:val="22"/>
          <w:lang w:eastAsia="en-US"/>
        </w:rPr>
        <w:t> </w:t>
      </w:r>
      <w:r>
        <w:rPr>
          <w:szCs w:val="22"/>
          <w:lang w:eastAsia="en-US"/>
        </w:rPr>
        <w:t>31. októbra roku „n“. RO zodpovedá za aktuálnosť harmonogramu výziev na svojom webovom sídle, pričom aktualizáciu vyžaduje harmonogram v prípade, ak posun vyhlásenia výzvy v porovnaní s plánovaným termínom je väčší ako dva mesiace. Aktualizácii podlieha harmonogram výziev aj v prípade vecných zmien v uvádzaných údajoch; ak sa vecná aktualizácia dotýka aspektov, ktoré boli posudzované v rámci harmonogramu na úrovni pracovnej komisie, je RO povinný pred zverejnením aktualizácie zaslať návrh na posúdenie tejto pracovnej komisii. RO vyhlási výzvu zaradenú do harmonogramu výziev po tom, ako informácia o jej vyhlásení bola súčasťou zverejneného harmonogramu výziev minimálne počas dvoch mesiacov.</w:t>
      </w:r>
    </w:p>
    <w:p w14:paraId="5ED28952" w14:textId="328F3AC0" w:rsidR="00B650E5" w:rsidRDefault="00B650E5">
      <w:pPr>
        <w:numPr>
          <w:ilvl w:val="0"/>
          <w:numId w:val="22"/>
        </w:numPr>
        <w:spacing w:before="120" w:after="120"/>
        <w:ind w:left="426" w:hanging="426"/>
        <w:jc w:val="both"/>
        <w:rPr>
          <w:szCs w:val="22"/>
          <w:lang w:eastAsia="en-US"/>
        </w:rPr>
      </w:pPr>
      <w:r>
        <w:rPr>
          <w:szCs w:val="22"/>
          <w:lang w:eastAsia="en-US"/>
        </w:rPr>
        <w:lastRenderedPageBreak/>
        <w:t xml:space="preserve">S cieľom zabezpečenia zverejnenia aktuálneho harmonogramu výziev v rámci jednotlivých OP na centrálnej úrovni, je schválený harmonogram zverejňovaný na webovom sídle </w:t>
      </w:r>
      <w:hyperlink r:id="rId73" w:history="1">
        <w:r w:rsidRPr="00E42CB6">
          <w:rPr>
            <w:rStyle w:val="Hypertextovprepojenie"/>
          </w:rPr>
          <w:t>www.partnerskadohoda.gov.sk</w:t>
        </w:r>
      </w:hyperlink>
      <w:r>
        <w:rPr>
          <w:szCs w:val="22"/>
          <w:lang w:eastAsia="en-US"/>
        </w:rPr>
        <w:t xml:space="preserve"> po jeho zadaní a aktivovaní zo strany RO v ITMS 2014+. RO aktivuje harmonogram výziev na kalendárny rok „n+1“ v termíne do 31. októbra kalendárneho roka „n“. RO pripravuje výzvy pre jednotlivé PO/špecifické ciele podľa harmonogramu výziev a v súlade:</w:t>
      </w:r>
    </w:p>
    <w:p w14:paraId="4DEAE87A" w14:textId="77777777" w:rsidR="00B650E5" w:rsidRDefault="00B650E5">
      <w:pPr>
        <w:numPr>
          <w:ilvl w:val="1"/>
          <w:numId w:val="76"/>
        </w:numPr>
        <w:spacing w:before="120" w:after="120"/>
        <w:ind w:left="850" w:hanging="425"/>
        <w:jc w:val="both"/>
        <w:rPr>
          <w:szCs w:val="22"/>
          <w:lang w:eastAsia="en-US"/>
        </w:rPr>
      </w:pPr>
      <w:r>
        <w:rPr>
          <w:szCs w:val="22"/>
          <w:lang w:eastAsia="en-US"/>
        </w:rPr>
        <w:t xml:space="preserve">s príslušným OP, schémou pomoci (ak relevantné), </w:t>
      </w:r>
    </w:p>
    <w:p w14:paraId="47E57A6B" w14:textId="77777777" w:rsidR="00B650E5" w:rsidRDefault="00B650E5">
      <w:pPr>
        <w:numPr>
          <w:ilvl w:val="1"/>
          <w:numId w:val="76"/>
        </w:numPr>
        <w:spacing w:before="120" w:after="120"/>
        <w:ind w:left="850" w:hanging="425"/>
        <w:jc w:val="both"/>
        <w:rPr>
          <w:szCs w:val="22"/>
          <w:lang w:eastAsia="en-US"/>
        </w:rPr>
      </w:pPr>
      <w:r>
        <w:rPr>
          <w:szCs w:val="22"/>
          <w:lang w:eastAsia="en-US"/>
        </w:rPr>
        <w:t>s kritériami pre výber projektov schválenými MV,</w:t>
      </w:r>
    </w:p>
    <w:p w14:paraId="49963C81" w14:textId="3BCDB0B1" w:rsidR="00B650E5" w:rsidRDefault="00B650E5">
      <w:pPr>
        <w:numPr>
          <w:ilvl w:val="1"/>
          <w:numId w:val="76"/>
        </w:numPr>
        <w:spacing w:before="120" w:after="120"/>
        <w:ind w:left="850" w:hanging="425"/>
        <w:jc w:val="both"/>
        <w:rPr>
          <w:szCs w:val="22"/>
          <w:lang w:eastAsia="en-US"/>
        </w:rPr>
      </w:pPr>
      <w:r>
        <w:rPr>
          <w:szCs w:val="22"/>
          <w:lang w:eastAsia="en-US"/>
        </w:rPr>
        <w:t>so Systémom riadenia EŠIF, Systémom finančného riadenia, Stratégiou financovania Európskych štrukturálnych a investičných fondov na programové obdobie 2014 - 2020 a s</w:t>
      </w:r>
      <w:r w:rsidR="00726CCE">
        <w:rPr>
          <w:szCs w:val="22"/>
          <w:lang w:eastAsia="en-US"/>
        </w:rPr>
        <w:t> </w:t>
      </w:r>
      <w:r>
        <w:rPr>
          <w:szCs w:val="22"/>
          <w:lang w:eastAsia="en-US"/>
        </w:rPr>
        <w:t xml:space="preserve">relevantnými predpismi SR a EÚ a ďalšími záväznými riadiacimi dokumentmi. </w:t>
      </w:r>
    </w:p>
    <w:p w14:paraId="239BEE57" w14:textId="5D004114" w:rsidR="00B650E5" w:rsidRDefault="00B650E5" w:rsidP="004F36BB">
      <w:pPr>
        <w:numPr>
          <w:ilvl w:val="0"/>
          <w:numId w:val="22"/>
        </w:numPr>
        <w:spacing w:before="120" w:after="120"/>
        <w:ind w:left="426" w:hanging="426"/>
        <w:jc w:val="both"/>
        <w:rPr>
          <w:szCs w:val="22"/>
          <w:lang w:eastAsia="en-US"/>
        </w:rPr>
      </w:pPr>
      <w:r>
        <w:rPr>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szCs w:val="22"/>
          <w:lang w:eastAsia="en-US"/>
        </w:rPr>
        <w:footnoteReference w:id="34"/>
      </w:r>
      <w:r>
        <w:rPr>
          <w:szCs w:val="22"/>
          <w:lang w:eastAsia="en-US"/>
        </w:rPr>
        <w:t xml:space="preserve"> v súlade so vzorom</w:t>
      </w:r>
      <w:r>
        <w:rPr>
          <w:rStyle w:val="Odkaznapoznmkupodiarou"/>
          <w:szCs w:val="22"/>
          <w:lang w:eastAsia="en-US"/>
        </w:rPr>
        <w:footnoteReference w:id="35"/>
      </w:r>
      <w:r>
        <w:rPr>
          <w:szCs w:val="22"/>
          <w:lang w:eastAsia="en-US"/>
        </w:rPr>
        <w:t xml:space="preserve"> vydaným CKO. RO je povinný posúdiť pri príprave výzvy  oprávnené aktivity, ktoré budú zahrnuté v rámci výzvy z hľadiska  ich  zaradenia pod rozsah smernice EIA</w:t>
      </w:r>
      <w:r w:rsidR="004F36BB">
        <w:rPr>
          <w:szCs w:val="22"/>
          <w:lang w:eastAsia="en-US"/>
        </w:rPr>
        <w:t xml:space="preserve">, resp. </w:t>
      </w:r>
      <w:r w:rsidR="004F36BB" w:rsidRPr="004F36BB">
        <w:rPr>
          <w:szCs w:val="22"/>
          <w:lang w:eastAsia="en-US"/>
        </w:rPr>
        <w:t>zákona o posudzovaní vplyvov</w:t>
      </w:r>
      <w:r>
        <w:rPr>
          <w:szCs w:val="22"/>
          <w:lang w:eastAsia="en-US"/>
        </w:rPr>
        <w:t>, pričom v prípade potreby spolupracuje s</w:t>
      </w:r>
      <w:r w:rsidR="00C057CA">
        <w:rPr>
          <w:szCs w:val="22"/>
          <w:lang w:eastAsia="en-US"/>
        </w:rPr>
        <w:t> </w:t>
      </w:r>
      <w:r>
        <w:rPr>
          <w:szCs w:val="22"/>
          <w:lang w:eastAsia="en-US"/>
        </w:rPr>
        <w:t>MŽP SR (vecne príslušným útvarom, do pôsobnosti ktorého spadá problematika posudzovania vplyvov na životné prostredie) ako koordinátorom EIA pre EŠIF a výsledky zohľadniť pri</w:t>
      </w:r>
      <w:r w:rsidR="00C057CA">
        <w:rPr>
          <w:szCs w:val="22"/>
          <w:lang w:eastAsia="en-US"/>
        </w:rPr>
        <w:t> </w:t>
      </w:r>
      <w:r>
        <w:rPr>
          <w:szCs w:val="22"/>
          <w:lang w:eastAsia="en-US"/>
        </w:rPr>
        <w:t>definovaní podmienok poskytnutia príspevku a povinných príloh ŽoNFP.</w:t>
      </w:r>
      <w:r w:rsidR="00ED51C9">
        <w:rPr>
          <w:szCs w:val="22"/>
          <w:lang w:eastAsia="en-US"/>
        </w:rPr>
        <w:t xml:space="preserve"> Podrobnosti spolupráce upraví CKO v metodickom pokyne.</w:t>
      </w:r>
    </w:p>
    <w:p w14:paraId="30135267" w14:textId="6DCD80BE" w:rsidR="00B650E5" w:rsidRDefault="00B650E5">
      <w:pPr>
        <w:numPr>
          <w:ilvl w:val="0"/>
          <w:numId w:val="22"/>
        </w:numPr>
        <w:spacing w:before="120" w:after="120"/>
        <w:ind w:left="426" w:hanging="426"/>
        <w:jc w:val="both"/>
        <w:rPr>
          <w:szCs w:val="22"/>
          <w:lang w:eastAsia="en-US"/>
        </w:rPr>
      </w:pPr>
      <w:r>
        <w:rPr>
          <w:szCs w:val="22"/>
          <w:lang w:eastAsia="en-US"/>
        </w:rPr>
        <w:t>RO pri príprave výziev a dokumentov, ktoré sú relevantné vo vzťahu k výzve a týkajú sa informácií potrebných k aplikácii HP priebežne spolupracuje s gestormi HP tak, aby na</w:t>
      </w:r>
      <w:r w:rsidR="00726CCE">
        <w:rPr>
          <w:szCs w:val="22"/>
          <w:lang w:eastAsia="en-US"/>
        </w:rPr>
        <w:t> </w:t>
      </w:r>
      <w:r>
        <w:rPr>
          <w:szCs w:val="22"/>
          <w:lang w:eastAsia="en-US"/>
        </w:rPr>
        <w:t xml:space="preserve">vyjadrenie gestora HP bol k pripravovaným dokumentom poskytnutý dostatočný časový priestor. </w:t>
      </w:r>
    </w:p>
    <w:p w14:paraId="3F5F97D8" w14:textId="407394FA" w:rsidR="00B650E5" w:rsidRDefault="00B650E5">
      <w:pPr>
        <w:numPr>
          <w:ilvl w:val="0"/>
          <w:numId w:val="22"/>
        </w:numPr>
        <w:spacing w:before="120" w:after="120"/>
        <w:ind w:left="426" w:hanging="426"/>
        <w:jc w:val="both"/>
        <w:rPr>
          <w:szCs w:val="22"/>
          <w:lang w:eastAsia="en-US"/>
        </w:rPr>
      </w:pPr>
      <w:r>
        <w:rPr>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 žiadateľa, využívanie adekvátnych informačných a komunikačných nástrojov vo</w:t>
      </w:r>
      <w:r w:rsidR="00726CCE">
        <w:rPr>
          <w:szCs w:val="22"/>
          <w:lang w:eastAsia="en-US"/>
        </w:rPr>
        <w:t> </w:t>
      </w:r>
      <w:r>
        <w:rPr>
          <w:szCs w:val="22"/>
          <w:lang w:eastAsia="en-US"/>
        </w:rPr>
        <w:t>vzťahu k verejnosti o vyhlásených výzvach (informačné akcie, zverejnenie odpovedí na často kladené otázky na webových sídlach, možnosť telefonických/osobných konzultácií a pod.).</w:t>
      </w:r>
    </w:p>
    <w:p w14:paraId="5150FDF4" w14:textId="72DFAAD9" w:rsidR="00B650E5" w:rsidRDefault="00B650E5" w:rsidP="00997CB0">
      <w:pPr>
        <w:numPr>
          <w:ilvl w:val="0"/>
          <w:numId w:val="22"/>
        </w:numPr>
        <w:spacing w:before="120" w:after="120"/>
        <w:ind w:left="426" w:hanging="426"/>
        <w:jc w:val="both"/>
        <w:rPr>
          <w:szCs w:val="22"/>
          <w:lang w:eastAsia="en-US"/>
        </w:rPr>
      </w:pPr>
      <w:r w:rsidRPr="00A07153">
        <w:rPr>
          <w:szCs w:val="22"/>
          <w:lang w:eastAsia="en-US"/>
        </w:rPr>
        <w:t xml:space="preserve">RO zverejňuje výzvy na svojom webovom sídle. RO je povinný zabezpečiť, aby výzvy, ktoré už boli ukončené, boli zverejnené na webovom sídle a dostupné v archíve výziev najmenej po dobu 3 rokov. RO je povinný zverejňovať aj akékoľvek zmeny a zrušenie. Po posúdení výzvy v súlade s ods. </w:t>
      </w:r>
      <w:hyperlink w:anchor="kapitola_311_ods_3" w:history="1">
        <w:r w:rsidRPr="00726CCE">
          <w:rPr>
            <w:rStyle w:val="Hypertextovprepojenie"/>
            <w:szCs w:val="22"/>
            <w:lang w:eastAsia="en-US"/>
          </w:rPr>
          <w:t>3 až ods. 12 kapitoly 3.1.1</w:t>
        </w:r>
      </w:hyperlink>
      <w:r w:rsidRPr="00A07153">
        <w:rPr>
          <w:szCs w:val="22"/>
          <w:lang w:eastAsia="en-US"/>
        </w:rPr>
        <w:t xml:space="preserve"> </w:t>
      </w:r>
      <w:r>
        <w:rPr>
          <w:szCs w:val="22"/>
          <w:lang w:eastAsia="en-US"/>
        </w:rPr>
        <w:t>je</w:t>
      </w:r>
      <w:r w:rsidRPr="00A07153">
        <w:rPr>
          <w:szCs w:val="22"/>
          <w:lang w:eastAsia="en-US"/>
        </w:rPr>
        <w:t xml:space="preserve"> RO</w:t>
      </w:r>
      <w:r>
        <w:rPr>
          <w:szCs w:val="22"/>
          <w:lang w:eastAsia="en-US"/>
        </w:rPr>
        <w:t xml:space="preserve"> povinný</w:t>
      </w:r>
      <w:r w:rsidRPr="00A07153">
        <w:rPr>
          <w:szCs w:val="22"/>
          <w:lang w:eastAsia="en-US"/>
        </w:rPr>
        <w:t xml:space="preserve"> zverejn</w:t>
      </w:r>
      <w:r>
        <w:rPr>
          <w:szCs w:val="22"/>
          <w:lang w:eastAsia="en-US"/>
        </w:rPr>
        <w:t>iť</w:t>
      </w:r>
      <w:r w:rsidRPr="00A07153">
        <w:rPr>
          <w:szCs w:val="22"/>
          <w:lang w:eastAsia="en-US"/>
        </w:rPr>
        <w:t xml:space="preserve"> výzvu </w:t>
      </w:r>
      <w:r w:rsidR="00CE0253">
        <w:rPr>
          <w:szCs w:val="22"/>
          <w:lang w:eastAsia="en-US"/>
        </w:rPr>
        <w:t>súčasne</w:t>
      </w:r>
      <w:r w:rsidR="00CE0253" w:rsidRPr="00A07153">
        <w:rPr>
          <w:szCs w:val="22"/>
          <w:lang w:eastAsia="en-US"/>
        </w:rPr>
        <w:t xml:space="preserve"> </w:t>
      </w:r>
      <w:r w:rsidR="00CE0253">
        <w:rPr>
          <w:szCs w:val="22"/>
          <w:lang w:eastAsia="en-US"/>
        </w:rPr>
        <w:t>so</w:t>
      </w:r>
      <w:r w:rsidR="00CE0253" w:rsidRPr="00A07153">
        <w:rPr>
          <w:szCs w:val="22"/>
          <w:lang w:eastAsia="en-US"/>
        </w:rPr>
        <w:t xml:space="preserve"> zverejnením na</w:t>
      </w:r>
      <w:r w:rsidR="00CE0253">
        <w:rPr>
          <w:szCs w:val="22"/>
          <w:lang w:eastAsia="en-US"/>
        </w:rPr>
        <w:t> </w:t>
      </w:r>
      <w:r w:rsidR="00CE0253" w:rsidRPr="00A07153">
        <w:rPr>
          <w:szCs w:val="22"/>
          <w:lang w:eastAsia="en-US"/>
        </w:rPr>
        <w:t>webovom sídle</w:t>
      </w:r>
      <w:r w:rsidR="00CE0253">
        <w:rPr>
          <w:szCs w:val="22"/>
          <w:lang w:eastAsia="en-US"/>
        </w:rPr>
        <w:t xml:space="preserve"> RO aj </w:t>
      </w:r>
      <w:r w:rsidRPr="00A07153">
        <w:rPr>
          <w:szCs w:val="22"/>
          <w:lang w:eastAsia="en-US"/>
        </w:rPr>
        <w:t>v</w:t>
      </w:r>
      <w:r>
        <w:rPr>
          <w:szCs w:val="22"/>
          <w:lang w:eastAsia="en-US"/>
        </w:rPr>
        <w:t> </w:t>
      </w:r>
      <w:r w:rsidRPr="00A07153">
        <w:rPr>
          <w:szCs w:val="22"/>
          <w:lang w:eastAsia="en-US"/>
        </w:rPr>
        <w:t>ITMS</w:t>
      </w:r>
      <w:r>
        <w:rPr>
          <w:szCs w:val="22"/>
          <w:lang w:eastAsia="en-US"/>
        </w:rPr>
        <w:t xml:space="preserve"> </w:t>
      </w:r>
      <w:r w:rsidRPr="00A07153">
        <w:rPr>
          <w:szCs w:val="22"/>
          <w:lang w:eastAsia="en-US"/>
        </w:rPr>
        <w:t>2014+.</w:t>
      </w:r>
    </w:p>
    <w:p w14:paraId="2B2B543B" w14:textId="77777777" w:rsidR="00B650E5" w:rsidRDefault="00B650E5">
      <w:pPr>
        <w:numPr>
          <w:ilvl w:val="0"/>
          <w:numId w:val="22"/>
        </w:numPr>
        <w:spacing w:before="120" w:after="120"/>
        <w:ind w:left="426" w:hanging="426"/>
        <w:jc w:val="both"/>
      </w:pPr>
      <w:r>
        <w:t>Výzvy môžu mať formu:</w:t>
      </w:r>
    </w:p>
    <w:p w14:paraId="384B2610" w14:textId="77777777" w:rsidR="00B650E5" w:rsidRDefault="00B650E5">
      <w:pPr>
        <w:numPr>
          <w:ilvl w:val="0"/>
          <w:numId w:val="77"/>
        </w:numPr>
        <w:spacing w:before="120" w:after="120"/>
        <w:ind w:left="851" w:hanging="425"/>
        <w:jc w:val="both"/>
      </w:pPr>
      <w:r>
        <w:t>uzavretej výzvy, ktorá je charakteristická presným určením dátumu jej vyhlásenia a dátumu uzavretia; využitie uzavretej výzvy je vhodné najmä v prípade projektov inovatívneho charakteru, kde výber najoptimálnejšieho projektu vyžaduje jeho porovnanie s inými predloženými projektmi,</w:t>
      </w:r>
    </w:p>
    <w:p w14:paraId="36000A5B" w14:textId="09AA4E1E" w:rsidR="00B650E5" w:rsidRDefault="00B650E5">
      <w:pPr>
        <w:numPr>
          <w:ilvl w:val="0"/>
          <w:numId w:val="77"/>
        </w:numPr>
        <w:spacing w:before="120" w:after="120"/>
        <w:ind w:left="851" w:hanging="425"/>
        <w:jc w:val="both"/>
        <w:rPr>
          <w:szCs w:val="22"/>
          <w:lang w:eastAsia="en-US"/>
        </w:rPr>
      </w:pPr>
      <w:r>
        <w:lastRenderedPageBreak/>
        <w:t>otvorenej výzvy, ktorej dĺžka trvania je závislá na disponibilných finančných prostriedkoch, ktorých vyčerpanie je základným dôvodom na ukončenie tohto druhu výzvy; využitie otvorenej výzvy je vhodné najmä v prípade výziev zameraných na podporu štandardných typov projektov, ktoré nevyžadujú zabezpečenie súťaže založenej na kvalitatívnom porovnaní projektov</w:t>
      </w:r>
      <w:r>
        <w:rPr>
          <w:szCs w:val="22"/>
          <w:lang w:eastAsia="en-US"/>
        </w:rPr>
        <w:t>.</w:t>
      </w:r>
    </w:p>
    <w:p w14:paraId="3A9A1708" w14:textId="658399C1" w:rsidR="00B650E5" w:rsidRDefault="00B650E5">
      <w:pPr>
        <w:numPr>
          <w:ilvl w:val="0"/>
          <w:numId w:val="22"/>
        </w:numPr>
        <w:spacing w:before="120" w:after="120"/>
        <w:ind w:left="426" w:hanging="426"/>
        <w:jc w:val="both"/>
        <w:rPr>
          <w:szCs w:val="22"/>
          <w:lang w:eastAsia="en-US"/>
        </w:rPr>
      </w:pPr>
      <w:r>
        <w:t>V prípade výziev na realizáciu dopytovo-orientovaných projektov (</w:t>
      </w:r>
      <w:r w:rsidR="00C93F30">
        <w:t xml:space="preserve">t. j. </w:t>
      </w:r>
      <w:r>
        <w:t>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szCs w:val="22"/>
          <w:lang w:eastAsia="en-US"/>
        </w:rPr>
        <w:t>.</w:t>
      </w:r>
    </w:p>
    <w:p w14:paraId="44725CCE" w14:textId="77777777" w:rsidR="00B650E5" w:rsidRDefault="00B650E5">
      <w:pPr>
        <w:pStyle w:val="SRK3"/>
      </w:pPr>
      <w:bookmarkStart w:id="176" w:name="_Toc378954332"/>
      <w:bookmarkStart w:id="177" w:name="_Toc378947497"/>
      <w:bookmarkStart w:id="178" w:name="_Toc453233990"/>
      <w:bookmarkStart w:id="179" w:name="_Toc495649349"/>
      <w:r>
        <w:t>3.1.1 Výzva</w:t>
      </w:r>
      <w:bookmarkEnd w:id="176"/>
      <w:bookmarkEnd w:id="177"/>
      <w:bookmarkEnd w:id="178"/>
      <w:bookmarkEnd w:id="179"/>
      <w:r>
        <w:t xml:space="preserve"> </w:t>
      </w:r>
    </w:p>
    <w:p w14:paraId="725F2EF0" w14:textId="77777777" w:rsidR="00B650E5" w:rsidRPr="006E4E1D" w:rsidRDefault="00B650E5" w:rsidP="000E286B">
      <w:pPr>
        <w:numPr>
          <w:ilvl w:val="0"/>
          <w:numId w:val="379"/>
        </w:numPr>
        <w:spacing w:before="120" w:after="120"/>
        <w:ind w:left="426" w:hanging="426"/>
        <w:jc w:val="both"/>
        <w:rPr>
          <w:szCs w:val="22"/>
          <w:lang w:eastAsia="en-US"/>
        </w:rPr>
      </w:pPr>
      <w:r w:rsidRPr="001F355F">
        <w:rPr>
          <w:szCs w:val="22"/>
          <w:lang w:eastAsia="en-US"/>
        </w:rPr>
        <w:t>Výzva predstavuje podnet a základný metodický podklad, na základe ktorého žiadateľ o NFP vypracúva a predkladá ŽoNFP. Pre RO predstavuje spolu s efektívnym využitím prvého kola výberu (v prípade jeho vhodnosti)</w:t>
      </w:r>
      <w:r w:rsidRPr="00354FBA">
        <w:rPr>
          <w:szCs w:val="22"/>
          <w:lang w:eastAsia="en-US"/>
        </w:rPr>
        <w:t xml:space="preserve"> základný regulačný nástroj kvality a množstva ŽoNFP predkladaných žiadateľmi.</w:t>
      </w:r>
    </w:p>
    <w:p w14:paraId="4898A0CD"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Výzvu RO vyhlási jej zverejnením na svojom webovom sídle. RO je povinný pred vyhlásením výzvy vykonať kontrolu jej správnosti a kompletnosti, pričom vzor</w:t>
      </w:r>
      <w:r>
        <w:rPr>
          <w:rStyle w:val="Odkaznapoznmkupodiarou"/>
          <w:szCs w:val="22"/>
          <w:lang w:eastAsia="en-US"/>
        </w:rPr>
        <w:footnoteReference w:id="36"/>
      </w:r>
      <w:r>
        <w:rPr>
          <w:szCs w:val="22"/>
          <w:lang w:eastAsia="en-US"/>
        </w:rPr>
        <w:t xml:space="preserve"> kontrolného zoznamu k návrhu výzvy vydáva CKO. Kontrola je zameraná predovšetkým na overenie súladu výzvy s OP, podmienkami uvedenými v relevantnej schéme pomoci a ostatnými relevantnými dokumentmi, ako aj požiadavkami legislatívy EÚ a SR. </w:t>
      </w:r>
      <w:r w:rsidR="00536A8B" w:rsidRPr="007361F7">
        <w:rPr>
          <w:szCs w:val="22"/>
          <w:lang w:eastAsia="en-US"/>
        </w:rPr>
        <w:t xml:space="preserve">RO </w:t>
      </w:r>
      <w:r w:rsidR="00536A8B">
        <w:rPr>
          <w:szCs w:val="22"/>
          <w:lang w:eastAsia="en-US"/>
        </w:rPr>
        <w:t xml:space="preserve">je </w:t>
      </w:r>
      <w:r w:rsidR="00536A8B" w:rsidRPr="007361F7">
        <w:rPr>
          <w:szCs w:val="22"/>
          <w:lang w:eastAsia="en-US"/>
        </w:rPr>
        <w:t>povinn</w:t>
      </w:r>
      <w:r w:rsidR="00536A8B">
        <w:rPr>
          <w:szCs w:val="22"/>
          <w:lang w:eastAsia="en-US"/>
        </w:rPr>
        <w:t>ý</w:t>
      </w:r>
      <w:r w:rsidR="00536A8B" w:rsidRPr="007361F7">
        <w:rPr>
          <w:szCs w:val="22"/>
          <w:lang w:eastAsia="en-US"/>
        </w:rPr>
        <w:t xml:space="preserve"> pred samotným vyhlásením výzvy realizovať publicitu výzvy prostredníctvom tlačovej konferencie, tlačového brífingu, resp. minimálne prostredníctvom tlačovej správy. Prostredníctvom týchto nástrojov budú vysvetlené základné ciele výzvy a pravidlá oprávnenosti. Budú taktiež predstavené základné parametre výzvy vo vzťahu k splneniu cieľov OP a vo vzťahu zníženia administratívnej náročnosti pre žiadateľov.</w:t>
      </w:r>
      <w:r w:rsidR="00536A8B">
        <w:rPr>
          <w:szCs w:val="22"/>
          <w:lang w:eastAsia="en-US"/>
        </w:rPr>
        <w:t xml:space="preserve"> </w:t>
      </w:r>
      <w:r>
        <w:rPr>
          <w:szCs w:val="22"/>
          <w:lang w:eastAsia="en-US"/>
        </w:rPr>
        <w:t>RO je oprávnený informáciu o zverejnenej výzve za účelom lepšej informovanosti šíriť následne aj inými masovo komunikačnými prostriedkami (tlač, médiá a pod.), pričom záväzné znenie je vždy to, ktoré je zverejnené na webovom sídle RO.</w:t>
      </w:r>
      <w:r w:rsidR="00536A8B">
        <w:rPr>
          <w:szCs w:val="22"/>
          <w:lang w:eastAsia="en-US"/>
        </w:rPr>
        <w:t xml:space="preserve"> </w:t>
      </w:r>
    </w:p>
    <w:p w14:paraId="225DBCCE" w14:textId="1E345840" w:rsidR="00B650E5" w:rsidRPr="00245F8B" w:rsidRDefault="00B650E5" w:rsidP="00F57A5F">
      <w:pPr>
        <w:numPr>
          <w:ilvl w:val="0"/>
          <w:numId w:val="379"/>
        </w:numPr>
        <w:spacing w:before="120" w:after="120"/>
        <w:ind w:left="426" w:hanging="426"/>
        <w:jc w:val="both"/>
        <w:rPr>
          <w:szCs w:val="22"/>
          <w:lang w:eastAsia="en-US"/>
        </w:rPr>
      </w:pPr>
      <w:bookmarkStart w:id="180" w:name="kapitola_311_ods_3"/>
      <w:r w:rsidRPr="00245F8B">
        <w:rPr>
          <w:szCs w:val="22"/>
          <w:lang w:eastAsia="en-US"/>
        </w:rPr>
        <w:t xml:space="preserve">RO </w:t>
      </w:r>
      <w:r>
        <w:rPr>
          <w:szCs w:val="22"/>
          <w:lang w:eastAsia="en-US"/>
        </w:rPr>
        <w:t xml:space="preserve">pred vyhlásením výzvy </w:t>
      </w:r>
      <w:r w:rsidRPr="00245F8B">
        <w:rPr>
          <w:szCs w:val="22"/>
          <w:lang w:eastAsia="en-US"/>
        </w:rPr>
        <w:t xml:space="preserve">zašle </w:t>
      </w:r>
      <w:r w:rsidRPr="000E286B">
        <w:rPr>
          <w:szCs w:val="22"/>
          <w:lang w:eastAsia="en-US"/>
        </w:rPr>
        <w:t xml:space="preserve">CKO na e-mailovú adresu </w:t>
      </w:r>
      <w:hyperlink r:id="rId74" w:history="1">
        <w:r w:rsidRPr="000E286B">
          <w:rPr>
            <w:rStyle w:val="Hypertextovprepojenie"/>
            <w:szCs w:val="22"/>
            <w:lang w:eastAsia="en-US"/>
          </w:rPr>
          <w:t>vyzvy@vicepremier.gov.s</w:t>
        </w:r>
        <w:r w:rsidRPr="0065304D">
          <w:rPr>
            <w:rStyle w:val="Hypertextovprepojenie"/>
            <w:szCs w:val="22"/>
            <w:lang w:eastAsia="en-US"/>
          </w:rPr>
          <w:t>k</w:t>
        </w:r>
      </w:hyperlink>
      <w:r w:rsidRPr="000E286B">
        <w:rPr>
          <w:szCs w:val="22"/>
          <w:lang w:eastAsia="en-US"/>
        </w:rPr>
        <w:t xml:space="preserve"> a zároveň gestorom HP na posúdenie </w:t>
      </w:r>
      <w:r>
        <w:rPr>
          <w:szCs w:val="22"/>
          <w:lang w:eastAsia="en-US"/>
        </w:rPr>
        <w:t xml:space="preserve">finálny </w:t>
      </w:r>
      <w:r w:rsidRPr="000E286B">
        <w:rPr>
          <w:szCs w:val="22"/>
          <w:lang w:eastAsia="en-US"/>
        </w:rPr>
        <w:t>návrh výzvy</w:t>
      </w:r>
      <w:r>
        <w:rPr>
          <w:rStyle w:val="Odkaznapoznmkupodiarou"/>
          <w:szCs w:val="22"/>
          <w:lang w:eastAsia="en-US"/>
        </w:rPr>
        <w:footnoteReference w:id="37"/>
      </w:r>
      <w:r w:rsidRPr="000E286B">
        <w:rPr>
          <w:szCs w:val="22"/>
          <w:lang w:eastAsia="en-US"/>
        </w:rPr>
        <w:t>, vrátane všetkých jej príloh a dokumentov, na ktoré sa výzva odvoláva a ktoré nie sú verejne dostupné. V prípade, že prílohy a dokumenty, na ktoré sa výzva odvoláva, sú verejne dostupné, RO spolu s návrh</w:t>
      </w:r>
      <w:r>
        <w:rPr>
          <w:szCs w:val="22"/>
          <w:lang w:eastAsia="en-US"/>
        </w:rPr>
        <w:t>om</w:t>
      </w:r>
      <w:r w:rsidRPr="000E286B">
        <w:rPr>
          <w:szCs w:val="22"/>
          <w:lang w:eastAsia="en-US"/>
        </w:rPr>
        <w:t xml:space="preserve"> výzvy zašle CKO aj hypertextové odkazy na miesto zverejnenia týchto príloh a dokumentov. RO nie je povinný zasielať na posúdenie dokumenty vzťahujúce sa na implementáciu projektov, hoci sa na</w:t>
      </w:r>
      <w:r w:rsidR="002157DF">
        <w:rPr>
          <w:szCs w:val="22"/>
          <w:lang w:eastAsia="en-US"/>
        </w:rPr>
        <w:t> </w:t>
      </w:r>
      <w:r w:rsidRPr="000E286B">
        <w:rPr>
          <w:szCs w:val="22"/>
          <w:lang w:eastAsia="en-US"/>
        </w:rPr>
        <w:t xml:space="preserve">nich výzva odvoláva (napr. príručku pre prijímateľa), ak takéto dokumenty nie sú priamo prílohou výzvy. </w:t>
      </w:r>
      <w:r w:rsidRPr="00997CB0">
        <w:t>Súčasťou predloženého návrhu výzvy je „Dotazník zabezpečenia synergií a</w:t>
      </w:r>
      <w:r w:rsidRPr="00F12951">
        <w:t> </w:t>
      </w:r>
      <w:r w:rsidRPr="00997CB0">
        <w:t>komplementarít, plnenia zákona č. 336/2015 Z.</w:t>
      </w:r>
      <w:r w:rsidR="00A4267B">
        <w:t xml:space="preserve"> </w:t>
      </w:r>
      <w:r w:rsidRPr="00997CB0">
        <w:t>z. a</w:t>
      </w:r>
      <w:r w:rsidRPr="00F12951">
        <w:t> </w:t>
      </w:r>
      <w:r w:rsidRPr="00997CB0">
        <w:t>doplňujúce informácie k</w:t>
      </w:r>
      <w:r w:rsidRPr="00F12951">
        <w:t> </w:t>
      </w:r>
      <w:r w:rsidRPr="00997CB0">
        <w:t>výzve“.</w:t>
      </w:r>
      <w:r>
        <w:rPr>
          <w:color w:val="FF0000"/>
        </w:rPr>
        <w:t xml:space="preserve"> </w:t>
      </w:r>
      <w:r>
        <w:rPr>
          <w:szCs w:val="22"/>
          <w:lang w:eastAsia="en-US"/>
        </w:rPr>
        <w:t xml:space="preserve">Gestor HP zašle záväzné substanovisko v zmysle </w:t>
      </w:r>
      <w:hyperlink w:anchor="kapitola_1315_ods_2s" w:tooltip="kapitoly 1.3.1.5, ods. 2, písm. s)" w:history="1">
        <w:r w:rsidRPr="00BF4EA4">
          <w:rPr>
            <w:rStyle w:val="Hypertextovprepojenie"/>
            <w:szCs w:val="22"/>
            <w:lang w:eastAsia="en-US"/>
          </w:rPr>
          <w:t>kapitoly 1.3.1.5, ods. 2, písm. s)</w:t>
        </w:r>
      </w:hyperlink>
      <w:r>
        <w:rPr>
          <w:szCs w:val="22"/>
          <w:lang w:eastAsia="en-US"/>
        </w:rPr>
        <w:t xml:space="preserve"> CKO </w:t>
      </w:r>
      <w:r>
        <w:t>v termíne stanovenom v systéme implementácie HP (ak je v tomto dokumente stanovený kratší termín ako 7 pracovných dní), resp. najneskôr do 7 pracovných dní od doručenia návrhu výzvy zo strany RO.</w:t>
      </w:r>
    </w:p>
    <w:bookmarkEnd w:id="180"/>
    <w:p w14:paraId="0120E6A2" w14:textId="77777777" w:rsidR="00B650E5" w:rsidRPr="00245F8B" w:rsidRDefault="00B650E5" w:rsidP="000E286B">
      <w:pPr>
        <w:numPr>
          <w:ilvl w:val="0"/>
          <w:numId w:val="379"/>
        </w:numPr>
        <w:spacing w:before="120" w:after="120"/>
        <w:ind w:left="425" w:hanging="425"/>
        <w:jc w:val="both"/>
        <w:rPr>
          <w:szCs w:val="22"/>
          <w:lang w:eastAsia="en-US"/>
        </w:rPr>
      </w:pPr>
      <w:r w:rsidRPr="00245F8B">
        <w:rPr>
          <w:szCs w:val="22"/>
          <w:lang w:eastAsia="en-US"/>
        </w:rPr>
        <w:t>ÚP</w:t>
      </w:r>
      <w:r>
        <w:rPr>
          <w:szCs w:val="22"/>
          <w:lang w:eastAsia="en-US"/>
        </w:rPr>
        <w:t>P</w:t>
      </w:r>
      <w:r w:rsidRPr="00245F8B">
        <w:rPr>
          <w:szCs w:val="22"/>
          <w:lang w:eastAsia="en-US"/>
        </w:rPr>
        <w:t>VII predloženú výzvu posudzuje z hľadiska:</w:t>
      </w:r>
    </w:p>
    <w:p w14:paraId="663C8661"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lastRenderedPageBreak/>
        <w:t>formálnych náležitostí výzvy a podmienok poskytnutia príspevku podľa § 17 ods. 2 až 5 zákona o príspevku z EŠIF,</w:t>
      </w:r>
    </w:p>
    <w:p w14:paraId="3AFC138D" w14:textId="494B1D55"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identifikácie diskriminačných podmienok</w:t>
      </w:r>
      <w:r>
        <w:rPr>
          <w:szCs w:val="22"/>
          <w:lang w:eastAsia="en-US"/>
        </w:rPr>
        <w:t xml:space="preserve"> </w:t>
      </w:r>
      <w:r w:rsidRPr="00C45265">
        <w:rPr>
          <w:szCs w:val="22"/>
          <w:lang w:eastAsia="en-US"/>
        </w:rPr>
        <w:t>(neopodstatnené zvýhodnenie alebo</w:t>
      </w:r>
      <w:r w:rsidR="002157DF">
        <w:rPr>
          <w:szCs w:val="22"/>
          <w:lang w:eastAsia="en-US"/>
        </w:rPr>
        <w:t xml:space="preserve"> </w:t>
      </w:r>
      <w:r w:rsidRPr="00C45265">
        <w:rPr>
          <w:szCs w:val="22"/>
          <w:lang w:eastAsia="en-US"/>
        </w:rPr>
        <w:t xml:space="preserve">znevýhodnenie </w:t>
      </w:r>
      <w:r>
        <w:rPr>
          <w:szCs w:val="22"/>
          <w:lang w:eastAsia="en-US"/>
        </w:rPr>
        <w:t xml:space="preserve">žiadateľa alebo </w:t>
      </w:r>
      <w:r w:rsidRPr="00C45265">
        <w:rPr>
          <w:szCs w:val="22"/>
          <w:lang w:eastAsia="en-US"/>
        </w:rPr>
        <w:t>skupiny žiadateľov s výnimkou aspektov posudzovaných zo</w:t>
      </w:r>
      <w:r w:rsidR="002157DF">
        <w:rPr>
          <w:szCs w:val="22"/>
          <w:lang w:eastAsia="en-US"/>
        </w:rPr>
        <w:t> </w:t>
      </w:r>
      <w:r w:rsidRPr="00C45265">
        <w:rPr>
          <w:szCs w:val="22"/>
          <w:lang w:eastAsia="en-US"/>
        </w:rPr>
        <w:t xml:space="preserve">strany gestora HP </w:t>
      </w:r>
      <w:r w:rsidRPr="00C45265">
        <w:rPr>
          <w:iCs/>
          <w:szCs w:val="22"/>
          <w:lang w:eastAsia="en-US"/>
        </w:rPr>
        <w:t>rovnosť medzi mužmi a ženami a nediskriminácia)</w:t>
      </w:r>
      <w:r>
        <w:rPr>
          <w:iCs/>
          <w:szCs w:val="22"/>
          <w:lang w:eastAsia="en-US"/>
        </w:rPr>
        <w:t xml:space="preserve">, </w:t>
      </w:r>
      <w:r w:rsidRPr="00660BC3">
        <w:rPr>
          <w:iCs/>
          <w:szCs w:val="22"/>
          <w:lang w:eastAsia="en-US"/>
        </w:rPr>
        <w:t xml:space="preserve">pričom spolupracuje s gestorom HP </w:t>
      </w:r>
      <w:r w:rsidRPr="000E286B">
        <w:rPr>
          <w:iCs/>
          <w:color w:val="000000"/>
        </w:rPr>
        <w:t>rovnosť medzi mužmi a ženami a nediskriminácia</w:t>
      </w:r>
      <w:r w:rsidRPr="00660BC3">
        <w:rPr>
          <w:szCs w:val="22"/>
          <w:lang w:eastAsia="en-US"/>
        </w:rPr>
        <w:t>,</w:t>
      </w:r>
    </w:p>
    <w:p w14:paraId="7386E522" w14:textId="77777777" w:rsidR="00B650E5" w:rsidRPr="00245F8B" w:rsidRDefault="00B650E5" w:rsidP="000E286B">
      <w:pPr>
        <w:numPr>
          <w:ilvl w:val="0"/>
          <w:numId w:val="404"/>
        </w:numPr>
        <w:spacing w:before="120" w:after="120"/>
        <w:ind w:left="850" w:hanging="425"/>
        <w:jc w:val="both"/>
        <w:rPr>
          <w:szCs w:val="22"/>
          <w:lang w:eastAsia="en-US"/>
        </w:rPr>
      </w:pPr>
      <w:r w:rsidRPr="00245F8B">
        <w:t>zabezpečenia synergických účinkov a komplementarít európskych štrukturálnych a investičných fondov so zreteľom na podporu využívania integrovaných prístupov,</w:t>
      </w:r>
    </w:p>
    <w:p w14:paraId="19112C2F" w14:textId="61B11A19" w:rsidR="00B650E5" w:rsidRPr="00245F8B" w:rsidRDefault="00B650E5" w:rsidP="000E286B">
      <w:pPr>
        <w:numPr>
          <w:ilvl w:val="0"/>
          <w:numId w:val="404"/>
        </w:numPr>
        <w:spacing w:before="120" w:after="120"/>
        <w:ind w:left="850" w:hanging="425"/>
        <w:jc w:val="both"/>
        <w:rPr>
          <w:szCs w:val="22"/>
          <w:lang w:eastAsia="en-US"/>
        </w:rPr>
      </w:pPr>
      <w:bookmarkStart w:id="181" w:name="kapitola_311_ods_4_d"/>
      <w:r w:rsidRPr="00245F8B">
        <w:t xml:space="preserve">súladu s Partnerskou dohodou Slovenskej republiky na roky 2014 – 2020, operačným programom, záväznými </w:t>
      </w:r>
      <w:r w:rsidRPr="00C45265">
        <w:t xml:space="preserve">pravidlami </w:t>
      </w:r>
      <w:r w:rsidRPr="00245F8B">
        <w:t>upravujúcimi poskytovanie európskych štrukturálnych a investičných fondov a schváleným záväzným plánom operačného programu; súlad s</w:t>
      </w:r>
      <w:r w:rsidR="002157DF">
        <w:t> </w:t>
      </w:r>
      <w:r w:rsidRPr="00245F8B">
        <w:t>dokumentmi podľa tohto písmena je posudzovaný aj s ohľadom na minimalizáciu administratívnej záťaže pre žiadateľov a súlad s horizontálnymi princípmi.</w:t>
      </w:r>
    </w:p>
    <w:p w14:paraId="42D8D107" w14:textId="77777777" w:rsidR="00B650E5" w:rsidRPr="000E286B" w:rsidRDefault="00B650E5" w:rsidP="00C45265">
      <w:pPr>
        <w:numPr>
          <w:ilvl w:val="0"/>
          <w:numId w:val="379"/>
        </w:numPr>
        <w:spacing w:before="120" w:after="120"/>
        <w:ind w:left="425" w:hanging="425"/>
        <w:jc w:val="both"/>
        <w:rPr>
          <w:szCs w:val="22"/>
          <w:lang w:eastAsia="en-US"/>
        </w:rPr>
      </w:pPr>
      <w:bookmarkStart w:id="182" w:name="kapitola_311_ods_5"/>
      <w:bookmarkEnd w:id="181"/>
      <w:r w:rsidRPr="00C45265">
        <w:rPr>
          <w:szCs w:val="22"/>
          <w:lang w:eastAsia="en-US"/>
        </w:rPr>
        <w:t xml:space="preserve">CKO vydá stanovisko do 10 pracovných dní od predloženia výzvy. </w:t>
      </w:r>
      <w:r w:rsidRPr="00E71AC3">
        <w:t>CKO</w:t>
      </w:r>
      <w:r w:rsidRPr="00FC1D92">
        <w:t xml:space="preserve"> je oprávnený za účelom posúdenia predloženej výzvy vyžadovať od RO doplnenie ďalších dokumentov alebo informácií, ktoré sú ne</w:t>
      </w:r>
      <w:r w:rsidRPr="009B0F7F">
        <w:t>vyhnutné na posúdenie výzvy. Čas potrebný na predloženie vyžadovaných dokumentov alebo informácií sa do lehoty podľa prvej vety tohto odseku nezapočítava</w:t>
      </w:r>
      <w:r w:rsidRPr="00C45265">
        <w:t xml:space="preserve">. </w:t>
      </w:r>
      <w:r w:rsidRPr="000E286B">
        <w:t>CKO vydá:</w:t>
      </w:r>
    </w:p>
    <w:p w14:paraId="12D7DE1A" w14:textId="62431137" w:rsidR="00B650E5" w:rsidRPr="000E286B" w:rsidRDefault="00B650E5" w:rsidP="00C45265">
      <w:pPr>
        <w:numPr>
          <w:ilvl w:val="0"/>
          <w:numId w:val="406"/>
        </w:numPr>
        <w:spacing w:before="120" w:after="120"/>
        <w:ind w:left="851" w:hanging="425"/>
        <w:jc w:val="both"/>
        <w:rPr>
          <w:szCs w:val="22"/>
          <w:lang w:eastAsia="en-US"/>
        </w:rPr>
      </w:pPr>
      <w:bookmarkStart w:id="183" w:name="kapitola_311_ods_5_a"/>
      <w:r w:rsidRPr="000E286B">
        <w:rPr>
          <w:szCs w:val="22"/>
          <w:lang w:eastAsia="en-US"/>
        </w:rPr>
        <w:t>súhlasné stanovisko s vyhlásením výzvy bez návrhu na jej úpravu alebo zmenu ako schválenie výzvy, alebo</w:t>
      </w:r>
    </w:p>
    <w:p w14:paraId="7E7035C7" w14:textId="77777777" w:rsidR="00B650E5" w:rsidRPr="000E286B" w:rsidRDefault="00B650E5" w:rsidP="00C45265">
      <w:pPr>
        <w:numPr>
          <w:ilvl w:val="0"/>
          <w:numId w:val="406"/>
        </w:numPr>
        <w:spacing w:before="120" w:after="120"/>
        <w:ind w:left="851" w:hanging="425"/>
        <w:jc w:val="both"/>
        <w:rPr>
          <w:szCs w:val="22"/>
          <w:lang w:eastAsia="en-US"/>
        </w:rPr>
      </w:pPr>
      <w:bookmarkStart w:id="184" w:name="kapitola_311_ods_5_b"/>
      <w:bookmarkEnd w:id="183"/>
      <w:r w:rsidRPr="000E286B">
        <w:rPr>
          <w:szCs w:val="22"/>
          <w:lang w:eastAsia="en-US"/>
        </w:rPr>
        <w:t>súhlasné</w:t>
      </w:r>
      <w:r w:rsidRPr="000E286B">
        <w:rPr>
          <w:szCs w:val="20"/>
        </w:rPr>
        <w:t xml:space="preserve"> </w:t>
      </w:r>
      <w:r w:rsidRPr="000E286B">
        <w:rPr>
          <w:szCs w:val="22"/>
          <w:lang w:eastAsia="en-US"/>
        </w:rPr>
        <w:t>stanovisko s vyhlásením výzvy, ktoré obsahuje odporúčania na jej úpravu ako schválenie výzvy, alebo</w:t>
      </w:r>
    </w:p>
    <w:p w14:paraId="31CC052F" w14:textId="4793233E" w:rsidR="00B650E5" w:rsidRPr="00C45265" w:rsidRDefault="00B650E5" w:rsidP="000E286B">
      <w:pPr>
        <w:numPr>
          <w:ilvl w:val="0"/>
          <w:numId w:val="406"/>
        </w:numPr>
        <w:spacing w:before="120" w:after="120"/>
        <w:ind w:left="851" w:hanging="425"/>
        <w:jc w:val="both"/>
        <w:rPr>
          <w:szCs w:val="22"/>
          <w:lang w:eastAsia="en-US"/>
        </w:rPr>
      </w:pPr>
      <w:bookmarkStart w:id="185" w:name="kapitola_311_ods_5_c"/>
      <w:bookmarkEnd w:id="184"/>
      <w:r w:rsidRPr="000E286B">
        <w:rPr>
          <w:szCs w:val="22"/>
          <w:lang w:eastAsia="en-US"/>
        </w:rPr>
        <w:t>nesúhlasné stanovisko s vyhlásením výzvy z dôvodu identifikácie závažných nedostatkov brániacich jej vyhláseniu ako neschválenie výzvy; stanovisko obsahuje jasnú identifikáciu zistených nedostatkov a návrh nápravných opatrení na ich odstránenie. Za závažné nedostatky brániace vyhláseniu výzvy sa považuje najmä rozpor výzvy so všeobecne záväznými právnymi predpismi, Systémom riadenia EŠIF a dokumentmi vydávanými na</w:t>
      </w:r>
      <w:r w:rsidR="002157DF">
        <w:rPr>
          <w:szCs w:val="22"/>
          <w:lang w:eastAsia="en-US"/>
        </w:rPr>
        <w:t> </w:t>
      </w:r>
      <w:r w:rsidRPr="000E286B">
        <w:rPr>
          <w:szCs w:val="22"/>
          <w:lang w:eastAsia="en-US"/>
        </w:rPr>
        <w:t xml:space="preserve">jeho základe v zmysle </w:t>
      </w:r>
      <w:hyperlink w:anchor="kapitola_12_ods_3" w:tooltip="kapitoly 1.2, ods. 3., písm. a) až d)" w:history="1">
        <w:r w:rsidRPr="000E286B">
          <w:rPr>
            <w:szCs w:val="22"/>
            <w:lang w:eastAsia="en-US"/>
          </w:rPr>
          <w:t>kapitoly 1.2, ods. 3., písm. a) až d)</w:t>
        </w:r>
      </w:hyperlink>
      <w:r w:rsidRPr="000E286B">
        <w:rPr>
          <w:szCs w:val="22"/>
          <w:lang w:eastAsia="en-US"/>
        </w:rPr>
        <w:t>.</w:t>
      </w:r>
    </w:p>
    <w:bookmarkEnd w:id="182"/>
    <w:bookmarkEnd w:id="185"/>
    <w:p w14:paraId="7AEFB982" w14:textId="77777777" w:rsidR="00B650E5" w:rsidRPr="000E286B" w:rsidRDefault="00B650E5" w:rsidP="000E286B">
      <w:pPr>
        <w:numPr>
          <w:ilvl w:val="0"/>
          <w:numId w:val="379"/>
        </w:numPr>
        <w:spacing w:before="120" w:after="120"/>
        <w:ind w:left="425" w:hanging="425"/>
        <w:jc w:val="both"/>
        <w:rPr>
          <w:szCs w:val="22"/>
          <w:lang w:eastAsia="en-US"/>
        </w:rPr>
      </w:pPr>
      <w:r w:rsidRPr="00C45265">
        <w:t xml:space="preserve">Ak počas plynutia lehoty podľa </w:t>
      </w:r>
      <w:hyperlink w:anchor="kapitola_311_ods_5" w:tooltip="ods. 5 tejto kapitoly" w:history="1">
        <w:r w:rsidRPr="005470DD">
          <w:rPr>
            <w:rStyle w:val="Hypertextovprepojenie"/>
          </w:rPr>
          <w:t>ods. 5 tejto kapitoly</w:t>
        </w:r>
      </w:hyperlink>
      <w:r w:rsidRPr="00C45265">
        <w:t xml:space="preserve"> RO vykoná vo výzve alebo jej prílohách a dokumentoch, na ktoré sa výzva odvoláva akékoľvek úpravy, je RO povinný zaslať upravenú výzvu opätovne </w:t>
      </w:r>
      <w:r>
        <w:t xml:space="preserve">na posúdenie </w:t>
      </w:r>
      <w:r w:rsidRPr="00C45265">
        <w:t xml:space="preserve">podľa </w:t>
      </w:r>
      <w:hyperlink w:anchor="kapitola_311_ods_3" w:tooltip="ods. 3 tejto kapitoly" w:history="1">
        <w:r w:rsidRPr="00C45265">
          <w:rPr>
            <w:rStyle w:val="Hypertextovprepojenie"/>
          </w:rPr>
          <w:t>ods. 3 tejto kapitoly</w:t>
        </w:r>
      </w:hyperlink>
      <w:r w:rsidRPr="00C45265">
        <w:t xml:space="preserve">, pričom CKO </w:t>
      </w:r>
      <w:r>
        <w:t>začne plynúť nová lehota</w:t>
      </w:r>
      <w:r w:rsidRPr="00C45265">
        <w:t xml:space="preserve"> podľa </w:t>
      </w:r>
      <w:hyperlink w:anchor="kapitola_311_ods_5" w:tooltip="ods. 5 tejto kapitoly" w:history="1">
        <w:r w:rsidRPr="00C45265">
          <w:rPr>
            <w:rStyle w:val="Hypertextovprepojenie"/>
          </w:rPr>
          <w:t>ods. 5 tejto kapitoly</w:t>
        </w:r>
      </w:hyperlink>
      <w:r w:rsidRPr="00C45265">
        <w:t>.</w:t>
      </w:r>
    </w:p>
    <w:p w14:paraId="59AC9D79" w14:textId="77777777" w:rsidR="00B650E5" w:rsidRDefault="00B650E5" w:rsidP="000E286B">
      <w:pPr>
        <w:numPr>
          <w:ilvl w:val="0"/>
          <w:numId w:val="379"/>
        </w:numPr>
        <w:spacing w:before="120" w:after="120"/>
        <w:ind w:left="425" w:hanging="425"/>
        <w:jc w:val="both"/>
        <w:rPr>
          <w:szCs w:val="22"/>
          <w:lang w:eastAsia="en-US"/>
        </w:rPr>
      </w:pPr>
      <w:r>
        <w:rPr>
          <w:szCs w:val="22"/>
          <w:lang w:eastAsia="en-US"/>
        </w:rPr>
        <w:t>Ak sa RO doručí súhlasné stanovisko bez návrhu na úpravu alebo zmenu, je oprávnený vyhlásiť výzvu v súlade s návrhom predloženým CKO.</w:t>
      </w:r>
    </w:p>
    <w:p w14:paraId="4E21FE80" w14:textId="1999E533" w:rsidR="00B650E5" w:rsidRPr="000E286B" w:rsidRDefault="00B650E5" w:rsidP="000E286B">
      <w:pPr>
        <w:numPr>
          <w:ilvl w:val="0"/>
          <w:numId w:val="379"/>
        </w:numPr>
        <w:spacing w:before="120" w:after="120"/>
        <w:ind w:left="425" w:hanging="425"/>
        <w:jc w:val="both"/>
        <w:rPr>
          <w:szCs w:val="22"/>
          <w:lang w:eastAsia="en-US"/>
        </w:rPr>
      </w:pPr>
      <w:r>
        <w:rPr>
          <w:szCs w:val="22"/>
          <w:lang w:eastAsia="en-US"/>
        </w:rPr>
        <w:t xml:space="preserve">Ak sa RO doručí súhlasné stanovisko s vyhlásením výzvy, ktoré obsahuje odporúčania na jej úpravu, riadiaci orgán pred vyhlásením výzvy zváži </w:t>
      </w:r>
      <w:r w:rsidR="007C6114">
        <w:rPr>
          <w:szCs w:val="22"/>
          <w:lang w:eastAsia="en-US"/>
        </w:rPr>
        <w:t xml:space="preserve">jej </w:t>
      </w:r>
      <w:r>
        <w:rPr>
          <w:szCs w:val="22"/>
          <w:lang w:eastAsia="en-US"/>
        </w:rPr>
        <w:t xml:space="preserve">úpravu na základe navrhnutých odporúčaní. </w:t>
      </w:r>
      <w:r w:rsidR="00316337" w:rsidRPr="00AF0BE2">
        <w:rPr>
          <w:szCs w:val="22"/>
          <w:lang w:eastAsia="en-US"/>
        </w:rPr>
        <w:t>RO nie je povinný prijať navrhované odporúčania a môže výzvu vyhlásiť. Uvedené sa netýka prípadov, ak CKO označil vybrané odporúčania za zásadné. V prípade, ak sa po</w:t>
      </w:r>
      <w:r w:rsidR="002157DF">
        <w:rPr>
          <w:szCs w:val="22"/>
          <w:lang w:eastAsia="en-US"/>
        </w:rPr>
        <w:t> </w:t>
      </w:r>
      <w:r w:rsidR="00316337" w:rsidRPr="00AF0BE2">
        <w:rPr>
          <w:szCs w:val="22"/>
          <w:lang w:eastAsia="en-US"/>
        </w:rPr>
        <w:t xml:space="preserve">zvážení zásadných odporúčaní rozhodne RO tieto odporúčania nezapracovať, je RO povinný požiadať CKO o ich prerokovanie ešte pred samotným vyhlásením výzvy. </w:t>
      </w:r>
      <w:r>
        <w:rPr>
          <w:szCs w:val="22"/>
          <w:lang w:eastAsia="en-US"/>
        </w:rPr>
        <w:t xml:space="preserve">Vyhodnotenie spôsobu zohľadnenia navrhovaných odporúčaní vrátane zdôvodnenia nezapracovaných odporúčaní zasiela riadiaci orgán CKO </w:t>
      </w:r>
      <w:r w:rsidR="00A71464">
        <w:rPr>
          <w:szCs w:val="22"/>
          <w:lang w:eastAsia="en-US"/>
        </w:rPr>
        <w:t xml:space="preserve">a v kópii gestorom HP </w:t>
      </w:r>
      <w:r>
        <w:rPr>
          <w:szCs w:val="22"/>
          <w:lang w:eastAsia="en-US"/>
        </w:rPr>
        <w:t xml:space="preserve">do 10 pracovných dní od vyhlásenia výzvy. </w:t>
      </w:r>
    </w:p>
    <w:p w14:paraId="092D62A6" w14:textId="3319B404" w:rsidR="00B650E5" w:rsidRPr="00245F8B" w:rsidRDefault="00B650E5" w:rsidP="000E286B">
      <w:pPr>
        <w:numPr>
          <w:ilvl w:val="0"/>
          <w:numId w:val="379"/>
        </w:numPr>
        <w:spacing w:before="120" w:after="120"/>
        <w:ind w:left="425" w:hanging="425"/>
        <w:jc w:val="both"/>
        <w:rPr>
          <w:szCs w:val="22"/>
          <w:lang w:eastAsia="en-US"/>
        </w:rPr>
      </w:pPr>
      <w:r w:rsidRPr="00245F8B">
        <w:t xml:space="preserve">Ak sa RO doručí nesúhlasné stanovisko s vyhlásením výzvy, vyhlásenie výzvy bez zapracovania navrhovaných nápravných opatrení alebo bez odstránenia rozporu ohľadne spôsobu odstránenia identifikovaných nedostatkov sa považuje za vyhlásenie výzvy bez predchádzajúceho súhlasu. </w:t>
      </w:r>
      <w:r w:rsidRPr="00245F8B">
        <w:lastRenderedPageBreak/>
        <w:t>RO po odstránení nedostatkov identifikovaných na základe nesúhlasného stanoviska s</w:t>
      </w:r>
      <w:r w:rsidR="002157DF">
        <w:t> </w:t>
      </w:r>
      <w:r w:rsidRPr="00245F8B">
        <w:t xml:space="preserve">vyhlásením výzvy predloží upravené znenie výzvy na posúdenie, pričom opätovné posúdenie sa spravuje postupom podľa </w:t>
      </w:r>
      <w:hyperlink w:anchor="kapitola_3111_ods_3" w:tooltip="ods. 3 až ods. 12 tejto kapitoly" w:history="1">
        <w:r w:rsidRPr="00DA0508">
          <w:rPr>
            <w:rStyle w:val="Hypertextovprepojenie"/>
          </w:rPr>
          <w:t>ods. 3 až ods. 12 tejto kapitoly</w:t>
        </w:r>
      </w:hyperlink>
      <w:r w:rsidRPr="00245F8B">
        <w:t xml:space="preserve">. Lehota na vydanie stanoviska je 5 pracovných dní od predloženia upraveného znenia výzvy. Ak </w:t>
      </w:r>
      <w:r>
        <w:t>CKO</w:t>
      </w:r>
      <w:r w:rsidRPr="00245F8B">
        <w:t xml:space="preserve"> do 5 pracovných dní od</w:t>
      </w:r>
      <w:r w:rsidR="002157DF">
        <w:t> </w:t>
      </w:r>
      <w:r w:rsidRPr="00245F8B">
        <w:t xml:space="preserve">predloženia upraveného znenia výzvy nezašle RO žiadne stanovisko, považuje sa taký postup za vydanie súhlasného stanoviska bez návrhu na zmenu a RO je oprávnený výzvu </w:t>
      </w:r>
      <w:r w:rsidRPr="00723B2E">
        <w:t>vyhlásiť</w:t>
      </w:r>
      <w:r w:rsidRPr="000E286B">
        <w:t xml:space="preserve">. </w:t>
      </w:r>
      <w:r w:rsidRPr="00723B2E">
        <w:t>Ak</w:t>
      </w:r>
      <w:r>
        <w:t xml:space="preserve"> n</w:t>
      </w:r>
      <w:r w:rsidRPr="00723B2E">
        <w:t>a</w:t>
      </w:r>
      <w:r w:rsidR="002157DF">
        <w:t> </w:t>
      </w:r>
      <w:r w:rsidRPr="00723B2E">
        <w:t xml:space="preserve">základe nesúhlasu </w:t>
      </w:r>
      <w:r>
        <w:t>RO</w:t>
      </w:r>
      <w:r w:rsidRPr="00723B2E">
        <w:t xml:space="preserve"> </w:t>
      </w:r>
      <w:r>
        <w:t xml:space="preserve">so </w:t>
      </w:r>
      <w:r w:rsidRPr="00245F8B">
        <w:t>spôsob</w:t>
      </w:r>
      <w:r>
        <w:t>om</w:t>
      </w:r>
      <w:r w:rsidRPr="00245F8B">
        <w:t xml:space="preserve"> odstránenia identifikovaných nedostatkov</w:t>
      </w:r>
      <w:r w:rsidRPr="00723B2E">
        <w:t>, po rozporovom konaní s</w:t>
      </w:r>
      <w:r>
        <w:t> CKO,</w:t>
      </w:r>
      <w:r w:rsidRPr="00723B2E">
        <w:t xml:space="preserve"> obe strany odstránia rozpor s takým záverom, že výzvu nie je potrebné upraviť vôbec</w:t>
      </w:r>
      <w:r>
        <w:t>, RO</w:t>
      </w:r>
      <w:r w:rsidRPr="00723B2E">
        <w:t xml:space="preserve"> nezasiela výzvu na opätovné posúdenie a k jej vyhláseniu môže dôjsť na základe potvrdeného odstránenia rozporu. </w:t>
      </w:r>
      <w:r>
        <w:t>Pr</w:t>
      </w:r>
      <w:r w:rsidRPr="00723B2E">
        <w:t xml:space="preserve">e </w:t>
      </w:r>
      <w:r>
        <w:t>RO</w:t>
      </w:r>
      <w:r w:rsidRPr="00723B2E">
        <w:t xml:space="preserve"> </w:t>
      </w:r>
      <w:r>
        <w:t xml:space="preserve">je </w:t>
      </w:r>
      <w:r w:rsidRPr="00723B2E">
        <w:t xml:space="preserve">potvrdením odstránenia rozporu písomné odsúhlasenie možnosti vyhlásiť výzvu zo strany </w:t>
      </w:r>
      <w:r>
        <w:t>CKO</w:t>
      </w:r>
      <w:r w:rsidRPr="00723B2E">
        <w:t>.</w:t>
      </w:r>
    </w:p>
    <w:p w14:paraId="2D2E2E3B" w14:textId="7C1BD2B8" w:rsidR="00B650E5" w:rsidRPr="00245F8B" w:rsidRDefault="00B650E5" w:rsidP="00245F8B">
      <w:pPr>
        <w:numPr>
          <w:ilvl w:val="0"/>
          <w:numId w:val="379"/>
        </w:numPr>
        <w:spacing w:before="120" w:after="120"/>
        <w:ind w:left="426" w:hanging="426"/>
        <w:jc w:val="both"/>
        <w:rPr>
          <w:szCs w:val="22"/>
          <w:lang w:eastAsia="en-US"/>
        </w:rPr>
      </w:pPr>
      <w:r w:rsidRPr="00245F8B">
        <w:t xml:space="preserve">Ak </w:t>
      </w:r>
      <w:r>
        <w:t>CKO</w:t>
      </w:r>
      <w:r w:rsidRPr="00245F8B">
        <w:t xml:space="preserve"> do 10 pracovných dní od predloženia výzvy</w:t>
      </w:r>
      <w:r>
        <w:t xml:space="preserve"> podľa </w:t>
      </w:r>
      <w:hyperlink w:anchor="kapitola_311_ods_3" w:tooltip="ods. 3 tejto kapitoly" w:history="1">
        <w:r w:rsidRPr="00717045">
          <w:rPr>
            <w:rStyle w:val="Hypertextovprepojenie"/>
          </w:rPr>
          <w:t>ods. 3 tejto kapitoly</w:t>
        </w:r>
      </w:hyperlink>
      <w:r w:rsidRPr="00245F8B">
        <w:t xml:space="preserve"> nezašle RO žiadne stanovisko, považuje sa taký postup za vydanie súhlasného stanoviska bez návrhu na</w:t>
      </w:r>
      <w:r w:rsidR="002157DF">
        <w:t> </w:t>
      </w:r>
      <w:r w:rsidRPr="00245F8B">
        <w:t>zmenu a RO je oprávnený výzvu vyhlásiť.</w:t>
      </w:r>
    </w:p>
    <w:p w14:paraId="5FB0628D" w14:textId="77777777" w:rsidR="00B650E5" w:rsidRPr="00245F8B" w:rsidRDefault="00B650E5" w:rsidP="000E286B">
      <w:pPr>
        <w:numPr>
          <w:ilvl w:val="0"/>
          <w:numId w:val="379"/>
        </w:numPr>
        <w:spacing w:before="120" w:after="120"/>
        <w:ind w:left="425" w:hanging="425"/>
        <w:jc w:val="both"/>
        <w:rPr>
          <w:szCs w:val="22"/>
          <w:lang w:eastAsia="en-US"/>
        </w:rPr>
      </w:pPr>
      <w:bookmarkStart w:id="186" w:name="kapitola_311_ods_11"/>
      <w:r w:rsidRPr="00245F8B">
        <w:t>RO je pred vyhlásením výzvy oprávnený vykonať vo výzve v znení v akom bola výzva predložená úradu len:</w:t>
      </w:r>
    </w:p>
    <w:bookmarkEnd w:id="186"/>
    <w:p w14:paraId="0CC1A241"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odporúčaní obsiahnutých v stanovisku </w:t>
      </w:r>
      <w:r w:rsidRPr="00E71AC3">
        <w:t xml:space="preserve">podľa </w:t>
      </w:r>
      <w:hyperlink w:anchor="kapitola_311_ods_5_b" w:tooltip="ods. 5, písm. b) tejto kapitoly" w:history="1">
        <w:r w:rsidRPr="005470DD">
          <w:rPr>
            <w:rStyle w:val="Hypertextovprepojenie"/>
          </w:rPr>
          <w:t>ods. 5, písm. b) tejto kapitoly</w:t>
        </w:r>
      </w:hyperlink>
      <w:r w:rsidRPr="00245F8B">
        <w:t>,</w:t>
      </w:r>
    </w:p>
    <w:p w14:paraId="7B7A41B8"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identifikovaných nedostatkov zahrnutých v stanovisku </w:t>
      </w:r>
      <w:r w:rsidRPr="00E71AC3">
        <w:t xml:space="preserve">podľa </w:t>
      </w:r>
      <w:hyperlink w:anchor="kapitola_311_ods_5_c" w:tooltip="ods. 5, písm. c) tejto kapitoly" w:history="1">
        <w:r w:rsidRPr="005470DD">
          <w:rPr>
            <w:rStyle w:val="Hypertextovprepojenie"/>
          </w:rPr>
          <w:t>ods. 5, písm. c) tejto kapitoly</w:t>
        </w:r>
      </w:hyperlink>
      <w:r w:rsidRPr="00245F8B">
        <w:t>,</w:t>
      </w:r>
    </w:p>
    <w:p w14:paraId="1C383332" w14:textId="77777777" w:rsidR="00B650E5" w:rsidRPr="00245F8B" w:rsidRDefault="00B650E5" w:rsidP="000E286B">
      <w:pPr>
        <w:numPr>
          <w:ilvl w:val="0"/>
          <w:numId w:val="405"/>
        </w:numPr>
        <w:spacing w:before="120" w:after="120"/>
        <w:ind w:left="850" w:hanging="425"/>
        <w:jc w:val="both"/>
      </w:pPr>
      <w:r w:rsidRPr="00245F8B">
        <w:t xml:space="preserve">opravu chýb v písaní, počítaní alebo iných zrejmých nesprávností vo výzve, </w:t>
      </w:r>
    </w:p>
    <w:p w14:paraId="3310C8AD" w14:textId="77777777" w:rsidR="00B650E5" w:rsidRPr="00245F8B" w:rsidRDefault="00B650E5" w:rsidP="000E286B">
      <w:pPr>
        <w:numPr>
          <w:ilvl w:val="0"/>
          <w:numId w:val="405"/>
        </w:numPr>
        <w:spacing w:before="120" w:after="120"/>
        <w:ind w:left="850" w:hanging="425"/>
        <w:jc w:val="both"/>
      </w:pPr>
      <w:r w:rsidRPr="00245F8B">
        <w:t>zmeny spôsobené posunom v plánovanom termíne vyhlásenia výzvy,</w:t>
      </w:r>
    </w:p>
    <w:p w14:paraId="25EF6193" w14:textId="526FD1CE" w:rsidR="00B650E5" w:rsidRPr="00245F8B" w:rsidRDefault="00B650E5" w:rsidP="000E286B">
      <w:pPr>
        <w:numPr>
          <w:ilvl w:val="0"/>
          <w:numId w:val="405"/>
        </w:numPr>
        <w:spacing w:before="120" w:after="120"/>
        <w:ind w:left="850" w:hanging="425"/>
        <w:jc w:val="both"/>
      </w:pPr>
      <w:r w:rsidRPr="00245F8B">
        <w:t>zmeny vyplývajúce zo zmien príslušných právnych predpisov a záväzných metodických dokumentov</w:t>
      </w:r>
      <w:r>
        <w:t>,</w:t>
      </w:r>
    </w:p>
    <w:p w14:paraId="6B7F1E3D" w14:textId="77777777" w:rsidR="00B650E5" w:rsidRPr="00245F8B" w:rsidRDefault="00B650E5" w:rsidP="000E286B">
      <w:pPr>
        <w:numPr>
          <w:ilvl w:val="0"/>
          <w:numId w:val="405"/>
        </w:numPr>
        <w:spacing w:before="120" w:after="120"/>
        <w:ind w:left="850" w:hanging="425"/>
        <w:jc w:val="both"/>
      </w:pPr>
      <w:r w:rsidRPr="00245F8B">
        <w:t xml:space="preserve">iné zmeny potrebné za účelom </w:t>
      </w:r>
      <w:r>
        <w:t>úpravy</w:t>
      </w:r>
      <w:r w:rsidRPr="00245F8B">
        <w:t xml:space="preserve"> výzvy vykonané v súčinnosti s </w:t>
      </w:r>
      <w:r>
        <w:t>CKO</w:t>
      </w:r>
      <w:r w:rsidRPr="00245F8B">
        <w:t>.</w:t>
      </w:r>
    </w:p>
    <w:p w14:paraId="06B80233" w14:textId="77777777" w:rsidR="00B650E5" w:rsidRDefault="00B650E5" w:rsidP="000E286B">
      <w:pPr>
        <w:numPr>
          <w:ilvl w:val="0"/>
          <w:numId w:val="379"/>
        </w:numPr>
        <w:spacing w:before="120" w:after="120"/>
        <w:ind w:left="425" w:hanging="425"/>
        <w:jc w:val="both"/>
      </w:pPr>
      <w:r w:rsidRPr="00245F8B">
        <w:t xml:space="preserve">Ak RO </w:t>
      </w:r>
      <w:r>
        <w:t xml:space="preserve">po doručení stanoviska podľa </w:t>
      </w:r>
      <w:hyperlink w:anchor="kapitola_311_ods_5_a" w:tooltip="ods. 5, písm. a) alebo b) tejto kapitoly" w:history="1">
        <w:r w:rsidRPr="00AA578B">
          <w:rPr>
            <w:rStyle w:val="Hypertextovprepojenie"/>
          </w:rPr>
          <w:t>ods. 5, písm. a) alebo b) tejto kapitoly</w:t>
        </w:r>
      </w:hyperlink>
      <w:r>
        <w:t xml:space="preserve"> </w:t>
      </w:r>
      <w:r w:rsidRPr="00245F8B">
        <w:t>pred vyhlásením výzvy zistí, že je potrebné vykonať iné zmeny ako sú uvedené v </w:t>
      </w:r>
      <w:hyperlink w:anchor="kapitola_311_ods_11" w:tooltip="ods. 11 tejto kapitoly" w:history="1">
        <w:r w:rsidRPr="00805A45">
          <w:rPr>
            <w:rStyle w:val="Hypertextovprepojenie"/>
          </w:rPr>
          <w:t>ods. 11 tejto kapitoly</w:t>
        </w:r>
      </w:hyperlink>
      <w:r w:rsidRPr="00245F8B">
        <w:t xml:space="preserve">, takto zmenená výzva sa opätovne posúdi postupom podľa </w:t>
      </w:r>
      <w:hyperlink w:anchor="kapitola_311_ods_3" w:tooltip="ods. 3 až ods. 12 tejto kapitoly" w:history="1">
        <w:r w:rsidRPr="00E55A4F">
          <w:rPr>
            <w:rStyle w:val="Hypertextovprepojenie"/>
          </w:rPr>
          <w:t xml:space="preserve">ods. 3 až ods. </w:t>
        </w:r>
        <w:r>
          <w:rPr>
            <w:rStyle w:val="Hypertextovprepojenie"/>
          </w:rPr>
          <w:t>12</w:t>
        </w:r>
        <w:r w:rsidRPr="00E55A4F">
          <w:rPr>
            <w:rStyle w:val="Hypertextovprepojenie"/>
          </w:rPr>
          <w:t xml:space="preserve"> tejto kapitoly</w:t>
        </w:r>
      </w:hyperlink>
      <w:r w:rsidRPr="000E286B">
        <w:t>.</w:t>
      </w:r>
    </w:p>
    <w:p w14:paraId="5C3911B4" w14:textId="77777777" w:rsidR="00B650E5" w:rsidRPr="00245F8B" w:rsidRDefault="00B650E5" w:rsidP="000E286B">
      <w:pPr>
        <w:numPr>
          <w:ilvl w:val="0"/>
          <w:numId w:val="379"/>
        </w:numPr>
        <w:spacing w:before="120" w:after="120"/>
        <w:ind w:left="425" w:hanging="425"/>
        <w:jc w:val="both"/>
      </w:pPr>
      <w:r>
        <w:t xml:space="preserve">Postup podľa odsekov 3 až 12 sa nevzťahuje na zmeny a zrušenie výzvy podľa </w:t>
      </w:r>
      <w:hyperlink w:anchor="kapitola_3111" w:tooltip="kapitoly 3.1.1.1" w:history="1">
        <w:r w:rsidRPr="00FC1D92">
          <w:rPr>
            <w:rStyle w:val="Hypertextovprepojenie"/>
          </w:rPr>
          <w:t>kapitoly 3.1.1.1</w:t>
        </w:r>
      </w:hyperlink>
      <w:r>
        <w:t xml:space="preserve">. </w:t>
      </w:r>
    </w:p>
    <w:p w14:paraId="1469028E" w14:textId="308FCB91" w:rsidR="00B650E5" w:rsidRDefault="00B650E5" w:rsidP="00DE5D89">
      <w:pPr>
        <w:numPr>
          <w:ilvl w:val="0"/>
          <w:numId w:val="379"/>
        </w:numPr>
        <w:spacing w:before="120" w:after="120"/>
        <w:ind w:left="426" w:hanging="426"/>
        <w:jc w:val="both"/>
        <w:rPr>
          <w:szCs w:val="22"/>
          <w:lang w:eastAsia="en-US"/>
        </w:rPr>
      </w:pPr>
      <w:r>
        <w:rPr>
          <w:szCs w:val="22"/>
          <w:lang w:eastAsia="en-US"/>
        </w:rPr>
        <w:t>Jednotný formulár výzvy je upravený vo vzore</w:t>
      </w:r>
      <w:r>
        <w:rPr>
          <w:rStyle w:val="Odkaznapoznmkupodiarou"/>
          <w:szCs w:val="22"/>
          <w:lang w:eastAsia="en-US"/>
        </w:rPr>
        <w:footnoteReference w:id="38"/>
      </w:r>
      <w:r>
        <w:rPr>
          <w:szCs w:val="22"/>
          <w:lang w:eastAsia="en-US"/>
        </w:rPr>
        <w:t>, ktorý vydáva CKO. Výzva obsahuje:</w:t>
      </w:r>
    </w:p>
    <w:p w14:paraId="1B93C519"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formálne náležitosti (§ 17 ods. 2 zákona o príspevku z EŠIF),</w:t>
      </w:r>
    </w:p>
    <w:p w14:paraId="0EFD1CD0"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podmienky poskytnutia príspevku:</w:t>
      </w:r>
    </w:p>
    <w:p w14:paraId="1F470B0A"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Povinné podmienky poskytnutia príspevku (§ 17 ods. 3 zákona o príspevku z EŠIF)</w:t>
      </w:r>
    </w:p>
    <w:p w14:paraId="037F504F"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Fakultatívne podmienky poskytnutia príspevku (§ 17 ods. 4 zákona o príspevku z EŠIF)</w:t>
      </w:r>
    </w:p>
    <w:p w14:paraId="463899BA"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Prílohy:</w:t>
      </w:r>
    </w:p>
    <w:p w14:paraId="046E42CD"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formulár ŽoNFP,</w:t>
      </w:r>
    </w:p>
    <w:p w14:paraId="150557DD"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príručka pre žiadateľa,</w:t>
      </w:r>
    </w:p>
    <w:p w14:paraId="09088544"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schéma pomoci (ak relevantné v prípade odkazu na dokument vo výzve),</w:t>
      </w:r>
    </w:p>
    <w:p w14:paraId="26ED3C39"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zoznam merateľných ukazovateľov,</w:t>
      </w:r>
    </w:p>
    <w:p w14:paraId="762C2B39" w14:textId="14397115" w:rsidR="00B650E5" w:rsidRDefault="00B650E5">
      <w:pPr>
        <w:numPr>
          <w:ilvl w:val="2"/>
          <w:numId w:val="80"/>
        </w:numPr>
        <w:spacing w:before="120" w:after="120"/>
        <w:ind w:left="1276" w:hanging="425"/>
        <w:jc w:val="both"/>
        <w:rPr>
          <w:bCs/>
          <w:iCs/>
          <w:szCs w:val="22"/>
          <w:lang w:eastAsia="en-US"/>
        </w:rPr>
      </w:pPr>
      <w:r>
        <w:rPr>
          <w:bCs/>
          <w:iCs/>
          <w:szCs w:val="22"/>
          <w:lang w:eastAsia="en-US"/>
        </w:rPr>
        <w:lastRenderedPageBreak/>
        <w:t>p</w:t>
      </w:r>
      <w:r w:rsidR="0098559F" w:rsidRPr="00997CB0">
        <w:rPr>
          <w:bCs/>
          <w:iCs/>
          <w:szCs w:val="22"/>
          <w:lang w:eastAsia="en-US"/>
        </w:rPr>
        <w:t>redbežná informácia pre žiadateľov o nenávratný finančný príspevok / o príspevok v</w:t>
      </w:r>
      <w:r w:rsidR="00430C9B">
        <w:rPr>
          <w:bCs/>
          <w:iCs/>
          <w:szCs w:val="22"/>
          <w:lang w:eastAsia="en-US"/>
        </w:rPr>
        <w:t> </w:t>
      </w:r>
      <w:r w:rsidR="0098559F" w:rsidRPr="00997CB0">
        <w:rPr>
          <w:bCs/>
          <w:iCs/>
          <w:szCs w:val="22"/>
          <w:lang w:eastAsia="en-US"/>
        </w:rPr>
        <w:t>zmysle čl. 105a nariadenia Európskeho Parlamentu a Rady (EÚ, EURATOM) č.</w:t>
      </w:r>
      <w:r w:rsidR="00430C9B">
        <w:rPr>
          <w:bCs/>
          <w:iCs/>
          <w:szCs w:val="22"/>
          <w:lang w:eastAsia="en-US"/>
        </w:rPr>
        <w:t> </w:t>
      </w:r>
      <w:r w:rsidR="0098559F" w:rsidRPr="00997CB0">
        <w:rPr>
          <w:bCs/>
          <w:iCs/>
          <w:szCs w:val="22"/>
          <w:lang w:eastAsia="en-US"/>
        </w:rPr>
        <w:t>1929/2015 z 28. októbra 2015, ktorým sa mení nariadenie (EÚ, EURATOM) č.</w:t>
      </w:r>
      <w:r w:rsidR="00430C9B">
        <w:rPr>
          <w:bCs/>
          <w:iCs/>
          <w:szCs w:val="22"/>
          <w:lang w:eastAsia="en-US"/>
        </w:rPr>
        <w:t> </w:t>
      </w:r>
      <w:r w:rsidR="0098559F" w:rsidRPr="00997CB0">
        <w:rPr>
          <w:bCs/>
          <w:iCs/>
          <w:szCs w:val="22"/>
          <w:lang w:eastAsia="en-US"/>
        </w:rPr>
        <w:t>966/2012 o rozpočtových pravidlách, ktoré sa vzťahujú na všeobecný rozpočet Únie</w:t>
      </w:r>
      <w:r>
        <w:rPr>
          <w:bCs/>
          <w:iCs/>
          <w:szCs w:val="22"/>
          <w:lang w:eastAsia="en-US"/>
        </w:rPr>
        <w:t>,</w:t>
      </w:r>
    </w:p>
    <w:p w14:paraId="178325B7"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ďalšie prílohy.</w:t>
      </w:r>
    </w:p>
    <w:p w14:paraId="1D4AA8A3"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RO zverejní pri otvorených výzvach na svojom webovom sídle informáciu o tom, že plánuje ukončiť výzvu z dôvodu blížiaceho sa vyčerpania alokácie.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voľnú časť indikatívnej alokáciu z dôvodu, aby sa mohli žiadatelia efektívne rozhodovať pri predkladaní ŽoNFP.</w:t>
      </w:r>
    </w:p>
    <w:p w14:paraId="54342FCF" w14:textId="7AB3F037" w:rsidR="00B650E5" w:rsidRDefault="00B650E5" w:rsidP="00DE5D89">
      <w:pPr>
        <w:numPr>
          <w:ilvl w:val="0"/>
          <w:numId w:val="379"/>
        </w:numPr>
        <w:spacing w:before="120" w:after="120"/>
        <w:ind w:left="426" w:hanging="426"/>
        <w:jc w:val="both"/>
        <w:rPr>
          <w:szCs w:val="22"/>
          <w:lang w:eastAsia="en-US"/>
        </w:rPr>
      </w:pPr>
      <w:r>
        <w:rPr>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w:t>
      </w:r>
      <w:r w:rsidR="00430C9B">
        <w:rPr>
          <w:szCs w:val="22"/>
          <w:lang w:eastAsia="en-US"/>
        </w:rPr>
        <w:t> </w:t>
      </w:r>
      <w:r>
        <w:rPr>
          <w:szCs w:val="22"/>
          <w:lang w:eastAsia="en-US"/>
        </w:rPr>
        <w:t>výzve.</w:t>
      </w:r>
    </w:p>
    <w:p w14:paraId="711AF3AF" w14:textId="64137A05" w:rsidR="00B650E5" w:rsidRPr="00997CB0" w:rsidRDefault="00B650E5" w:rsidP="00997CB0">
      <w:pPr>
        <w:pStyle w:val="Odsekzoznamu"/>
        <w:numPr>
          <w:ilvl w:val="0"/>
          <w:numId w:val="379"/>
        </w:numPr>
        <w:ind w:left="425" w:hanging="357"/>
        <w:jc w:val="both"/>
      </w:pPr>
      <w:r>
        <w:t xml:space="preserve">V prípade, že RO po vyhlásení výzvy zistí, že v systéme ITMS 2014+ došlo zo strany RO k zadaniu chybných alebo neúplných údajov, </w:t>
      </w:r>
      <w:r w:rsidR="00C93F30">
        <w:t xml:space="preserve">t. j. </w:t>
      </w:r>
      <w:r>
        <w:t xml:space="preserve"> identifikuje nedostatky technického charakteru, RO požiada CKO o súčinnosť pri náprave týchto nedostatkov e-mailom na adresu </w:t>
      </w:r>
      <w:hyperlink r:id="rId75" w:history="1">
        <w:r w:rsidR="00430C9B" w:rsidRPr="00997CB0">
          <w:rPr>
            <w:rStyle w:val="Hypertextovprepojenie"/>
          </w:rPr>
          <w:t>metodika.cko@vicepremier.gov.sk</w:t>
        </w:r>
      </w:hyperlink>
      <w:r>
        <w:t xml:space="preserve">. Týmto postupom nie je dotknutá povinnosť RO dodržiavať ustanovenia </w:t>
      </w:r>
      <w:hyperlink w:anchor="kapitola_3111" w:history="1">
        <w:r w:rsidRPr="00430C9B">
          <w:rPr>
            <w:rStyle w:val="Hypertextovprepojenie"/>
          </w:rPr>
          <w:t>kapitoly 3.1.1.1 Zmena a zrušenie výzvy</w:t>
        </w:r>
      </w:hyperlink>
      <w:r>
        <w:t xml:space="preserve">. </w:t>
      </w:r>
    </w:p>
    <w:p w14:paraId="32037876" w14:textId="77777777" w:rsidR="00B650E5" w:rsidRDefault="00B650E5" w:rsidP="0045286B">
      <w:pPr>
        <w:pStyle w:val="SRK4"/>
      </w:pPr>
      <w:bookmarkStart w:id="187" w:name="_Toc453233991"/>
      <w:bookmarkStart w:id="188" w:name="_Toc495649350"/>
      <w:bookmarkStart w:id="189" w:name="kapitola_3111"/>
      <w:r>
        <w:t>3.1.1.1 Zmena a zrušenie výzvy</w:t>
      </w:r>
      <w:bookmarkEnd w:id="187"/>
      <w:bookmarkEnd w:id="188"/>
    </w:p>
    <w:p w14:paraId="4A311252" w14:textId="77777777" w:rsidR="00B650E5" w:rsidRDefault="00B650E5">
      <w:pPr>
        <w:numPr>
          <w:ilvl w:val="0"/>
          <w:numId w:val="82"/>
        </w:numPr>
        <w:spacing w:before="120" w:after="120"/>
        <w:ind w:left="426" w:hanging="426"/>
        <w:jc w:val="both"/>
        <w:rPr>
          <w:szCs w:val="22"/>
          <w:lang w:eastAsia="en-US"/>
        </w:rPr>
      </w:pPr>
      <w:bookmarkStart w:id="190" w:name="_Toc378954331"/>
      <w:bookmarkEnd w:id="189"/>
      <w:r>
        <w:rPr>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szCs w:val="22"/>
          <w:lang w:eastAsia="en-US"/>
        </w:rPr>
        <w:t xml:space="preserve"> je RO oprávnený za podmienok stanovených v zákone o príspevku z EŠIF a upravených v tejto kapitole výzvu zmeniť alebo zrušiť.</w:t>
      </w:r>
    </w:p>
    <w:p w14:paraId="5798AA41" w14:textId="77777777" w:rsidR="00B650E5" w:rsidRDefault="00B650E5">
      <w:pPr>
        <w:numPr>
          <w:ilvl w:val="0"/>
          <w:numId w:val="82"/>
        </w:numPr>
        <w:spacing w:before="120" w:after="120"/>
        <w:ind w:left="426" w:hanging="426"/>
        <w:jc w:val="both"/>
        <w:rPr>
          <w:szCs w:val="22"/>
          <w:lang w:eastAsia="en-US"/>
        </w:rPr>
      </w:pPr>
      <w:bookmarkStart w:id="191" w:name="kapitola_3111_ods_2"/>
      <w:r>
        <w:rPr>
          <w:szCs w:val="22"/>
          <w:lang w:eastAsia="en-US"/>
        </w:rPr>
        <w:t>Postup RO pri zmenách vo výzve:</w:t>
      </w:r>
    </w:p>
    <w:bookmarkEnd w:id="191"/>
    <w:p w14:paraId="16C870FC" w14:textId="5A3CFE63" w:rsidR="00B650E5" w:rsidRDefault="00B650E5">
      <w:pPr>
        <w:numPr>
          <w:ilvl w:val="0"/>
          <w:numId w:val="83"/>
        </w:numPr>
        <w:spacing w:before="120" w:after="120"/>
        <w:ind w:left="850" w:hanging="425"/>
        <w:jc w:val="both"/>
        <w:rPr>
          <w:bCs/>
          <w:iCs/>
          <w:szCs w:val="22"/>
          <w:lang w:eastAsia="en-US"/>
        </w:rPr>
      </w:pPr>
      <w:r>
        <w:rPr>
          <w:b/>
          <w:bCs/>
          <w:iCs/>
          <w:szCs w:val="22"/>
          <w:lang w:eastAsia="en-US"/>
        </w:rPr>
        <w:t>Formálne náležitosti</w:t>
      </w:r>
      <w:r>
        <w:rPr>
          <w:bCs/>
          <w:iCs/>
          <w:szCs w:val="22"/>
          <w:lang w:eastAsia="en-US"/>
        </w:rPr>
        <w:t xml:space="preserve"> – 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 </w:t>
      </w:r>
    </w:p>
    <w:p w14:paraId="67174E9E" w14:textId="70F7FD5E" w:rsidR="00B650E5" w:rsidRPr="00A13E26" w:rsidRDefault="00B650E5" w:rsidP="00997CB0">
      <w:pPr>
        <w:numPr>
          <w:ilvl w:val="0"/>
          <w:numId w:val="83"/>
        </w:numPr>
        <w:spacing w:before="120" w:after="120"/>
        <w:ind w:left="851" w:hanging="425"/>
        <w:jc w:val="both"/>
        <w:rPr>
          <w:bCs/>
          <w:iCs/>
          <w:szCs w:val="22"/>
          <w:lang w:eastAsia="en-US"/>
        </w:rPr>
      </w:pPr>
      <w:bookmarkStart w:id="192" w:name="kapitola_3111_ods_2b"/>
      <w:r w:rsidRPr="00430C9B">
        <w:rPr>
          <w:b/>
          <w:bCs/>
          <w:iCs/>
          <w:szCs w:val="22"/>
          <w:lang w:eastAsia="en-US"/>
        </w:rPr>
        <w:t>Podmienky poskytnutia príspevku</w:t>
      </w:r>
      <w:r w:rsidRPr="00430C9B">
        <w:rPr>
          <w:bCs/>
          <w:iCs/>
          <w:szCs w:val="22"/>
          <w:lang w:eastAsia="en-US"/>
        </w:rPr>
        <w:t xml:space="preserve"> – </w:t>
      </w:r>
      <w:bookmarkEnd w:id="192"/>
      <w:r w:rsidRPr="00430C9B">
        <w:rPr>
          <w:bCs/>
          <w:iCs/>
          <w:szCs w:val="22"/>
          <w:lang w:eastAsia="en-US"/>
        </w:rPr>
        <w:t>RO nie je oprávnený vykonať zmeny ak ide o nasledujúce podmienky poskytnutia príspevku</w:t>
      </w:r>
      <w:r w:rsidR="000C614B" w:rsidRPr="000C614B">
        <w:t xml:space="preserve"> </w:t>
      </w:r>
      <w:r w:rsidR="000C614B">
        <w:t xml:space="preserve">a </w:t>
      </w:r>
      <w:r w:rsidR="000C614B" w:rsidRPr="00430C9B">
        <w:rPr>
          <w:bCs/>
          <w:iCs/>
          <w:szCs w:val="22"/>
          <w:lang w:eastAsia="en-US"/>
        </w:rPr>
        <w:t>ak zmenou dochádza k podstatnej zmene podmienok poskytnutia príspevku</w:t>
      </w:r>
      <w:r w:rsidRPr="00663970">
        <w:rPr>
          <w:bCs/>
          <w:iCs/>
          <w:szCs w:val="22"/>
          <w:lang w:eastAsia="en-US"/>
        </w:rPr>
        <w:t>:</w:t>
      </w:r>
      <w:r w:rsidRPr="00A13E26">
        <w:rPr>
          <w:rStyle w:val="Nadpis1Char"/>
          <w:color w:val="000000"/>
        </w:rPr>
        <w:t xml:space="preserve"> </w:t>
      </w:r>
    </w:p>
    <w:p w14:paraId="042FFA8A"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žiadateľa,</w:t>
      </w:r>
    </w:p>
    <w:p w14:paraId="3FAB2C44"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partnera,</w:t>
      </w:r>
    </w:p>
    <w:p w14:paraId="24CE0605"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lastRenderedPageBreak/>
        <w:t>oprávnenosť aktivít,</w:t>
      </w:r>
    </w:p>
    <w:p w14:paraId="0EC9B514"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cieľovej skupiny,</w:t>
      </w:r>
    </w:p>
    <w:p w14:paraId="6B3469C6"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užívateľa,</w:t>
      </w:r>
    </w:p>
    <w:p w14:paraId="54CAC2E5"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miesta realizácie,</w:t>
      </w:r>
    </w:p>
    <w:p w14:paraId="01A3AFAD"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spôsob financovania,</w:t>
      </w:r>
    </w:p>
    <w:p w14:paraId="7F972336"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kritériá na výber projektov.</w:t>
      </w:r>
    </w:p>
    <w:p w14:paraId="642EC4A1" w14:textId="1FAE167D" w:rsidR="00B650E5" w:rsidRDefault="00B650E5">
      <w:pPr>
        <w:spacing w:before="120" w:after="120"/>
        <w:ind w:left="851"/>
        <w:jc w:val="both"/>
        <w:rPr>
          <w:bCs/>
          <w:iCs/>
          <w:szCs w:val="22"/>
          <w:lang w:eastAsia="en-US"/>
        </w:rPr>
      </w:pPr>
      <w:r>
        <w:rPr>
          <w:bCs/>
          <w:iCs/>
          <w:szCs w:val="22"/>
          <w:lang w:eastAsia="en-US"/>
        </w:rPr>
        <w:t>V prípade zmien v iných podmienkach poskytnutia príspevku, ktoré nie sú uvedené vyššie a ktorých zmena je možná, RO výzvu primerane predĺži, aby umožnil žiadateľom doplniť a upraviť predložené ŽoNFP; RO predĺži výzvu minimálne o 7 pracovných dní. Zmenu podmienok poskytnutia príspevku, vrátane zdôvodnenia vykonanej zmeny RO zverejní na</w:t>
      </w:r>
      <w:r w:rsidR="00430C9B">
        <w:rPr>
          <w:bCs/>
          <w:iCs/>
          <w:szCs w:val="22"/>
          <w:lang w:eastAsia="en-US"/>
        </w:rPr>
        <w:t> </w:t>
      </w:r>
      <w:r>
        <w:rPr>
          <w:bCs/>
          <w:iCs/>
          <w:szCs w:val="22"/>
          <w:lang w:eastAsia="en-US"/>
        </w:rPr>
        <w:t>svojom webovom sídle. Akákoľvek zmena podmienok poskytnutia príspevku musí byť vopred posúdená z hľadiska princípu transparentnosti, rovnakého zaobchádzania a primeranosti. V prípade, ak výzve predchádzalo posudzovanie projektových zámerov na</w:t>
      </w:r>
      <w:r w:rsidR="00430C9B">
        <w:rPr>
          <w:bCs/>
          <w:iCs/>
          <w:szCs w:val="22"/>
          <w:lang w:eastAsia="en-US"/>
        </w:rPr>
        <w:t> </w:t>
      </w:r>
      <w:r>
        <w:rPr>
          <w:bCs/>
          <w:iCs/>
          <w:szCs w:val="22"/>
          <w:lang w:eastAsia="en-US"/>
        </w:rPr>
        <w:t>základe výzvy na predkladanie projektových zámerov, RO nie je oprávnený vykonať zmenu vo výzve, ktorá by bola v rozpore s podmienkami stanovenými vo výzve na</w:t>
      </w:r>
      <w:r w:rsidR="00430C9B">
        <w:rPr>
          <w:bCs/>
          <w:iCs/>
          <w:szCs w:val="22"/>
          <w:lang w:eastAsia="en-US"/>
        </w:rPr>
        <w:t> </w:t>
      </w:r>
      <w:r>
        <w:rPr>
          <w:bCs/>
          <w:iCs/>
          <w:szCs w:val="22"/>
          <w:lang w:eastAsia="en-US"/>
        </w:rPr>
        <w:t>predkladanie projektových zámerov; uvedené sa nevzťahuje na zmeny, ktorých vykonanie je dôsledkom legislatívnych zmien.</w:t>
      </w:r>
      <w:r w:rsidR="00CE5D37">
        <w:rPr>
          <w:bCs/>
          <w:iCs/>
          <w:szCs w:val="22"/>
          <w:lang w:eastAsia="en-US"/>
        </w:rPr>
        <w:t xml:space="preserve"> </w:t>
      </w:r>
      <w:r w:rsidR="00CE5D37" w:rsidRPr="00CE5D37">
        <w:rPr>
          <w:bCs/>
          <w:iCs/>
          <w:szCs w:val="22"/>
          <w:lang w:eastAsia="en-US"/>
        </w:rPr>
        <w:t>Pri zmenách, ktor</w:t>
      </w:r>
      <w:r w:rsidR="000C614B">
        <w:rPr>
          <w:bCs/>
          <w:iCs/>
          <w:szCs w:val="22"/>
          <w:lang w:eastAsia="en-US"/>
        </w:rPr>
        <w:t>é menia</w:t>
      </w:r>
      <w:r w:rsidR="00CE5D37" w:rsidRPr="00CE5D37">
        <w:rPr>
          <w:bCs/>
          <w:iCs/>
          <w:szCs w:val="22"/>
          <w:lang w:eastAsia="en-US"/>
        </w:rPr>
        <w:t xml:space="preserve"> podmienky poskytnutia príspevku vymenované v bodoch vyššie, </w:t>
      </w:r>
      <w:r w:rsidR="000C614B">
        <w:rPr>
          <w:bCs/>
          <w:iCs/>
          <w:szCs w:val="22"/>
          <w:lang w:eastAsia="en-US"/>
        </w:rPr>
        <w:t xml:space="preserve">je možné ich vykonať, </w:t>
      </w:r>
      <w:r w:rsidR="00CE5D37" w:rsidRPr="00CE5D37">
        <w:rPr>
          <w:bCs/>
          <w:iCs/>
          <w:szCs w:val="22"/>
          <w:lang w:eastAsia="en-US"/>
        </w:rPr>
        <w:t>ak ich zmena nie je v</w:t>
      </w:r>
      <w:r w:rsidR="00430C9B">
        <w:rPr>
          <w:bCs/>
          <w:iCs/>
          <w:szCs w:val="22"/>
          <w:lang w:eastAsia="en-US"/>
        </w:rPr>
        <w:t> </w:t>
      </w:r>
      <w:r w:rsidR="00CE5D37" w:rsidRPr="00CE5D37">
        <w:rPr>
          <w:bCs/>
          <w:iCs/>
          <w:szCs w:val="22"/>
          <w:lang w:eastAsia="en-US"/>
        </w:rPr>
        <w:t>rozpore s princípmi transparentnosti, nediskriminácie a rovnakého zaobchádzania.</w:t>
      </w:r>
    </w:p>
    <w:p w14:paraId="713A3D29"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Prílohy</w:t>
      </w:r>
      <w:r>
        <w:rPr>
          <w:bCs/>
          <w:iCs/>
          <w:szCs w:val="22"/>
          <w:lang w:eastAsia="en-US"/>
        </w:rPr>
        <w:t xml:space="preserve"> - RO je oprávnený vykonať zmeny v tejto časti výzvy, pričom tieto zmeny a zdôvodnenie ich vykonania RO zverejní na svojom webovom sídle. Za účelom prehľadnosti a lepšej orientácie v zmenách zo strany žiadateľov RO zverejňuje zmeny v prílohách formou sledovania zmien.</w:t>
      </w:r>
    </w:p>
    <w:p w14:paraId="62494494" w14:textId="77777777" w:rsidR="00B650E5" w:rsidRDefault="00B650E5">
      <w:pPr>
        <w:numPr>
          <w:ilvl w:val="0"/>
          <w:numId w:val="82"/>
        </w:numPr>
        <w:spacing w:before="120" w:after="120"/>
        <w:ind w:left="426" w:hanging="426"/>
        <w:jc w:val="both"/>
        <w:rPr>
          <w:szCs w:val="22"/>
          <w:lang w:eastAsia="en-US"/>
        </w:rPr>
      </w:pPr>
      <w:bookmarkStart w:id="193" w:name="kapitola_3111_ods_3"/>
      <w:r>
        <w:rPr>
          <w:szCs w:val="22"/>
          <w:lang w:eastAsia="en-US"/>
        </w:rPr>
        <w:t xml:space="preserve">V prípade zmien v tých častiach výzvy, kedy nevzniká RO automaticky povinnosť predĺžiť termín na predkladanie ŽoNFP (vrátane zmeny spôsobu preukazovania podmienky poskytnutia príspevku, bez samotnej zmeny podmienky poskytnutia príspevku) je RO povinný posúdiť charakter zmeny z pohľadu potreby zohľadnenia tejto zmeny zo strany žiadateľa. V prípade, ak zmena v ktorejkoľvek časti výzvy vyžaduje úpravu, resp. aktivitu zo strany žiadateľa, je RO povinný predĺžiť termín na predkladanie ŽoNFP. Dĺžka predĺženia musí byť primeraná vykonanej zmene, nesmie byť kratšia ako 7 pracovných dní. Ustanovenie o predĺžení sa neaplikuje na prípady otvorených výziev, kde ich uzavretie nie je viazané na konkrétny dátum. </w:t>
      </w:r>
    </w:p>
    <w:bookmarkEnd w:id="193"/>
    <w:p w14:paraId="2FD8D72E" w14:textId="77777777" w:rsidR="00B650E5" w:rsidRDefault="00B650E5">
      <w:pPr>
        <w:numPr>
          <w:ilvl w:val="0"/>
          <w:numId w:val="82"/>
        </w:numPr>
        <w:spacing w:before="120" w:after="120"/>
        <w:ind w:left="426" w:hanging="426"/>
        <w:jc w:val="both"/>
        <w:rPr>
          <w:szCs w:val="22"/>
          <w:lang w:eastAsia="en-US"/>
        </w:rPr>
      </w:pPr>
      <w:r>
        <w:rPr>
          <w:szCs w:val="22"/>
          <w:lang w:eastAsia="en-US"/>
        </w:rPr>
        <w:t>ŽoNFP podanú do termínu zmeny výzvy je žiadateľ oprávnený doplniť alebo zmeniť, ak to takáto zmena vyžaduje. RO písomne informuje žiadateľa o možnosti zmeny/doplnenia ŽoNFP a určí na takúto zmenu alebo doplnenie lehotu, ktorá je do konca nového termínu uzavretia výzvy, ktorý bol predĺžený v súlade s </w:t>
      </w:r>
      <w:hyperlink w:anchor="kapitola_3111_ods_3" w:tooltip="ods. 3 tejto kapitoly" w:history="1">
        <w:r>
          <w:rPr>
            <w:rStyle w:val="Hypertextovprepojenie"/>
            <w:szCs w:val="22"/>
            <w:lang w:eastAsia="en-US"/>
          </w:rPr>
          <w:t xml:space="preserve">ods. </w:t>
        </w:r>
        <w:r>
          <w:rPr>
            <w:rStyle w:val="Hypertextovprepojenie"/>
          </w:rPr>
          <w:t>3</w:t>
        </w:r>
        <w:r>
          <w:rPr>
            <w:rStyle w:val="Hypertextovprepojenie"/>
            <w:szCs w:val="22"/>
            <w:lang w:eastAsia="en-US"/>
          </w:rPr>
          <w:t xml:space="preserve"> tejto kapitoly</w:t>
        </w:r>
      </w:hyperlink>
      <w:r>
        <w:rPr>
          <w:szCs w:val="22"/>
          <w:lang w:eastAsia="en-US"/>
        </w:rPr>
        <w:t xml:space="preserve">. </w:t>
      </w:r>
    </w:p>
    <w:p w14:paraId="2CC3CB64" w14:textId="74A17F17" w:rsidR="00B650E5" w:rsidRDefault="00B650E5">
      <w:pPr>
        <w:numPr>
          <w:ilvl w:val="0"/>
          <w:numId w:val="82"/>
        </w:numPr>
        <w:spacing w:before="120" w:after="120"/>
        <w:ind w:left="426" w:hanging="426"/>
        <w:jc w:val="both"/>
        <w:rPr>
          <w:szCs w:val="22"/>
          <w:lang w:eastAsia="en-US"/>
        </w:rPr>
      </w:pPr>
      <w:r>
        <w:rPr>
          <w:szCs w:val="22"/>
          <w:lang w:eastAsia="en-US"/>
        </w:rPr>
        <w:t>V prípade výziev, ktoré boli vyhlásené vo forme otvorenej výzvy, RO určí vo vzťahu k akým ŽoNFP sa bude zmena výzvy aplikovať. Zmena sa môže týka len ŽoNFP predložených po</w:t>
      </w:r>
      <w:r w:rsidR="009E187D">
        <w:rPr>
          <w:szCs w:val="22"/>
          <w:lang w:eastAsia="en-US"/>
        </w:rPr>
        <w:t> </w:t>
      </w:r>
      <w:r>
        <w:rPr>
          <w:szCs w:val="22"/>
          <w:lang w:eastAsia="en-US"/>
        </w:rPr>
        <w:t xml:space="preserve">zverejnení zmeny alebo sa vzťahuje aj na ŽoNFP predložené pred zmenou výzvy, o ktorých RO ešte nerozhodol do dátumu vykonania zmeny. RO tak môže operatívne reagovať na externé zmeny, ktoré sa môžu vyskytnúť počas celej dĺžky trvania otvorenej výzvy. Ak RO rozhodne, že zmena sa týka aj ŽoNFP predložených pred vykonaním zmeny, lehota na zmenu/doplnenie žiadosti o NFP nesmie byť kratšia ako 7 pracovných dní od doručenia písomnej informácie o možnosti vykonania zmeny/doplnenia ŽoNFP žiadateľovi. </w:t>
      </w:r>
    </w:p>
    <w:p w14:paraId="6E5E8056" w14:textId="77777777" w:rsidR="00B650E5" w:rsidRDefault="00B650E5">
      <w:pPr>
        <w:numPr>
          <w:ilvl w:val="0"/>
          <w:numId w:val="82"/>
        </w:numPr>
        <w:spacing w:before="120" w:after="120"/>
        <w:ind w:left="426" w:hanging="426"/>
        <w:jc w:val="both"/>
        <w:rPr>
          <w:szCs w:val="22"/>
          <w:lang w:eastAsia="en-US"/>
        </w:rPr>
      </w:pPr>
      <w:r>
        <w:rPr>
          <w:szCs w:val="22"/>
          <w:lang w:eastAsia="en-US"/>
        </w:rPr>
        <w:t>RO je oprávnený zrušiť výzvu</w:t>
      </w:r>
      <w:r w:rsidR="006F3B93">
        <w:rPr>
          <w:szCs w:val="22"/>
          <w:lang w:eastAsia="en-US"/>
        </w:rPr>
        <w:t>,</w:t>
      </w:r>
      <w:r>
        <w:rPr>
          <w:szCs w:val="22"/>
          <w:lang w:eastAsia="en-US"/>
        </w:rPr>
        <w:t xml:space="preserve"> a to až do okamihu vydania prvého rozhodnutia o ŽoNFP (relevantné pre prípady výziev, ktoré boli vyhlásené vo forme uzavretej výzvy), resp. do doby, </w:t>
      </w:r>
      <w:r>
        <w:rPr>
          <w:szCs w:val="22"/>
          <w:lang w:eastAsia="en-US"/>
        </w:rPr>
        <w:lastRenderedPageBreak/>
        <w:t>kým nie je vyčerpaná alokácia (relevantné pre prípady výziev, ktoré boli vyhlásené vo forme otvorenej výzvy). Povinnou súčasťou informácie o zrušení výzvy sú aj dôvody jej zrušenia. RO je oprávnený zrušiť výzvu iba v prípade, ak je objektívne nemožné (z dôvodu legislatívnej alebo neodstrániteľnej prekážky, ktorú nebolo možné predvídať v čase vyhlásenia výzvy</w:t>
      </w:r>
      <w:r>
        <w:t xml:space="preserve"> ani pri všetkej vynaloženej starostlivosti</w:t>
      </w:r>
      <w:r>
        <w:rPr>
          <w:szCs w:val="22"/>
          <w:lang w:eastAsia="en-US"/>
        </w:rPr>
        <w:t>) pristúpiť k schváleniu ŽoNFP a následnému financovaniu projektov, alebo je nevyhnutná taká zmena podmienok poskytnutia príspevku, ktorá znamená podstatnú zmenu týchto podmienok a nie je možná v súlade s </w:t>
      </w:r>
      <w:hyperlink w:anchor="kapitola_3111_ods_2b" w:tooltip="ods. 2 písm. b)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písm. b) tejto kapitoly</w:t>
        </w:r>
      </w:hyperlink>
      <w:r>
        <w:rPr>
          <w:szCs w:val="22"/>
          <w:lang w:eastAsia="en-US"/>
        </w:rPr>
        <w:t xml:space="preserve">. </w:t>
      </w:r>
    </w:p>
    <w:p w14:paraId="3A6E483F" w14:textId="77777777" w:rsidR="00B650E5" w:rsidRDefault="00B650E5">
      <w:pPr>
        <w:numPr>
          <w:ilvl w:val="0"/>
          <w:numId w:val="82"/>
        </w:numPr>
        <w:spacing w:before="120" w:after="120"/>
        <w:ind w:left="426" w:hanging="426"/>
        <w:jc w:val="both"/>
        <w:rPr>
          <w:szCs w:val="22"/>
          <w:lang w:eastAsia="en-US"/>
        </w:rPr>
      </w:pPr>
      <w:r>
        <w:rPr>
          <w:szCs w:val="22"/>
          <w:lang w:eastAsia="en-US"/>
        </w:rPr>
        <w:t>Ak dôjde k zrušeniu výzvy, ktorá bola vyhlásená vo forme uzavretej výzvy, RO vráti ŽoNFP predloženú do dátumu zrušenia výzvy žiadateľovi. Ak dôjde k zrušeniu výzvy, ktorá bola vyhlásená vo forme otvorenej výzvy, RO buď vráti ŽoNFP predloženú do dátumu zrušenia výzvy žiadateľovi alebo o ŽoNFP predložených do dátumu zrušenia výzvy rozhodne. RO rozhodne o ŽoNFP predloženej do zrušenia výzvy, ak je možné rozhodnúť o ŽoNFP podľa podmienok poskytnutia príspevku platných ku dňu predloženia ŽoNFP.</w:t>
      </w:r>
    </w:p>
    <w:p w14:paraId="33D66D08" w14:textId="3EF1B541" w:rsidR="00B650E5" w:rsidRDefault="00B650E5" w:rsidP="00F13EE7">
      <w:pPr>
        <w:numPr>
          <w:ilvl w:val="0"/>
          <w:numId w:val="82"/>
        </w:numPr>
        <w:spacing w:before="120" w:after="120"/>
        <w:jc w:val="both"/>
        <w:rPr>
          <w:szCs w:val="22"/>
          <w:lang w:eastAsia="en-US"/>
        </w:rPr>
      </w:pPr>
      <w:r w:rsidRPr="009078F6">
        <w:rPr>
          <w:szCs w:val="22"/>
          <w:lang w:eastAsia="en-US"/>
        </w:rPr>
        <w:t>Zmena</w:t>
      </w:r>
      <w:r>
        <w:rPr>
          <w:szCs w:val="22"/>
          <w:lang w:eastAsia="en-US"/>
        </w:rPr>
        <w:t xml:space="preserve"> a zrušenie výzvy podlieha zverejneniu na webovom sídle RO v rozsahu uvedenom             v </w:t>
      </w:r>
      <w:hyperlink w:anchor="kapitola_3111_ods_2" w:tooltip="ods. 2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tejto kapitoly</w:t>
        </w:r>
      </w:hyperlink>
      <w:r>
        <w:rPr>
          <w:szCs w:val="22"/>
          <w:lang w:eastAsia="en-US"/>
        </w:rPr>
        <w:t>. Súčasťou informácie o zmene/zrušení výzvy je vždy aj zdôvodnenie vykonanej zmeny/zrušenia. RO zmenu a zrušenie výzvy zároveň zaznamená v ITMS 2014+ a po</w:t>
      </w:r>
      <w:r w:rsidR="009E187D">
        <w:rPr>
          <w:szCs w:val="22"/>
          <w:lang w:eastAsia="en-US"/>
        </w:rPr>
        <w:t> </w:t>
      </w:r>
      <w:r>
        <w:rPr>
          <w:szCs w:val="22"/>
          <w:lang w:eastAsia="en-US"/>
        </w:rPr>
        <w:t xml:space="preserve">jej zadaní a aktivovaní v ITMS 2014+ je táto automaticky umiestňovaná aj na webovom sídle </w:t>
      </w:r>
      <w:hyperlink r:id="rId76" w:history="1">
        <w:r w:rsidRPr="00FA1E63">
          <w:rPr>
            <w:rStyle w:val="Hypertextovprepojenie"/>
          </w:rPr>
          <w:t>www.partnerskadohoda.gov.sk</w:t>
        </w:r>
      </w:hyperlink>
      <w:r>
        <w:rPr>
          <w:szCs w:val="22"/>
          <w:lang w:eastAsia="en-US"/>
        </w:rPr>
        <w:t xml:space="preserve">. </w:t>
      </w:r>
      <w:r w:rsidR="00F13EE7" w:rsidRPr="00F13EE7">
        <w:rPr>
          <w:szCs w:val="22"/>
          <w:lang w:eastAsia="en-US"/>
        </w:rPr>
        <w:t>Zmeny, ktoré nepredstavujú zmenu výzvy v systéme ITMS</w:t>
      </w:r>
      <w:r w:rsidR="00F13EE7">
        <w:rPr>
          <w:szCs w:val="22"/>
          <w:lang w:eastAsia="en-US"/>
        </w:rPr>
        <w:t xml:space="preserve"> </w:t>
      </w:r>
      <w:r w:rsidR="00F13EE7" w:rsidRPr="00F13EE7">
        <w:rPr>
          <w:szCs w:val="22"/>
          <w:lang w:eastAsia="en-US"/>
        </w:rPr>
        <w:t>2014+ (napr.</w:t>
      </w:r>
      <w:r w:rsidR="00F13EE7">
        <w:rPr>
          <w:szCs w:val="22"/>
          <w:lang w:eastAsia="en-US"/>
        </w:rPr>
        <w:t xml:space="preserve"> </w:t>
      </w:r>
      <w:r w:rsidR="00F13EE7" w:rsidRPr="00F13EE7">
        <w:rPr>
          <w:szCs w:val="22"/>
          <w:lang w:eastAsia="en-US"/>
        </w:rPr>
        <w:t>ak ide len o form</w:t>
      </w:r>
      <w:r w:rsidR="00F13EE7">
        <w:rPr>
          <w:szCs w:val="22"/>
          <w:lang w:eastAsia="en-US"/>
        </w:rPr>
        <w:t>á</w:t>
      </w:r>
      <w:r w:rsidR="00F13EE7" w:rsidRPr="00F13EE7">
        <w:rPr>
          <w:szCs w:val="22"/>
          <w:lang w:eastAsia="en-US"/>
        </w:rPr>
        <w:t>lne zmeny)</w:t>
      </w:r>
      <w:r w:rsidR="00F13EE7">
        <w:rPr>
          <w:szCs w:val="22"/>
          <w:lang w:eastAsia="en-US"/>
        </w:rPr>
        <w:t>,</w:t>
      </w:r>
      <w:r w:rsidR="00F13EE7" w:rsidRPr="00F13EE7">
        <w:rPr>
          <w:szCs w:val="22"/>
          <w:lang w:eastAsia="en-US"/>
        </w:rPr>
        <w:t xml:space="preserve"> je možn</w:t>
      </w:r>
      <w:r w:rsidR="00F13EE7">
        <w:rPr>
          <w:szCs w:val="22"/>
          <w:lang w:eastAsia="en-US"/>
        </w:rPr>
        <w:t>é</w:t>
      </w:r>
      <w:r w:rsidR="00F13EE7" w:rsidRPr="00F13EE7">
        <w:rPr>
          <w:szCs w:val="22"/>
          <w:lang w:eastAsia="en-US"/>
        </w:rPr>
        <w:t xml:space="preserve">  zaznamenať v Spise výzvy, kde sa uvedú príslušné zmeny. Dokument</w:t>
      </w:r>
      <w:r w:rsidR="00F13EE7">
        <w:rPr>
          <w:szCs w:val="22"/>
          <w:lang w:eastAsia="en-US"/>
        </w:rPr>
        <w:t>,</w:t>
      </w:r>
      <w:r w:rsidR="00F13EE7" w:rsidRPr="00F13EE7">
        <w:rPr>
          <w:szCs w:val="22"/>
          <w:lang w:eastAsia="en-US"/>
        </w:rPr>
        <w:t xml:space="preserve"> opisujúci zmeny je možné publikovať aj verejnosti ako prílohu výzvy na</w:t>
      </w:r>
      <w:r w:rsidR="00F13EE7">
        <w:rPr>
          <w:szCs w:val="22"/>
          <w:lang w:eastAsia="en-US"/>
        </w:rPr>
        <w:t> </w:t>
      </w:r>
      <w:r w:rsidR="00F13EE7" w:rsidRPr="00F13EE7">
        <w:rPr>
          <w:szCs w:val="22"/>
          <w:lang w:eastAsia="en-US"/>
        </w:rPr>
        <w:t>verejnej časti ITMS</w:t>
      </w:r>
      <w:r w:rsidR="00F13EE7">
        <w:rPr>
          <w:szCs w:val="22"/>
          <w:lang w:eastAsia="en-US"/>
        </w:rPr>
        <w:t xml:space="preserve"> </w:t>
      </w:r>
      <w:r w:rsidR="00F13EE7" w:rsidRPr="00F13EE7">
        <w:rPr>
          <w:szCs w:val="22"/>
          <w:lang w:eastAsia="en-US"/>
        </w:rPr>
        <w:t>2014+.</w:t>
      </w:r>
    </w:p>
    <w:p w14:paraId="4421A512" w14:textId="77777777" w:rsidR="00B650E5" w:rsidRDefault="00B650E5">
      <w:pPr>
        <w:pStyle w:val="SRK3"/>
      </w:pPr>
      <w:bookmarkStart w:id="194" w:name="_Toc453233992"/>
      <w:bookmarkStart w:id="195" w:name="_Toc495649351"/>
      <w:r>
        <w:t>3.1.2 Výzva na predkladanie projektových zámerov</w:t>
      </w:r>
      <w:bookmarkEnd w:id="175"/>
      <w:bookmarkEnd w:id="190"/>
      <w:bookmarkEnd w:id="194"/>
      <w:bookmarkEnd w:id="195"/>
    </w:p>
    <w:p w14:paraId="59C68339" w14:textId="25555A46" w:rsidR="00B650E5" w:rsidRDefault="00B650E5">
      <w:pPr>
        <w:numPr>
          <w:ilvl w:val="0"/>
          <w:numId w:val="85"/>
        </w:numPr>
        <w:spacing w:before="120" w:after="120"/>
        <w:ind w:left="426" w:hanging="426"/>
        <w:jc w:val="both"/>
        <w:rPr>
          <w:szCs w:val="22"/>
          <w:lang w:eastAsia="en-US"/>
        </w:rPr>
      </w:pPr>
      <w:bookmarkStart w:id="196" w:name="_Toc378947498"/>
      <w:r>
        <w:rPr>
          <w:szCs w:val="22"/>
          <w:lang w:eastAsia="en-US"/>
        </w:rPr>
        <w:t>Samotnému vyhláseniu výzvy môže v prípade rozhodnutia RO predchádzať vyhlásenie výzvy na</w:t>
      </w:r>
      <w:r w:rsidR="009E187D">
        <w:rPr>
          <w:szCs w:val="22"/>
          <w:lang w:eastAsia="en-US"/>
        </w:rPr>
        <w:t> </w:t>
      </w:r>
      <w:r>
        <w:rPr>
          <w:szCs w:val="22"/>
          <w:lang w:eastAsia="en-US"/>
        </w:rPr>
        <w:t>predkladanie projektových zámerov. Výzva na predkladanie projektových zámerov je možnosťou, ktorú RO môže, ale nemusí využiť s ohľadom na charakter podporovaných projektov, časové možnosti</w:t>
      </w:r>
      <w:r w:rsidR="006F3B93">
        <w:rPr>
          <w:szCs w:val="22"/>
          <w:lang w:eastAsia="en-US"/>
        </w:rPr>
        <w:t>,</w:t>
      </w:r>
      <w:r>
        <w:rPr>
          <w:szCs w:val="22"/>
          <w:lang w:eastAsia="en-US"/>
        </w:rPr>
        <w:t xml:space="preserve"> ako aj administratívnu a finančnú náročnosť vypracovania ŽoNFP. Projektové zámery majú v niektorých prípadoch potenciál prispieť k efektívnejšiemu výberu ŽoNFP a zároveň umožnia žiadateľom na základe záverov uvedených v hodnotiacej správe zvážiť následné zapojenie sa do výzvy  predložením ŽoNFP.</w:t>
      </w:r>
    </w:p>
    <w:p w14:paraId="2FA4F9D3" w14:textId="77777777" w:rsidR="00B650E5" w:rsidRDefault="00B650E5">
      <w:pPr>
        <w:numPr>
          <w:ilvl w:val="0"/>
          <w:numId w:val="85"/>
        </w:numPr>
        <w:spacing w:before="120" w:after="120"/>
        <w:ind w:left="426" w:hanging="426"/>
        <w:jc w:val="both"/>
        <w:rPr>
          <w:szCs w:val="22"/>
          <w:lang w:eastAsia="en-US"/>
        </w:rPr>
      </w:pPr>
      <w:r>
        <w:rPr>
          <w:szCs w:val="22"/>
          <w:lang w:eastAsia="en-US"/>
        </w:rPr>
        <w:t xml:space="preserve">Výzva na predkladanie projektových zámerov slúži na prvotnú identifikáciu projektov, ktoré budú po dopracovaní podľa podmienok stanovených vo výzve predložené ako ŽoNFP. </w:t>
      </w:r>
    </w:p>
    <w:p w14:paraId="6710DE81" w14:textId="61EBD981" w:rsidR="00B650E5" w:rsidRDefault="00B650E5">
      <w:pPr>
        <w:numPr>
          <w:ilvl w:val="0"/>
          <w:numId w:val="85"/>
        </w:numPr>
        <w:spacing w:before="120" w:after="120"/>
        <w:ind w:left="426" w:hanging="426"/>
        <w:jc w:val="both"/>
        <w:rPr>
          <w:szCs w:val="22"/>
          <w:lang w:eastAsia="en-US"/>
        </w:rPr>
      </w:pPr>
      <w:r>
        <w:rPr>
          <w:szCs w:val="22"/>
          <w:lang w:eastAsia="en-US"/>
        </w:rPr>
        <w:t>RO vyhlási výzvu na predkladanie projektových zámerov zverejnením na webovom sídle RO. RO je povinný pred vyhlásením výzvy na predkladanie projektových zámerov vykonať kontrolu jej správnosti a kompletnosti, pričom vzor</w:t>
      </w:r>
      <w:r>
        <w:rPr>
          <w:rStyle w:val="Odkaznapoznmkupodiarou"/>
          <w:szCs w:val="22"/>
          <w:lang w:eastAsia="en-US"/>
        </w:rPr>
        <w:footnoteReference w:id="39"/>
      </w:r>
      <w:r>
        <w:rPr>
          <w:szCs w:val="22"/>
          <w:lang w:eastAsia="en-US"/>
        </w:rPr>
        <w:t xml:space="preserve"> kontrolného zoznamu k návrhu výzvy na</w:t>
      </w:r>
      <w:r w:rsidR="009E187D">
        <w:rPr>
          <w:szCs w:val="22"/>
          <w:lang w:eastAsia="en-US"/>
        </w:rPr>
        <w:t> </w:t>
      </w:r>
      <w:r>
        <w:rPr>
          <w:szCs w:val="22"/>
          <w:lang w:eastAsia="en-US"/>
        </w:rPr>
        <w:t>predkladanie projektových zámerov vydáva CKO. RO je povinný pred vyhlásením výzvy na</w:t>
      </w:r>
      <w:r w:rsidR="009E187D">
        <w:rPr>
          <w:szCs w:val="22"/>
          <w:lang w:eastAsia="en-US"/>
        </w:rPr>
        <w:t> </w:t>
      </w:r>
      <w:r>
        <w:rPr>
          <w:szCs w:val="22"/>
          <w:lang w:eastAsia="en-US"/>
        </w:rPr>
        <w:t>predkladanie projektových zámerov zaslať ju na predchádzajúce posúdenie CKO v súlade s </w:t>
      </w:r>
      <w:hyperlink w:anchor="kapitola_311_ods_3" w:tooltip="ods. 3 až 9 kapitoly 3.1.1" w:history="1">
        <w:r w:rsidRPr="003919EE">
          <w:rPr>
            <w:rStyle w:val="Hypertextovprepojenie"/>
            <w:szCs w:val="22"/>
            <w:lang w:eastAsia="en-US"/>
          </w:rPr>
          <w:t xml:space="preserve">ods. 3 až </w:t>
        </w:r>
        <w:r>
          <w:rPr>
            <w:rStyle w:val="Hypertextovprepojenie"/>
            <w:szCs w:val="22"/>
            <w:lang w:eastAsia="en-US"/>
          </w:rPr>
          <w:t>11</w:t>
        </w:r>
        <w:r w:rsidRPr="003919EE">
          <w:rPr>
            <w:rStyle w:val="Hypertextovprepojenie"/>
            <w:szCs w:val="22"/>
            <w:lang w:eastAsia="en-US"/>
          </w:rPr>
          <w:t xml:space="preserve"> kapitoly 3.1.1</w:t>
        </w:r>
      </w:hyperlink>
      <w:r>
        <w:rPr>
          <w:szCs w:val="22"/>
          <w:lang w:eastAsia="en-US"/>
        </w:rPr>
        <w:t>, ktoré sa na výzvu na predkladanie projektových zámerov aplikujú v plnom rozsahu.</w:t>
      </w:r>
    </w:p>
    <w:p w14:paraId="0D34E650" w14:textId="77777777" w:rsidR="00B650E5" w:rsidRDefault="00B650E5" w:rsidP="00F71136">
      <w:pPr>
        <w:numPr>
          <w:ilvl w:val="0"/>
          <w:numId w:val="85"/>
        </w:numPr>
        <w:spacing w:before="120" w:after="120"/>
        <w:ind w:left="426" w:hanging="426"/>
        <w:jc w:val="both"/>
        <w:rPr>
          <w:szCs w:val="22"/>
          <w:lang w:eastAsia="en-US"/>
        </w:rPr>
      </w:pPr>
      <w:r>
        <w:rPr>
          <w:szCs w:val="22"/>
          <w:lang w:eastAsia="en-US"/>
        </w:rPr>
        <w:t>Na náležitosti výzvy na predkladanie projektových zámerov a postupu pred jej vyhlásením sa primerane vzťahujú ustanovenia platné pre výzvu, pričom vzor výzvy na predkladanie projektových zámerov je totožný so vzorom výzvy</w:t>
      </w:r>
      <w:r>
        <w:rPr>
          <w:rStyle w:val="Odkaznapoznmkupodiarou"/>
          <w:szCs w:val="22"/>
          <w:lang w:eastAsia="en-US"/>
        </w:rPr>
        <w:footnoteReference w:id="40"/>
      </w:r>
      <w:r>
        <w:rPr>
          <w:szCs w:val="22"/>
          <w:lang w:eastAsia="en-US"/>
        </w:rPr>
        <w:t xml:space="preserve">, ktorý vydáva CKO. </w:t>
      </w:r>
    </w:p>
    <w:p w14:paraId="417450AC" w14:textId="77777777" w:rsidR="00B650E5" w:rsidRDefault="00B650E5">
      <w:pPr>
        <w:numPr>
          <w:ilvl w:val="0"/>
          <w:numId w:val="85"/>
        </w:numPr>
        <w:spacing w:before="120" w:after="120"/>
        <w:ind w:left="426" w:hanging="426"/>
        <w:jc w:val="both"/>
        <w:rPr>
          <w:szCs w:val="22"/>
          <w:lang w:eastAsia="en-US"/>
        </w:rPr>
      </w:pPr>
      <w:r>
        <w:rPr>
          <w:szCs w:val="22"/>
          <w:lang w:eastAsia="en-US"/>
        </w:rPr>
        <w:t xml:space="preserve">RO vo výzve na predkladanie projektových zámerov vymedzí, aký rozsah informácií a dokumentácie je potrebný za účelom vykonania posúdenia projektového zámeru, pričom RO </w:t>
      </w:r>
      <w:r>
        <w:rPr>
          <w:szCs w:val="22"/>
          <w:lang w:eastAsia="en-US"/>
        </w:rPr>
        <w:lastRenderedPageBreak/>
        <w:t>nie je povinný využiť všetky podmienky poskytnutia príspevku uvedené vo vzore výzvy</w:t>
      </w:r>
      <w:r w:rsidR="00CE5D37">
        <w:rPr>
          <w:rStyle w:val="Odkaznapoznmkupodiarou"/>
          <w:szCs w:val="22"/>
          <w:lang w:eastAsia="en-US"/>
        </w:rPr>
        <w:footnoteReference w:id="41"/>
      </w:r>
      <w:r>
        <w:rPr>
          <w:szCs w:val="22"/>
          <w:lang w:eastAsia="en-US"/>
        </w:rPr>
        <w:t xml:space="preserve">, ktorý vydáva CKO. </w:t>
      </w:r>
    </w:p>
    <w:p w14:paraId="2647A682" w14:textId="30042100" w:rsidR="00B650E5" w:rsidRDefault="00B650E5">
      <w:pPr>
        <w:numPr>
          <w:ilvl w:val="0"/>
          <w:numId w:val="85"/>
        </w:numPr>
        <w:spacing w:before="120" w:after="120"/>
        <w:ind w:left="426" w:hanging="426"/>
        <w:jc w:val="both"/>
        <w:rPr>
          <w:szCs w:val="22"/>
          <w:lang w:eastAsia="en-US"/>
        </w:rPr>
      </w:pPr>
      <w:r>
        <w:rPr>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w:t>
      </w:r>
      <w:r w:rsidR="00AF03C8">
        <w:t> </w:t>
      </w:r>
      <w:r>
        <w:t>rámci následne vyhlásených výziev) dosiahol indikatívnu alokáciu, resp. aktuálne voľnú časť indikatívnej alokáciu z dôvodu, aby sa mohli žiadatelia efektívne rozhodovať pri predkladaní projektových zámerov.</w:t>
      </w:r>
    </w:p>
    <w:p w14:paraId="25CBA2C5" w14:textId="77777777" w:rsidR="00B650E5" w:rsidRDefault="00B650E5">
      <w:pPr>
        <w:pStyle w:val="SRK2"/>
        <w:rPr>
          <w:rStyle w:val="Nadpis1Char"/>
          <w:sz w:val="36"/>
          <w:szCs w:val="26"/>
        </w:rPr>
      </w:pPr>
      <w:bookmarkStart w:id="197" w:name="_Toc453233993"/>
      <w:bookmarkStart w:id="198" w:name="_Toc495649352"/>
      <w:bookmarkStart w:id="199" w:name="kapitola_32"/>
      <w:r>
        <w:rPr>
          <w:rStyle w:val="Nadpis1Char"/>
          <w:sz w:val="36"/>
          <w:szCs w:val="26"/>
        </w:rPr>
        <w:t>3.2 Schvaľovací proces</w:t>
      </w:r>
      <w:bookmarkEnd w:id="196"/>
      <w:bookmarkEnd w:id="197"/>
      <w:bookmarkEnd w:id="198"/>
    </w:p>
    <w:p w14:paraId="1030155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200" w:name="_Toc378947499"/>
      <w:bookmarkEnd w:id="199"/>
      <w:r>
        <w:rPr>
          <w:u w:val="single"/>
        </w:rPr>
        <w:t>Relevantná úprava v legislatíve EÚ:</w:t>
      </w:r>
    </w:p>
    <w:p w14:paraId="1FB07AA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pPr>
      <w:r>
        <w:rPr>
          <w:bCs/>
          <w:i/>
          <w:iCs/>
        </w:rPr>
        <w:t>Čl. 125 ods. 1 a 3 všeobecného nariadenia</w:t>
      </w:r>
    </w:p>
    <w:p w14:paraId="505E721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24CE91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18 až 25, § 48  zákona o príspevku z EŠIF</w:t>
      </w:r>
    </w:p>
    <w:p w14:paraId="6B975C1D" w14:textId="77777777" w:rsidR="00B650E5" w:rsidRDefault="00B650E5">
      <w:pPr>
        <w:numPr>
          <w:ilvl w:val="0"/>
          <w:numId w:val="86"/>
        </w:numPr>
        <w:spacing w:before="120" w:after="120"/>
        <w:ind w:left="426" w:hanging="426"/>
        <w:jc w:val="both"/>
        <w:rPr>
          <w:szCs w:val="22"/>
          <w:lang w:eastAsia="en-US"/>
        </w:rPr>
      </w:pPr>
      <w:bookmarkStart w:id="201" w:name="_Toc378954335"/>
      <w:bookmarkStart w:id="202" w:name="_Toc378947500"/>
      <w:bookmarkEnd w:id="200"/>
      <w:r>
        <w:rPr>
          <w:szCs w:val="22"/>
          <w:lang w:eastAsia="en-US"/>
        </w:rPr>
        <w:t>RO pri posudzovaní projektových zámerov a schvaľovaní ŽoNFP zodpovedá za dodržiavanie princípov transparentnosti, rovnakého zaobchádzania, nediskriminácie a dodržiavania HP v zmysle čl. 7 a 8 všeobecného nariadenia.</w:t>
      </w:r>
    </w:p>
    <w:p w14:paraId="28B5C44A" w14:textId="2972CF7F" w:rsidR="00B650E5" w:rsidRDefault="00B650E5">
      <w:pPr>
        <w:numPr>
          <w:ilvl w:val="0"/>
          <w:numId w:val="86"/>
        </w:numPr>
        <w:spacing w:before="120" w:after="120"/>
        <w:ind w:left="426" w:hanging="426"/>
        <w:jc w:val="both"/>
        <w:rPr>
          <w:szCs w:val="22"/>
          <w:lang w:eastAsia="en-US"/>
        </w:rPr>
      </w:pPr>
      <w:r>
        <w:rPr>
          <w:szCs w:val="22"/>
          <w:lang w:eastAsia="en-US"/>
        </w:rPr>
        <w:t xml:space="preserve">RO v schvaľovacom procese upravenom v tejto kapitole dodržiava princíp štyroch očí, ak niektoré z ustanovení tejto kapitoly nevyžadujú aplikovanie prísnejších kontrolných mechanizmov. Za 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rozsahu minimálne dvoma odbornými hodnotiteľmi). </w:t>
      </w:r>
    </w:p>
    <w:p w14:paraId="6038192E" w14:textId="70106D65" w:rsidR="00B650E5" w:rsidRDefault="00B650E5">
      <w:pPr>
        <w:numPr>
          <w:ilvl w:val="0"/>
          <w:numId w:val="86"/>
        </w:numPr>
        <w:spacing w:before="120" w:after="120"/>
        <w:ind w:left="426" w:hanging="426"/>
        <w:jc w:val="both"/>
      </w:pPr>
      <w:r>
        <w:t xml:space="preserve">V schvaľovacom procese je RO povinný v prípade akéhokoľvek podozrenia nasvedčujúceho, že bol alebo mohol byť spáchaný trestný čin (napr. subvenčný podvod v súlade s § 225 Trestného zákona, poškodzovanie finančných záujmov </w:t>
      </w:r>
      <w:r w:rsidR="003D4A37">
        <w:t xml:space="preserve">Európskej únie </w:t>
      </w:r>
      <w:r>
        <w:t>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w:t>
      </w:r>
    </w:p>
    <w:p w14:paraId="632AF2CB" w14:textId="77777777" w:rsidR="00B650E5" w:rsidRDefault="00B650E5">
      <w:pPr>
        <w:numPr>
          <w:ilvl w:val="0"/>
          <w:numId w:val="86"/>
        </w:numPr>
        <w:spacing w:before="120" w:after="120"/>
        <w:ind w:left="426" w:hanging="426"/>
        <w:jc w:val="both"/>
        <w:rPr>
          <w:szCs w:val="22"/>
          <w:lang w:eastAsia="en-US"/>
        </w:rPr>
      </w:pPr>
      <w:r>
        <w:rPr>
          <w:szCs w:val="22"/>
          <w:lang w:eastAsia="en-US"/>
        </w:rPr>
        <w:t>Proces schvaľovania začína doručením ŽoNFP a končí vydaním rozhodnutia o ŽoNFP (rozhodnutie o schválení ŽoNFP, rozhodnutie o neschválení ŽoNFP, rozhodnutie o zastavení konania), resp. rozhodnutím o opravnom prostriedku alebo zmenou rozhodnutia o neschválení podľa § 21 (zásobník projektov – samostatne úprava v </w:t>
      </w:r>
      <w:hyperlink w:anchor="kapitola_323" w:tooltip="kapitole 3.2.3" w:history="1">
        <w:r>
          <w:rPr>
            <w:rStyle w:val="Hypertextovprepojenie"/>
          </w:rPr>
          <w:t xml:space="preserve">kapitole </w:t>
        </w:r>
        <w:r>
          <w:rPr>
            <w:rStyle w:val="Hypertextovprepojenie"/>
            <w:szCs w:val="22"/>
            <w:lang w:eastAsia="en-US"/>
          </w:rPr>
          <w:t>3.</w:t>
        </w:r>
        <w:r>
          <w:rPr>
            <w:rStyle w:val="Hypertextovprepojenie"/>
          </w:rPr>
          <w:t>2.3</w:t>
        </w:r>
      </w:hyperlink>
      <w:r>
        <w:rPr>
          <w:szCs w:val="22"/>
          <w:lang w:eastAsia="en-US"/>
        </w:rPr>
        <w:t>). Vnútorne sa proces schvaľovania rozdeľuje do nasledujúcich fáz:</w:t>
      </w:r>
    </w:p>
    <w:p w14:paraId="01B143F8"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 xml:space="preserve">administratívne overenie, </w:t>
      </w:r>
    </w:p>
    <w:p w14:paraId="08893BFE"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odborné hodnotenie a výber,</w:t>
      </w:r>
    </w:p>
    <w:p w14:paraId="13CF29EA"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opravné prostriedky (neobligatórna časť schvaľovacieho procesu).</w:t>
      </w:r>
    </w:p>
    <w:p w14:paraId="0D87A7AE" w14:textId="77777777" w:rsidR="00B650E5" w:rsidRDefault="00B650E5">
      <w:pPr>
        <w:spacing w:before="120" w:after="120"/>
        <w:ind w:left="1440"/>
        <w:jc w:val="both"/>
        <w:rPr>
          <w:bCs/>
          <w:iCs/>
          <w:szCs w:val="22"/>
          <w:lang w:eastAsia="en-US"/>
        </w:rPr>
      </w:pPr>
    </w:p>
    <w:p w14:paraId="283872DA" w14:textId="77777777" w:rsidR="00B650E5" w:rsidRDefault="0053588C">
      <w:pPr>
        <w:spacing w:before="120" w:after="120"/>
        <w:jc w:val="both"/>
        <w:rPr>
          <w:bCs/>
          <w:iCs/>
          <w:color w:val="4F81BD"/>
          <w:szCs w:val="22"/>
          <w:lang w:eastAsia="en-US"/>
        </w:rPr>
      </w:pPr>
      <w:r>
        <w:rPr>
          <w:noProof/>
        </w:rPr>
        <mc:AlternateContent>
          <mc:Choice Requires="wps">
            <w:drawing>
              <wp:anchor distT="0" distB="0" distL="114300" distR="114300" simplePos="0" relativeHeight="251642880" behindDoc="0" locked="0" layoutInCell="1" allowOverlap="1" wp14:anchorId="4B32AC06" wp14:editId="71FE3F50">
                <wp:simplePos x="0" y="0"/>
                <wp:positionH relativeFrom="column">
                  <wp:posOffset>3453130</wp:posOffset>
                </wp:positionH>
                <wp:positionV relativeFrom="paragraph">
                  <wp:posOffset>-185420</wp:posOffset>
                </wp:positionV>
                <wp:extent cx="2324100" cy="600075"/>
                <wp:effectExtent l="24130" t="24130" r="23495" b="33020"/>
                <wp:wrapNone/>
                <wp:docPr id="79"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3"/>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28398" dir="3806097" algn="ctr" rotWithShape="0">
                            <a:srgbClr val="974706"/>
                          </a:outerShdw>
                        </a:effectLst>
                      </wps:spPr>
                      <wps:txbx>
                        <w:txbxContent>
                          <w:p w14:paraId="7CF03A64" w14:textId="77777777" w:rsidR="00DF4E07" w:rsidRDefault="00DF4E07">
                            <w:pPr>
                              <w:rPr>
                                <w:sz w:val="18"/>
                                <w:szCs w:val="18"/>
                              </w:rPr>
                            </w:pPr>
                            <w:r>
                              <w:rPr>
                                <w:sz w:val="18"/>
                                <w:szCs w:val="18"/>
                              </w:rPr>
                              <w:t>Konanie o opravných prostriedkoch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B32AC06"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2" type="#_x0000_t69" style="position:absolute;left:0;text-align:left;margin-left:271.9pt;margin-top:-14.6pt;width:183pt;height:47.2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" adj="3874" fillcolor="#fabf8f" strokecolor="#f79646" strokeweight="1pt">
                <v:fill color2="#f79646" focus="50%" type="gradient"/>
                <v:shadow on="t" color="#974706" offset="1pt"/>
                <v:textbox>
                  <w:txbxContent>
                    <w:p w14:paraId="7CF03A64" w14:textId="77777777" w:rsidR="00DF4E07" w:rsidRDefault="00DF4E07">
                      <w:pPr>
                        <w:rPr>
                          <w:sz w:val="18"/>
                          <w:szCs w:val="18"/>
                        </w:rPr>
                      </w:pPr>
                      <w:r>
                        <w:rPr>
                          <w:sz w:val="18"/>
                          <w:szCs w:val="18"/>
                        </w:rPr>
                        <w:t>Konanie o opravných prostriedkoch</w:t>
                      </w:r>
                    </w:p>
                  </w:txbxContent>
                </v:textbox>
              </v:shape>
            </w:pict>
          </mc:Fallback>
        </mc:AlternateContent>
      </w:r>
      <w:r>
        <w:rPr>
          <w:noProof/>
        </w:rPr>
        <mc:AlternateContent>
          <mc:Choice Requires="wps">
            <w:drawing>
              <wp:anchor distT="0" distB="0" distL="114300" distR="114300" simplePos="0" relativeHeight="251643904" behindDoc="0" locked="0" layoutInCell="1" allowOverlap="1" wp14:anchorId="41CFD7CC" wp14:editId="5D969123">
                <wp:simplePos x="0" y="0"/>
                <wp:positionH relativeFrom="column">
                  <wp:posOffset>52705</wp:posOffset>
                </wp:positionH>
                <wp:positionV relativeFrom="paragraph">
                  <wp:posOffset>-185420</wp:posOffset>
                </wp:positionV>
                <wp:extent cx="3400425" cy="600075"/>
                <wp:effectExtent l="24130" t="24130" r="23495" b="33020"/>
                <wp:wrapNone/>
                <wp:docPr id="78"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rgbClr val="FFFFFF"/>
                            </a:gs>
                            <a:gs pos="100000">
                              <a:srgbClr val="B6DDE8"/>
                            </a:gs>
                          </a:gsLst>
                          <a:lin ang="54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51B3B0BA" w14:textId="77777777" w:rsidR="00DF4E07" w:rsidRDefault="00DF4E07">
                            <w:pPr>
                              <w:jc w:val="center"/>
                            </w:pPr>
                            <w:r>
                              <w:rPr>
                                <w:sz w:val="18"/>
                                <w:szCs w:val="18"/>
                              </w:rPr>
                              <w:t>Konanie o</w:t>
                            </w:r>
                            <w:r>
                              <w:t xml:space="preserve"> </w:t>
                            </w:r>
                            <w:r>
                              <w:rPr>
                                <w:sz w:val="18"/>
                                <w:szCs w:val="18"/>
                              </w:rPr>
                              <w:t>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CFD7CC" id="Obojsmerná vodorovná šípka 63" o:spid="_x0000_s1033" type="#_x0000_t69" style="position:absolute;left:0;text-align:left;margin-left:4.15pt;margin-top:-14.6pt;width:267.75pt;height:47.2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" strokecolor="#92cddc" strokeweight="1pt">
                <v:fill color2="#b6dde8" focus="100%" type="gradient"/>
                <v:shadow on="t" color="#205867" opacity=".5" offset="1pt"/>
                <v:textbox>
                  <w:txbxContent>
                    <w:p w14:paraId="51B3B0BA" w14:textId="77777777" w:rsidR="00DF4E07" w:rsidRDefault="00DF4E07">
                      <w:pPr>
                        <w:jc w:val="center"/>
                      </w:pPr>
                      <w:r>
                        <w:rPr>
                          <w:sz w:val="18"/>
                          <w:szCs w:val="18"/>
                        </w:rPr>
                        <w:t>Konanie o</w:t>
                      </w:r>
                      <w:r>
                        <w:t xml:space="preserve"> </w:t>
                      </w:r>
                      <w:r>
                        <w:rPr>
                          <w:sz w:val="18"/>
                          <w:szCs w:val="18"/>
                        </w:rPr>
                        <w:t>ŽoNFP</w:t>
                      </w:r>
                    </w:p>
                  </w:txbxContent>
                </v:textbox>
              </v:shape>
            </w:pict>
          </mc:Fallback>
        </mc:AlternateContent>
      </w:r>
      <w:r>
        <w:rPr>
          <w:noProof/>
          <w:szCs w:val="22"/>
        </w:rPr>
        <w:drawing>
          <wp:inline distT="0" distB="0" distL="0" distR="0" wp14:anchorId="744AD85C" wp14:editId="765B29CB">
            <wp:extent cx="5544820" cy="1325880"/>
            <wp:effectExtent l="57150" t="0" r="0" b="45720"/>
            <wp:docPr id="2" name="Diagram 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7" r:lo="rId78" r:qs="rId79" r:cs="rId80"/>
              </a:graphicData>
            </a:graphic>
          </wp:inline>
        </w:drawing>
      </w:r>
    </w:p>
    <w:p w14:paraId="189ACC9C" w14:textId="77777777" w:rsidR="00B650E5" w:rsidRDefault="00B650E5">
      <w:pPr>
        <w:spacing w:before="120" w:after="120"/>
        <w:ind w:left="142"/>
        <w:rPr>
          <w:bCs/>
          <w:iCs/>
          <w:sz w:val="18"/>
          <w:szCs w:val="18"/>
          <w:lang w:eastAsia="en-US"/>
        </w:rPr>
      </w:pPr>
      <w:r>
        <w:rPr>
          <w:bCs/>
          <w:iCs/>
          <w:sz w:val="18"/>
          <w:szCs w:val="18"/>
          <w:lang w:eastAsia="en-US"/>
        </w:rPr>
        <w:t>Grafické znázornenie vnútorného členenia konania a porovnanie s úpravou konania v zmysle zákona o príspevku z EŠIF</w:t>
      </w:r>
    </w:p>
    <w:p w14:paraId="05A8295F" w14:textId="4141B1EE" w:rsidR="00B650E5" w:rsidRDefault="00B650E5">
      <w:pPr>
        <w:numPr>
          <w:ilvl w:val="0"/>
          <w:numId w:val="86"/>
        </w:numPr>
        <w:spacing w:before="120" w:after="120"/>
        <w:ind w:left="426" w:hanging="426"/>
        <w:jc w:val="both"/>
        <w:rPr>
          <w:szCs w:val="22"/>
          <w:lang w:eastAsia="en-US"/>
        </w:rPr>
      </w:pPr>
      <w:r>
        <w:rPr>
          <w:szCs w:val="22"/>
          <w:lang w:eastAsia="en-US"/>
        </w:rPr>
        <w:t>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w:t>
      </w:r>
      <w:r w:rsidR="00AF03C8">
        <w:rPr>
          <w:szCs w:val="22"/>
          <w:lang w:eastAsia="en-US"/>
        </w:rPr>
        <w:t>e</w:t>
      </w:r>
      <w:r>
        <w:rPr>
          <w:szCs w:val="22"/>
          <w:lang w:eastAsia="en-US"/>
        </w:rPr>
        <w:t xml:space="preserve"> výzvy.</w:t>
      </w:r>
    </w:p>
    <w:p w14:paraId="1F47CF2F" w14:textId="1053C337" w:rsidR="00B650E5" w:rsidRDefault="00B650E5">
      <w:pPr>
        <w:numPr>
          <w:ilvl w:val="0"/>
          <w:numId w:val="86"/>
        </w:numPr>
        <w:spacing w:before="120" w:after="120"/>
        <w:ind w:left="426" w:hanging="426"/>
        <w:jc w:val="both"/>
        <w:rPr>
          <w:szCs w:val="22"/>
          <w:lang w:eastAsia="en-US"/>
        </w:rPr>
      </w:pPr>
      <w:r>
        <w:rPr>
          <w:szCs w:val="22"/>
          <w:lang w:eastAsia="en-US"/>
        </w:rPr>
        <w:t>Vzhľadom na možnosť zneužitia informácií uvedených v projektovom zámere alebo v ŽoNFP a jej prílohách, ako aj v záujme vylúčenia konfliktu záujmov v priebehu posudzovania projektových zámerov alebo schvaľovania ŽoNFP, sú zamestnanci RO a odborní hodnotitelia podieľajúci sa na 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Pr>
          <w:rStyle w:val="Odkaznapoznmkupodiarou"/>
          <w:szCs w:val="22"/>
          <w:lang w:eastAsia="en-US"/>
        </w:rPr>
        <w:footnoteReference w:id="42"/>
      </w:r>
      <w:r>
        <w:rPr>
          <w:szCs w:val="22"/>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zmluvného vzťahu, ktorý nespadá pod Zákonník práce, zákon o štátnej službe, resp. zákon o výkone prác</w:t>
      </w:r>
      <w:r w:rsidRPr="009078F6">
        <w:rPr>
          <w:szCs w:val="22"/>
          <w:lang w:eastAsia="en-US"/>
        </w:rPr>
        <w:t>e</w:t>
      </w:r>
      <w:r>
        <w:rPr>
          <w:szCs w:val="22"/>
          <w:lang w:eastAsia="en-US"/>
        </w:rPr>
        <w:t xml:space="preserve"> vo verejnom záujme, RO zabezpečí zakotvenie povinností vyplývajúcich z Čestného vyhlásenia </w:t>
      </w:r>
      <w:r w:rsidR="00AF03C8">
        <w:rPr>
          <w:szCs w:val="22"/>
          <w:lang w:eastAsia="en-US"/>
        </w:rPr>
        <w:t xml:space="preserve">o </w:t>
      </w:r>
      <w:r>
        <w:rPr>
          <w:szCs w:val="22"/>
          <w:lang w:eastAsia="en-US"/>
        </w:rPr>
        <w:t>nestrannosti, zachovaní dôvernosti informácií a vylúčení konfliktu záujmov, vrátane dĺžky trvania tejto povinnosti aj po skončení výkonu odborného hodnotenia, do</w:t>
      </w:r>
      <w:r w:rsidR="00AF03C8">
        <w:rPr>
          <w:szCs w:val="22"/>
          <w:lang w:eastAsia="en-US"/>
        </w:rPr>
        <w:t> </w:t>
      </w:r>
      <w:r>
        <w:rPr>
          <w:szCs w:val="22"/>
          <w:lang w:eastAsia="en-US"/>
        </w:rPr>
        <w:t>zmluvného vzťahu s odborným hodnotiteľom.</w:t>
      </w:r>
    </w:p>
    <w:p w14:paraId="20E3F99B"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Pre posudzovanie projektového zámeru a konania o ŽoNFP je rozhodujúci obsah projektového zámeru alebo ŽoNFP. RO nie je oprávnený pri posudzovaní projektového zámeru alebo konania o ŽoNFP vyvodiť negatívne dôsledky (negatívna hodnotiaca správa/zastavenie konania, resp. rozhodnutie o neschválení) len z dôvodov formálnych nedostatkov </w:t>
      </w:r>
      <w:r w:rsidRPr="009078F6">
        <w:rPr>
          <w:szCs w:val="22"/>
          <w:lang w:eastAsia="en-US"/>
        </w:rPr>
        <w:t>elektronického a/alebo písomného</w:t>
      </w:r>
      <w:r>
        <w:rPr>
          <w:szCs w:val="22"/>
          <w:lang w:eastAsia="en-US"/>
        </w:rPr>
        <w:t xml:space="preserve"> podania. Dôvod, pre ktorý RO vydáva rozhodnutie o zastavení konania alebo rozhodnutie o neschválení musí byť jasný, odôvodnený a musí vyplývať z nedodržania podmienok zadefinovaných vo výzvach.</w:t>
      </w:r>
    </w:p>
    <w:p w14:paraId="64EB81FD" w14:textId="57FCE00F" w:rsidR="00B650E5" w:rsidRDefault="00B650E5">
      <w:pPr>
        <w:pStyle w:val="SRK3"/>
      </w:pPr>
      <w:bookmarkStart w:id="203" w:name="_Toc453233994"/>
      <w:bookmarkStart w:id="204" w:name="_Toc495649353"/>
      <w:r>
        <w:t xml:space="preserve">3.2.1 Schvaľovací proces </w:t>
      </w:r>
      <w:bookmarkEnd w:id="201"/>
      <w:bookmarkEnd w:id="202"/>
      <w:r>
        <w:t>žiadostí o poskytnutie nenávratného finančného príspevk</w:t>
      </w:r>
      <w:bookmarkEnd w:id="203"/>
      <w:r>
        <w:t>u</w:t>
      </w:r>
      <w:bookmarkEnd w:id="204"/>
    </w:p>
    <w:p w14:paraId="39E6C4D4" w14:textId="77777777" w:rsidR="00B650E5" w:rsidRDefault="00B650E5">
      <w:pPr>
        <w:numPr>
          <w:ilvl w:val="0"/>
          <w:numId w:val="88"/>
        </w:numPr>
        <w:spacing w:before="120" w:after="120"/>
        <w:ind w:left="426" w:hanging="426"/>
        <w:jc w:val="both"/>
        <w:rPr>
          <w:szCs w:val="22"/>
          <w:lang w:eastAsia="en-US"/>
        </w:rPr>
      </w:pPr>
      <w:r>
        <w:rPr>
          <w:szCs w:val="22"/>
          <w:lang w:eastAsia="en-US"/>
        </w:rPr>
        <w:t>RO zabezpečí príjem ŽoNFP odo dňa vyhlásenia výzvy do dňa jej uzavretia.</w:t>
      </w:r>
    </w:p>
    <w:p w14:paraId="6519C930" w14:textId="32D73C88" w:rsidR="00B650E5" w:rsidRDefault="00B650E5">
      <w:pPr>
        <w:numPr>
          <w:ilvl w:val="0"/>
          <w:numId w:val="88"/>
        </w:numPr>
        <w:spacing w:before="120" w:after="120"/>
        <w:ind w:left="426" w:hanging="426"/>
        <w:jc w:val="both"/>
        <w:rPr>
          <w:szCs w:val="22"/>
          <w:lang w:eastAsia="en-US"/>
        </w:rPr>
      </w:pPr>
      <w:r>
        <w:rPr>
          <w:szCs w:val="22"/>
          <w:lang w:eastAsia="en-US"/>
        </w:rPr>
        <w:t xml:space="preserve">Doručením ŽoNFP na RO začína konanie o ŽoNFP. Žiadateľ doručuje ŽoNFP elektronicky prostredníctvom verejnej časti ITMS 2014+ a písomne na adresu určenú vo výzve (tzn. v listinnej podobe, alebo elektronicky </w:t>
      </w:r>
      <w:r w:rsidR="00304959">
        <w:rPr>
          <w:szCs w:val="22"/>
          <w:lang w:eastAsia="en-US"/>
        </w:rPr>
        <w:t xml:space="preserve">bez príloh </w:t>
      </w:r>
      <w:r>
        <w:rPr>
          <w:szCs w:val="22"/>
          <w:lang w:eastAsia="en-US"/>
        </w:rPr>
        <w:t xml:space="preserve">prostredníctvom Ústredného portálu verejnej správy, </w:t>
      </w:r>
      <w:r>
        <w:rPr>
          <w:szCs w:val="22"/>
          <w:lang w:eastAsia="en-US"/>
        </w:rPr>
        <w:lastRenderedPageBreak/>
        <w:t xml:space="preserve">podpísanú </w:t>
      </w:r>
      <w:r>
        <w:t xml:space="preserve">kvalifikovaným elektronickým podpisom, kvalifikovaným elektronickým podpisom s mandátnym certifikátom </w:t>
      </w:r>
      <w:r w:rsidRPr="001272C2">
        <w:t xml:space="preserve">alebo </w:t>
      </w:r>
      <w:r>
        <w:t>kvalifikovanou</w:t>
      </w:r>
      <w:r w:rsidRPr="001272C2">
        <w:t xml:space="preserve"> elektronickou pečaťou</w:t>
      </w:r>
      <w:r>
        <w:t>)</w:t>
      </w:r>
      <w:r>
        <w:rPr>
          <w:szCs w:val="22"/>
          <w:lang w:eastAsia="en-US"/>
        </w:rPr>
        <w:t>.</w:t>
      </w:r>
    </w:p>
    <w:p w14:paraId="29481DEA" w14:textId="015183DA" w:rsidR="00B650E5" w:rsidRDefault="00B650E5" w:rsidP="005B4F8F">
      <w:pPr>
        <w:pStyle w:val="SRKNorm"/>
        <w:numPr>
          <w:ilvl w:val="0"/>
          <w:numId w:val="88"/>
        </w:numPr>
        <w:spacing w:before="120" w:after="120"/>
        <w:ind w:left="426" w:hanging="426"/>
      </w:pPr>
      <w:r>
        <w:t xml:space="preserve">Pri doručovaní ŽoNFP prostredníctvom </w:t>
      </w:r>
      <w:r>
        <w:rPr>
          <w:szCs w:val="22"/>
          <w:lang w:eastAsia="en-US"/>
        </w:rPr>
        <w:t>Ústredného portálu verejnej správy</w:t>
      </w:r>
      <w:r>
        <w:t xml:space="preserve"> žiadateľ štandardne neautorizuje prílohy ŽoNFP</w:t>
      </w:r>
      <w:r w:rsidRPr="00A83695">
        <w:t>,</w:t>
      </w:r>
      <w:r>
        <w:t xml:space="preserve"> ale ich iba vloží do ITMS 2014+. V odôvodnených prípadoch však RO môže stanoviť povinnosť </w:t>
      </w:r>
      <w:r w:rsidR="003C1D27">
        <w:t>predlož</w:t>
      </w:r>
      <w:r>
        <w:t>iť vybrané prílohy ŽoNFP</w:t>
      </w:r>
      <w:r>
        <w:rPr>
          <w:rStyle w:val="Odkaznapoznmkupodiarou"/>
        </w:rPr>
        <w:footnoteReference w:id="43"/>
      </w:r>
      <w:r>
        <w:t xml:space="preserve"> autorizované 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 </w:t>
      </w:r>
    </w:p>
    <w:p w14:paraId="4EB06DED" w14:textId="3916FC76" w:rsidR="00B650E5" w:rsidRPr="00A8219F" w:rsidRDefault="00B650E5" w:rsidP="005B4F8F">
      <w:pPr>
        <w:pStyle w:val="SRKNorm"/>
        <w:numPr>
          <w:ilvl w:val="0"/>
          <w:numId w:val="88"/>
        </w:numPr>
        <w:spacing w:before="120" w:after="120"/>
        <w:ind w:left="426" w:hanging="426"/>
      </w:pPr>
      <w:r>
        <w:t xml:space="preserve">Aj v prípade, ak žiadateľ predkladá ŽoNFP bez príloh výlučne elektronicky (prostredníctvom ITMS 2014+ a </w:t>
      </w:r>
      <w:r>
        <w:rPr>
          <w:szCs w:val="22"/>
          <w:lang w:eastAsia="en-US"/>
        </w:rPr>
        <w:t>Ústredného portálu verejnej správy)</w:t>
      </w:r>
      <w:r>
        <w:t xml:space="preserve">, je oprávnený doručiť vybrané prílohy ŽoNFP, ktoré nie sú dostupné v elektronickej podobe, resp. ich zaručená konverzia vykonaná postupom podľa § 36 zákona o e-Governmente do elektronickej podoby by neúmerne zaťažila žiadateľa, v listinnej podobe. V tomto prípade sa za dátum doručenia ŽoNFP bude považovať dátum </w:t>
      </w:r>
      <w:r w:rsidR="00134B4C">
        <w:t>podania</w:t>
      </w:r>
      <w:r>
        <w:t xml:space="preserve"> ŽoNFP do elektronickej schránky RO. O možnosti  doručiť vybrané prílohy ŽoNFP v listinnej podobe RO informuje žiadateľov vo výzve.</w:t>
      </w:r>
      <w:r w:rsidRPr="00C21609">
        <w:t xml:space="preserve"> </w:t>
      </w:r>
    </w:p>
    <w:p w14:paraId="617607B8" w14:textId="68F82B1E" w:rsidR="00B650E5" w:rsidRPr="00997CB0" w:rsidRDefault="00B650E5">
      <w:pPr>
        <w:pStyle w:val="SRKNorm"/>
        <w:numPr>
          <w:ilvl w:val="0"/>
          <w:numId w:val="88"/>
        </w:numPr>
        <w:spacing w:before="120" w:after="120"/>
        <w:ind w:left="426" w:hanging="426"/>
      </w:pPr>
      <w:r>
        <w:t xml:space="preserve">V prípade, ak </w:t>
      </w:r>
      <w:r w:rsidR="00A96B29">
        <w:t xml:space="preserve">má </w:t>
      </w:r>
      <w:r>
        <w:t>žiadateľ aktivovanú elektronickú schránku, RO je povinný doručovať všetky rozhodnutia, vydané v konaní o ŽoNFP elektronicky, v súlade so zákonom o e-Governmente.</w:t>
      </w:r>
    </w:p>
    <w:p w14:paraId="081309E5" w14:textId="77777777" w:rsidR="00B650E5" w:rsidRDefault="00B650E5" w:rsidP="0045286B">
      <w:pPr>
        <w:pStyle w:val="SRK4"/>
      </w:pPr>
      <w:bookmarkStart w:id="205" w:name="_Toc453233995"/>
      <w:bookmarkStart w:id="206" w:name="_Toc495649354"/>
      <w:bookmarkStart w:id="207" w:name="kapitola_3211"/>
      <w:r>
        <w:t>3.2.1.1 Administratívne overenie</w:t>
      </w:r>
      <w:bookmarkEnd w:id="205"/>
      <w:bookmarkEnd w:id="206"/>
      <w:r>
        <w:t xml:space="preserve"> </w:t>
      </w:r>
    </w:p>
    <w:bookmarkEnd w:id="207"/>
    <w:p w14:paraId="5D6F46D2"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RO v rámci administratívneho overenia overí splnenie doručenia ŽoNFP a následne ostatných podmienok poskytnutia príspevku určených vo výzve. </w:t>
      </w:r>
    </w:p>
    <w:p w14:paraId="10FCBBB6" w14:textId="0B12145B" w:rsidR="00B650E5" w:rsidRDefault="00B650E5">
      <w:pPr>
        <w:numPr>
          <w:ilvl w:val="0"/>
          <w:numId w:val="89"/>
        </w:numPr>
        <w:spacing w:before="120" w:after="120"/>
        <w:ind w:left="426" w:hanging="426"/>
        <w:jc w:val="both"/>
        <w:rPr>
          <w:szCs w:val="22"/>
          <w:lang w:eastAsia="en-US"/>
        </w:rPr>
      </w:pPr>
      <w:r>
        <w:rPr>
          <w:szCs w:val="22"/>
          <w:lang w:eastAsia="en-US"/>
        </w:rPr>
        <w:t xml:space="preserve">Po doručení ŽoNFP RO posúdi splnenie podmienky doručenia ŽoNFP riadne, včas a vo forme určenej RO. ŽoNFP je doručená vo forme určenej RO, ak je doručená prostredníctvom verejnej časti ITMS 2014+ a v písomnej podobe. Rozhodujúcim dátumom na splnenie podmienky podať ŽoNFP včas je dátum odovzdania písomnej verzie ŽoNFP osobne na RO (RO o prijatí ŽoNFP vystaví žiadateľovi potvrdenie s vyznačeným dátumom prijatia ŽoNFP a kópiu potvrdenia uchováva v spise k prijatej ŽoNFP) alebo dátum odovzdania na poštovú, resp. inú prepravu (napr. zasielanie prostredníctvom kuriéra - </w:t>
      </w:r>
      <w:r w:rsidRPr="005243B9">
        <w:t xml:space="preserve">RO zašle žiadateľovi informáciu o prijatí ŽoNFP najneskôr do </w:t>
      </w:r>
      <w:r w:rsidR="00E96D5F">
        <w:t>5</w:t>
      </w:r>
      <w:r w:rsidRPr="005243B9">
        <w:t xml:space="preserve"> pracovných dní po prijatí na kontaktný e-mail, uvedený v ŽoNFP</w:t>
      </w:r>
      <w:r>
        <w:rPr>
          <w:szCs w:val="22"/>
          <w:lang w:eastAsia="en-US"/>
        </w:rPr>
        <w:t>)</w:t>
      </w:r>
      <w:r>
        <w:t xml:space="preserve"> </w:t>
      </w:r>
      <w:r>
        <w:rPr>
          <w:szCs w:val="22"/>
          <w:lang w:eastAsia="en-US"/>
        </w:rPr>
        <w:t>alebo dátum podania do</w:t>
      </w:r>
      <w:r w:rsidR="0053742D">
        <w:rPr>
          <w:szCs w:val="22"/>
          <w:lang w:eastAsia="en-US"/>
        </w:rPr>
        <w:t> </w:t>
      </w:r>
      <w:r>
        <w:rPr>
          <w:szCs w:val="22"/>
          <w:lang w:eastAsia="en-US"/>
        </w:rPr>
        <w:t>elektronickej schránky RO (</w:t>
      </w:r>
      <w:r w:rsidRPr="000B18B1">
        <w:rPr>
          <w:szCs w:val="22"/>
          <w:lang w:eastAsia="en-US"/>
        </w:rPr>
        <w:t xml:space="preserve">RO </w:t>
      </w:r>
      <w:r>
        <w:rPr>
          <w:szCs w:val="22"/>
          <w:lang w:eastAsia="en-US"/>
        </w:rPr>
        <w:t xml:space="preserve">v tomto prípade </w:t>
      </w:r>
      <w:r w:rsidRPr="000B18B1">
        <w:rPr>
          <w:szCs w:val="22"/>
          <w:lang w:eastAsia="en-US"/>
        </w:rPr>
        <w:t xml:space="preserve">potvrdenie </w:t>
      </w:r>
      <w:r>
        <w:rPr>
          <w:szCs w:val="22"/>
          <w:lang w:eastAsia="en-US"/>
        </w:rPr>
        <w:t xml:space="preserve">o prijatí ŽoNFP </w:t>
      </w:r>
      <w:r w:rsidRPr="000B18B1">
        <w:rPr>
          <w:szCs w:val="22"/>
          <w:lang w:eastAsia="en-US"/>
        </w:rPr>
        <w:t>nevydáva</w:t>
      </w:r>
      <w:r>
        <w:rPr>
          <w:szCs w:val="22"/>
          <w:lang w:eastAsia="en-US"/>
        </w:rPr>
        <w:t xml:space="preserve">) </w:t>
      </w:r>
      <w:r>
        <w:t>najneskôr v posledný deň uzávierky výzvy, resp. lehoty určenej na predkladanie ŽoNFP vo výzve.</w:t>
      </w:r>
      <w:r>
        <w:rPr>
          <w:szCs w:val="22"/>
          <w:lang w:eastAsia="en-US"/>
        </w:rPr>
        <w:t xml:space="preserve"> ŽoNFP je doručená riadne, ak spĺňa požiadavky na formát stanovený explicitne vo výzve a zaslaný formát umožňuje objektívne posúdenie obsahu ŽoNFP (podmienka nie je splnená najmä v prípadoch, kedy je obsah ŽoNFP vyplnený v inom ako slovenskom jazyku alebo jazyku určenom vo výzve ako akceptovateľným alebo písmom, ktoré neumožňuje rozpoznanie obsahu textu). </w:t>
      </w:r>
    </w:p>
    <w:p w14:paraId="4AB9EB4A" w14:textId="77777777" w:rsidR="00B650E5" w:rsidRDefault="00B650E5">
      <w:pPr>
        <w:numPr>
          <w:ilvl w:val="0"/>
          <w:numId w:val="89"/>
        </w:numPr>
        <w:spacing w:before="120" w:after="120"/>
        <w:ind w:left="426" w:hanging="426"/>
        <w:jc w:val="both"/>
        <w:rPr>
          <w:szCs w:val="22"/>
          <w:lang w:eastAsia="en-US"/>
        </w:rPr>
      </w:pPr>
      <w:r>
        <w:rPr>
          <w:szCs w:val="22"/>
          <w:lang w:eastAsia="en-US"/>
        </w:rPr>
        <w:t>V prípade, ak žiadateľ nepredložil ŽoNFP riadne, včas alebo v určenej forme, RO zastaví konanie vydaním rozhodnutia o zastavení konania o ŽoNFP a o tejto skutočnosti informuje žiadateľa.</w:t>
      </w:r>
    </w:p>
    <w:p w14:paraId="59845C3C" w14:textId="4FA3A579" w:rsidR="00B650E5" w:rsidRDefault="00B650E5">
      <w:pPr>
        <w:numPr>
          <w:ilvl w:val="0"/>
          <w:numId w:val="89"/>
        </w:numPr>
        <w:spacing w:before="120" w:after="120"/>
        <w:ind w:left="426" w:hanging="426"/>
        <w:jc w:val="both"/>
        <w:rPr>
          <w:szCs w:val="22"/>
          <w:lang w:eastAsia="en-US"/>
        </w:rPr>
      </w:pPr>
      <w:r>
        <w:rPr>
          <w:szCs w:val="22"/>
          <w:lang w:eastAsia="en-US"/>
        </w:rPr>
        <w:t>Po overení splnenia podmienok predložiť ŽoNFP riadne, včas a v určenej forme RO zaregistruje ŽoNFP v  ITMS 2014+. Overenie podmienok predloženia ŽoNFP v súlade s týmto odsekom RO zaznamená v kontrolnom zozname, ktorého minimálne náležitosti sú uvedené vo vzore</w:t>
      </w:r>
      <w:r>
        <w:rPr>
          <w:rStyle w:val="Odkaznapoznmkupodiarou"/>
          <w:szCs w:val="22"/>
          <w:lang w:eastAsia="en-US"/>
        </w:rPr>
        <w:footnoteReference w:id="44"/>
      </w:r>
      <w:r>
        <w:rPr>
          <w:szCs w:val="22"/>
          <w:lang w:eastAsia="en-US"/>
        </w:rPr>
        <w:t xml:space="preserve"> vydanom CKO.</w:t>
      </w:r>
    </w:p>
    <w:p w14:paraId="45D34848" w14:textId="77777777" w:rsidR="00B650E5" w:rsidRDefault="00B650E5">
      <w:pPr>
        <w:spacing w:before="120" w:after="120"/>
        <w:jc w:val="both"/>
        <w:rPr>
          <w:szCs w:val="22"/>
          <w:lang w:eastAsia="en-US"/>
        </w:rPr>
      </w:pPr>
    </w:p>
    <w:p w14:paraId="5588CDDE" w14:textId="77777777" w:rsidR="00B650E5" w:rsidRDefault="00B650E5">
      <w:pPr>
        <w:spacing w:before="120" w:after="120"/>
        <w:ind w:left="426"/>
        <w:jc w:val="both"/>
        <w:rPr>
          <w:szCs w:val="22"/>
          <w:lang w:eastAsia="en-US"/>
        </w:rPr>
      </w:pPr>
    </w:p>
    <w:p w14:paraId="7C4EA412" w14:textId="77777777" w:rsidR="00B650E5" w:rsidRDefault="0053588C">
      <w:pPr>
        <w:pStyle w:val="Odsekzoznamu"/>
        <w:spacing w:before="120" w:after="120"/>
        <w:jc w:val="both"/>
        <w:rPr>
          <w:bCs/>
          <w:iCs/>
          <w:color w:val="4F81BD"/>
          <w:szCs w:val="22"/>
          <w:lang w:eastAsia="en-US"/>
        </w:rPr>
      </w:pPr>
      <w:r>
        <w:rPr>
          <w:noProof/>
        </w:rPr>
        <mc:AlternateContent>
          <mc:Choice Requires="wps">
            <w:drawing>
              <wp:anchor distT="0" distB="0" distL="114300" distR="114300" simplePos="0" relativeHeight="251665408" behindDoc="0" locked="0" layoutInCell="1" allowOverlap="1" wp14:anchorId="225F5200" wp14:editId="3DD98A37">
                <wp:simplePos x="0" y="0"/>
                <wp:positionH relativeFrom="column">
                  <wp:posOffset>1962150</wp:posOffset>
                </wp:positionH>
                <wp:positionV relativeFrom="paragraph">
                  <wp:posOffset>2861310</wp:posOffset>
                </wp:positionV>
                <wp:extent cx="2066925" cy="342900"/>
                <wp:effectExtent l="19050" t="13335" r="19050" b="15240"/>
                <wp:wrapNone/>
                <wp:docPr id="77" name="Obdĺžnik 1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66925" cy="342900"/>
                        </a:xfrm>
                        <a:prstGeom prst="rect">
                          <a:avLst/>
                        </a:prstGeom>
                        <a:solidFill>
                          <a:srgbClr val="FFFFFF"/>
                        </a:solidFill>
                        <a:ln w="25400">
                          <a:solidFill>
                            <a:srgbClr val="FFFFFF"/>
                          </a:solidFill>
                          <a:miter lim="800000"/>
                          <a:headEnd/>
                          <a:tailEnd/>
                        </a:ln>
                      </wps:spPr>
                      <wps:txbx>
                        <w:txbxContent>
                          <w:p w14:paraId="239F501A" w14:textId="77777777" w:rsidR="00DF4E07" w:rsidRDefault="00DF4E07">
                            <w:pPr>
                              <w:spacing w:before="120" w:after="120"/>
                              <w:jc w:val="center"/>
                              <w:rPr>
                                <w:szCs w:val="22"/>
                                <w:lang w:eastAsia="en-US"/>
                              </w:rPr>
                            </w:pPr>
                            <w:r>
                              <w:rPr>
                                <w:bCs/>
                                <w:iCs/>
                                <w:sz w:val="18"/>
                                <w:szCs w:val="18"/>
                                <w:lang w:eastAsia="en-US"/>
                              </w:rPr>
                              <w:t>Postup pri doručení a registrácii ŽoNFP</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25F5200" id="Obdĺžnik 1128" o:spid="_x0000_s1034" style="position:absolute;left:0;text-align:left;margin-left:154.5pt;margin-top:225.3pt;width:162.75pt;height:2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" strokecolor="white" strokeweight="2pt">
                <v:textbox>
                  <w:txbxContent>
                    <w:p w14:paraId="239F501A" w14:textId="77777777" w:rsidR="00DF4E07" w:rsidRDefault="00DF4E07">
                      <w:pPr>
                        <w:spacing w:before="120" w:after="120"/>
                        <w:jc w:val="center"/>
                        <w:rPr>
                          <w:szCs w:val="22"/>
                          <w:lang w:eastAsia="en-US"/>
                        </w:rPr>
                      </w:pPr>
                      <w:r>
                        <w:rPr>
                          <w:bCs/>
                          <w:iCs/>
                          <w:sz w:val="18"/>
                          <w:szCs w:val="18"/>
                          <w:lang w:eastAsia="en-US"/>
                        </w:rPr>
                        <w:t>Postup pri doručení a registrácii ŽoNFP</w:t>
                      </w:r>
                    </w:p>
                  </w:txbxContent>
                </v:textbox>
              </v:rect>
            </w:pict>
          </mc:Fallback>
        </mc:AlternateContent>
      </w:r>
      <w:r>
        <w:rPr>
          <w:noProof/>
        </w:rPr>
        <mc:AlternateContent>
          <mc:Choice Requires="wps">
            <w:drawing>
              <wp:anchor distT="0" distB="0" distL="114300" distR="114300" simplePos="0" relativeHeight="251646976" behindDoc="0" locked="0" layoutInCell="1" allowOverlap="1" wp14:anchorId="5D982D01" wp14:editId="32037514">
                <wp:simplePos x="0" y="0"/>
                <wp:positionH relativeFrom="column">
                  <wp:posOffset>4586605</wp:posOffset>
                </wp:positionH>
                <wp:positionV relativeFrom="paragraph">
                  <wp:posOffset>-337820</wp:posOffset>
                </wp:positionV>
                <wp:extent cx="1504950" cy="1066800"/>
                <wp:effectExtent l="52705" t="14605" r="52070" b="33020"/>
                <wp:wrapNone/>
                <wp:docPr id="76" name="Šípka dolu 1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950" cy="1066800"/>
                        </a:xfrm>
                        <a:prstGeom prst="downArrow">
                          <a:avLst>
                            <a:gd name="adj1" fmla="val 50000"/>
                            <a:gd name="adj2" fmla="val 25000"/>
                          </a:avLst>
                        </a:prstGeom>
                        <a:gradFill rotWithShape="0">
                          <a:gsLst>
                            <a:gs pos="0">
                              <a:srgbClr val="FABF8F"/>
                            </a:gs>
                            <a:gs pos="50000">
                              <a:srgbClr val="FDE9D9"/>
                            </a:gs>
                            <a:gs pos="100000">
                              <a:srgbClr val="FABF8F"/>
                            </a:gs>
                          </a:gsLst>
                          <a:lin ang="18900000" scaled="1"/>
                        </a:gradFill>
                        <a:ln w="12700">
                          <a:solidFill>
                            <a:srgbClr val="FABF8F"/>
                          </a:solidFill>
                          <a:miter lim="800000"/>
                          <a:headEnd/>
                          <a:tailEnd/>
                        </a:ln>
                        <a:effectLst>
                          <a:outerShdw dist="28398" dir="3806097" algn="ctr" rotWithShape="0">
                            <a:srgbClr val="974706">
                              <a:alpha val="50000"/>
                            </a:srgbClr>
                          </a:outerShdw>
                        </a:effectLst>
                      </wps:spPr>
                      <wps:txbx>
                        <w:txbxContent>
                          <w:p w14:paraId="312606C8" w14:textId="77777777" w:rsidR="00DF4E07" w:rsidRDefault="00DF4E07">
                            <w:pPr>
                              <w:jc w:val="center"/>
                              <w:rPr>
                                <w:sz w:val="18"/>
                                <w:szCs w:val="18"/>
                              </w:rPr>
                            </w:pPr>
                            <w:r>
                              <w:rPr>
                                <w:sz w:val="18"/>
                                <w:szCs w:val="18"/>
                              </w:rPr>
                              <w:t>Konanie o ŽoNFP pokračuje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982D01"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ípka dolu 1130" o:spid="_x0000_s1035" type="#_x0000_t67" style="position:absolute;left:0;text-align:left;margin-left:361.15pt;margin-top:-26.6pt;width:118.5pt;height:84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" fillcolor="#fabf8f" strokecolor="#fabf8f" strokeweight="1pt">
                <v:fill color2="#fde9d9" angle="135" focus="50%" type="gradient"/>
                <v:shadow on="t" color="#974706" opacity=".5" offset="1pt"/>
                <v:textbox>
                  <w:txbxContent>
                    <w:p w14:paraId="312606C8" w14:textId="77777777" w:rsidR="00DF4E07" w:rsidRDefault="00DF4E07">
                      <w:pPr>
                        <w:jc w:val="center"/>
                        <w:rPr>
                          <w:sz w:val="18"/>
                          <w:szCs w:val="18"/>
                        </w:rPr>
                      </w:pPr>
                      <w:r>
                        <w:rPr>
                          <w:sz w:val="18"/>
                          <w:szCs w:val="18"/>
                        </w:rPr>
                        <w:t>Konanie o ŽoNFP pokračuje</w:t>
                      </w:r>
                    </w:p>
                  </w:txbxContent>
                </v:textbox>
              </v:shape>
            </w:pict>
          </mc:Fallback>
        </mc:AlternateContent>
      </w:r>
      <w:r>
        <w:rPr>
          <w:noProof/>
        </w:rPr>
        <mc:AlternateContent>
          <mc:Choice Requires="wps">
            <w:drawing>
              <wp:anchor distT="0" distB="0" distL="114300" distR="114300" simplePos="0" relativeHeight="251645952" behindDoc="0" locked="0" layoutInCell="1" allowOverlap="1" wp14:anchorId="49AF4174" wp14:editId="636EDA07">
                <wp:simplePos x="0" y="0"/>
                <wp:positionH relativeFrom="column">
                  <wp:posOffset>4586605</wp:posOffset>
                </wp:positionH>
                <wp:positionV relativeFrom="paragraph">
                  <wp:posOffset>2386330</wp:posOffset>
                </wp:positionV>
                <wp:extent cx="1428750" cy="904875"/>
                <wp:effectExtent l="81280" t="81280" r="52070" b="13970"/>
                <wp:wrapNone/>
                <wp:docPr id="75" name="Šípka nahor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0" cy="904875"/>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107763" dir="13500000" algn="ctr" rotWithShape="0">
                            <a:srgbClr val="205867">
                              <a:alpha val="50000"/>
                            </a:srgbClr>
                          </a:outerShdw>
                        </a:effectLst>
                      </wps:spPr>
                      <wps:txbx>
                        <w:txbxContent>
                          <w:p w14:paraId="75D2B472" w14:textId="77777777" w:rsidR="00DF4E07" w:rsidRDefault="00DF4E07">
                            <w:pPr>
                              <w:jc w:val="center"/>
                            </w:pPr>
                            <w:r>
                              <w:rPr>
                                <w:sz w:val="18"/>
                                <w:szCs w:val="18"/>
                              </w:rPr>
                              <w:t>Ukončenie  konania o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AF4174"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131" o:spid="_x0000_s1036" type="#_x0000_t68" style="position:absolute;left:0;text-align:left;margin-left:361.15pt;margin-top:187.9pt;width:112.5pt;height:71.2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" fillcolor="#92cddc" strokecolor="#92cddc" strokeweight="1pt">
                <v:fill color2="#daeef3" angle="135" focus="50%" type="gradient"/>
                <v:shadow on="t" color="#205867" opacity=".5" offset="-6pt,-6pt"/>
                <v:textbox>
                  <w:txbxContent>
                    <w:p w14:paraId="75D2B472" w14:textId="77777777" w:rsidR="00DF4E07" w:rsidRDefault="00DF4E07">
                      <w:pPr>
                        <w:jc w:val="center"/>
                      </w:pPr>
                      <w:r>
                        <w:rPr>
                          <w:sz w:val="18"/>
                          <w:szCs w:val="18"/>
                        </w:rPr>
                        <w:t>Ukončenie  konania o ŽoNFP</w:t>
                      </w:r>
                    </w:p>
                  </w:txbxContent>
                </v:textbox>
              </v:shape>
            </w:pict>
          </mc:Fallback>
        </mc:AlternateContent>
      </w:r>
      <w:r>
        <w:rPr>
          <w:noProof/>
        </w:rPr>
        <mc:AlternateContent>
          <mc:Choice Requires="wps">
            <w:drawing>
              <wp:anchor distT="0" distB="0" distL="114300" distR="114300" simplePos="0" relativeHeight="251648000" behindDoc="0" locked="0" layoutInCell="1" allowOverlap="1" wp14:anchorId="2EAF250C" wp14:editId="102D036C">
                <wp:simplePos x="0" y="0"/>
                <wp:positionH relativeFrom="column">
                  <wp:posOffset>338455</wp:posOffset>
                </wp:positionH>
                <wp:positionV relativeFrom="paragraph">
                  <wp:posOffset>2018665</wp:posOffset>
                </wp:positionV>
                <wp:extent cx="1562100" cy="996315"/>
                <wp:effectExtent l="81280" t="85090" r="52070" b="13970"/>
                <wp:wrapNone/>
                <wp:docPr id="74" name="Šípka nahor 1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0" cy="996315"/>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107763" dir="13500000" algn="ctr" rotWithShape="0">
                            <a:srgbClr val="205867">
                              <a:alpha val="50000"/>
                            </a:srgbClr>
                          </a:outerShdw>
                        </a:effectLst>
                      </wps:spPr>
                      <wps:txbx>
                        <w:txbxContent>
                          <w:p w14:paraId="4A2FEC63" w14:textId="77777777" w:rsidR="00DF4E07" w:rsidRDefault="00DF4E07">
                            <w:pPr>
                              <w:jc w:val="center"/>
                              <w:rPr>
                                <w:sz w:val="18"/>
                                <w:szCs w:val="18"/>
                              </w:rPr>
                            </w:pPr>
                            <w:r>
                              <w:rPr>
                                <w:sz w:val="18"/>
                                <w:szCs w:val="18"/>
                              </w:rPr>
                              <w:t>Začiatok konania o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AF250C" id="Šípka nahor 1132" o:spid="_x0000_s1037" type="#_x0000_t68" style="position:absolute;left:0;text-align:left;margin-left:26.65pt;margin-top:158.95pt;width:123pt;height:78.4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" fillcolor="#92cddc" strokecolor="#92cddc" strokeweight="1pt">
                <v:fill color2="#daeef3" angle="135" focus="50%" type="gradient"/>
                <v:shadow on="t" color="#205867" opacity=".5" offset="-6pt,-6pt"/>
                <v:textbox>
                  <w:txbxContent>
                    <w:p w14:paraId="4A2FEC63" w14:textId="77777777" w:rsidR="00DF4E07" w:rsidRDefault="00DF4E07">
                      <w:pPr>
                        <w:jc w:val="center"/>
                        <w:rPr>
                          <w:sz w:val="18"/>
                          <w:szCs w:val="18"/>
                        </w:rPr>
                      </w:pPr>
                      <w:r>
                        <w:rPr>
                          <w:sz w:val="18"/>
                          <w:szCs w:val="18"/>
                        </w:rPr>
                        <w:t>Začiatok konania o ŽoNFP</w:t>
                      </w:r>
                    </w:p>
                  </w:txbxContent>
                </v:textbox>
              </v:shape>
            </w:pict>
          </mc:Fallback>
        </mc:AlternateContent>
      </w:r>
      <w:r>
        <w:rPr>
          <w:noProof/>
          <w:color w:val="4F81BD"/>
          <w:szCs w:val="22"/>
        </w:rPr>
        <w:drawing>
          <wp:inline distT="0" distB="0" distL="0" distR="0" wp14:anchorId="29E8F358" wp14:editId="68CC37C8">
            <wp:extent cx="5591810" cy="3209290"/>
            <wp:effectExtent l="95250" t="0" r="104140" b="0"/>
            <wp:docPr id="3" name="Diagram 113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2" r:lo="rId83" r:qs="rId84" r:cs="rId85"/>
              </a:graphicData>
            </a:graphic>
          </wp:inline>
        </w:drawing>
      </w:r>
    </w:p>
    <w:p w14:paraId="6FF9525A" w14:textId="77777777" w:rsidR="00B650E5" w:rsidRDefault="00B650E5">
      <w:pPr>
        <w:numPr>
          <w:ilvl w:val="0"/>
          <w:numId w:val="89"/>
        </w:numPr>
        <w:spacing w:before="120" w:after="120"/>
        <w:ind w:left="426" w:hanging="426"/>
        <w:jc w:val="both"/>
        <w:rPr>
          <w:szCs w:val="22"/>
          <w:lang w:eastAsia="en-US"/>
        </w:rPr>
      </w:pPr>
      <w:r>
        <w:rPr>
          <w:szCs w:val="22"/>
          <w:lang w:eastAsia="en-US"/>
        </w:rPr>
        <w:t>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ITMS 2014+, verejne dostupné registre a pod.) a v relevantných prílohách, ktorými žiadateľ preukazuje splnenie vybraných podmienok poskytnutia príspevku.</w:t>
      </w:r>
    </w:p>
    <w:p w14:paraId="4AD944CD" w14:textId="77777777" w:rsidR="00B650E5" w:rsidRDefault="00B650E5">
      <w:pPr>
        <w:numPr>
          <w:ilvl w:val="0"/>
          <w:numId w:val="89"/>
        </w:numPr>
        <w:spacing w:before="120" w:after="120"/>
        <w:ind w:left="426" w:hanging="426"/>
        <w:jc w:val="both"/>
        <w:rPr>
          <w:szCs w:val="22"/>
          <w:lang w:eastAsia="en-US"/>
        </w:rPr>
      </w:pPr>
      <w:r>
        <w:rPr>
          <w:szCs w:val="22"/>
          <w:lang w:eastAsia="en-US"/>
        </w:rPr>
        <w:t>Závery z administratívneho overenia RO zaznamenáva v kontrolnom zozname, ktorým RO zdokumentuje overenie splnenia podmienok poskytnutia príspevku a ktorého vzor</w:t>
      </w:r>
      <w:r>
        <w:rPr>
          <w:rStyle w:val="Odkaznapoznmkupodiarou"/>
          <w:szCs w:val="22"/>
          <w:lang w:eastAsia="en-US"/>
        </w:rPr>
        <w:footnoteReference w:id="45"/>
      </w:r>
      <w:r>
        <w:rPr>
          <w:szCs w:val="22"/>
          <w:lang w:eastAsia="en-US"/>
        </w:rPr>
        <w:t xml:space="preserve"> vydáva CKO.</w:t>
      </w:r>
    </w:p>
    <w:p w14:paraId="0C313AED" w14:textId="540FF88F" w:rsidR="00B650E5" w:rsidRPr="00F771BF" w:rsidRDefault="00B650E5" w:rsidP="008A6040">
      <w:pPr>
        <w:numPr>
          <w:ilvl w:val="0"/>
          <w:numId w:val="89"/>
        </w:numPr>
        <w:spacing w:before="120" w:after="120"/>
        <w:ind w:left="426" w:hanging="426"/>
        <w:jc w:val="both"/>
        <w:rPr>
          <w:lang w:eastAsia="en-US"/>
        </w:rPr>
      </w:pPr>
      <w:bookmarkStart w:id="208" w:name="kapitola_3211_ods_7"/>
      <w:r w:rsidRPr="00F771BF">
        <w:rPr>
          <w:lang w:eastAsia="en-US"/>
        </w:rPr>
        <w:t xml:space="preserve">RO posudzuje v rámci administratívneho overenia všetky podmienky poskytnutia príspevku alebo ich časť, ktoré sú určené vo výzve s výnimkou tých, ktoré sú úplne alebo </w:t>
      </w:r>
      <w:r w:rsidR="006D20EC">
        <w:rPr>
          <w:lang w:eastAsia="en-US"/>
        </w:rPr>
        <w:t>s</w:t>
      </w:r>
      <w:r w:rsidRPr="00F771BF">
        <w:rPr>
          <w:lang w:eastAsia="en-US"/>
        </w:rPr>
        <w:t>časti overované v rámci odborného hodnotenia ŽoNFP.</w:t>
      </w:r>
    </w:p>
    <w:p w14:paraId="57AE5064" w14:textId="03BF6B7B" w:rsidR="00B650E5" w:rsidRDefault="00B650E5">
      <w:pPr>
        <w:numPr>
          <w:ilvl w:val="0"/>
          <w:numId w:val="89"/>
        </w:numPr>
        <w:spacing w:before="120" w:after="120"/>
        <w:ind w:left="426" w:hanging="426"/>
        <w:jc w:val="both"/>
        <w:rPr>
          <w:szCs w:val="22"/>
          <w:lang w:eastAsia="en-US"/>
        </w:rPr>
      </w:pPr>
      <w:bookmarkStart w:id="209" w:name="kapitola_3211_ods_8"/>
      <w:bookmarkEnd w:id="208"/>
      <w:r>
        <w:rPr>
          <w:szCs w:val="22"/>
          <w:lang w:eastAsia="en-US"/>
        </w:rPr>
        <w:t>V prípade, ak na základe preskúmania ŽoNFP a jej príloh vzniknú pochybnosti o  pravdivosti alebo úplnosti ŽoNFP alebo jej príloh, RO vyzve žiadateľa na doplnenie neúplných údajov, vysvetlenie nejasností alebo vysvetlenie nepravdivých údajov zaslaním výzvy na doplnenie ŽoNFP (vzor</w:t>
      </w:r>
      <w:r>
        <w:rPr>
          <w:rStyle w:val="Odkaznapoznmkupodiarou"/>
          <w:szCs w:val="22"/>
          <w:lang w:eastAsia="en-US"/>
        </w:rPr>
        <w:footnoteReference w:id="46"/>
      </w:r>
      <w:r>
        <w:rPr>
          <w:szCs w:val="22"/>
          <w:lang w:eastAsia="en-US"/>
        </w:rPr>
        <w:t xml:space="preserve"> vydáva CKO). Lehota na doplnenie údajov na základe výzvy na doplnenie ŽoNFP nemôže 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w:t>
      </w:r>
      <w:r w:rsidR="00871B36">
        <w:rPr>
          <w:szCs w:val="22"/>
          <w:lang w:eastAsia="en-US"/>
        </w:rPr>
        <w:t xml:space="preserve">alebo vysvetlenie </w:t>
      </w:r>
      <w:r>
        <w:rPr>
          <w:szCs w:val="22"/>
          <w:lang w:eastAsia="en-US"/>
        </w:rPr>
        <w:t xml:space="preserve">údajov podľa tohto odseku, bezodkladne vykoná nápravu a zašle žiadateľovi opätovnú výzvu na doplnenie ŽoNFP, ktorou zabezpečí rovnaké aplikovanie možnosti nápravy vo vzťahu ku všetkým posudzovaným ŽoNFP. O dôvodoch a spôsobe opätovného dožiadania RO v rámci spisu ŽoNFP uchová dostatočnú dokumentáciu umožňujúcu overiť odôvodnenosť postupu. Lehota na predloženie </w:t>
      </w:r>
      <w:r>
        <w:rPr>
          <w:szCs w:val="22"/>
          <w:lang w:eastAsia="en-US"/>
        </w:rPr>
        <w:lastRenderedPageBreak/>
        <w:t xml:space="preserve">požadovaných dokumentov musí byť totožná s lehotou, ktorá bola poskytnutá ostatným žiadateľom v rámci konania, pričom nesmie byť kratšia ako 5 pracovných dní. </w:t>
      </w:r>
    </w:p>
    <w:bookmarkEnd w:id="209"/>
    <w:p w14:paraId="554EF24E" w14:textId="10D0EDF8" w:rsidR="00B650E5" w:rsidRDefault="00B650E5">
      <w:pPr>
        <w:numPr>
          <w:ilvl w:val="0"/>
          <w:numId w:val="89"/>
        </w:numPr>
        <w:spacing w:before="120" w:after="120"/>
        <w:ind w:left="426" w:hanging="426"/>
        <w:jc w:val="both"/>
        <w:rPr>
          <w:szCs w:val="22"/>
          <w:lang w:eastAsia="en-US"/>
        </w:rPr>
      </w:pPr>
      <w:r>
        <w:rPr>
          <w:szCs w:val="22"/>
          <w:lang w:eastAsia="en-US"/>
        </w:rPr>
        <w:t>Po doplnení údajov zo strany žiadateľa RO overí, či žiadateľ predložil všetky požadované informácie a dokumenty a či ich predložil včas a opätovne overí splnenie podmienok poskytnutia príspevku. Opätovný výkon administratívneho overenia splnenia zaznamená RO v kontrolnom zozname, ktorého vzor</w:t>
      </w:r>
      <w:r>
        <w:rPr>
          <w:rStyle w:val="Odkaznapoznmkupodiarou"/>
          <w:szCs w:val="22"/>
          <w:lang w:eastAsia="en-US"/>
        </w:rPr>
        <w:footnoteReference w:id="47"/>
      </w:r>
      <w:r>
        <w:rPr>
          <w:szCs w:val="22"/>
          <w:lang w:eastAsia="en-US"/>
        </w:rPr>
        <w:t xml:space="preserve"> vydáva CKO. V prípade splnenia všetkých podmienok poskytnutia príspevku, ktorých overenie je súčasťou administratívneho overenia, je ŽoNFP postúpená na</w:t>
      </w:r>
      <w:r w:rsidR="0053742D">
        <w:rPr>
          <w:szCs w:val="22"/>
          <w:lang w:eastAsia="en-US"/>
        </w:rPr>
        <w:t> </w:t>
      </w:r>
      <w:r>
        <w:rPr>
          <w:szCs w:val="22"/>
          <w:lang w:eastAsia="en-US"/>
        </w:rPr>
        <w:t xml:space="preserve">odborné hodnotenie. </w:t>
      </w:r>
    </w:p>
    <w:p w14:paraId="50B27C57" w14:textId="77777777" w:rsidR="00B650E5" w:rsidRDefault="00B650E5">
      <w:pPr>
        <w:numPr>
          <w:ilvl w:val="0"/>
          <w:numId w:val="89"/>
        </w:numPr>
        <w:spacing w:before="120" w:after="120"/>
        <w:ind w:left="426" w:hanging="426"/>
        <w:jc w:val="both"/>
        <w:rPr>
          <w:szCs w:val="22"/>
          <w:lang w:eastAsia="en-US"/>
        </w:rPr>
      </w:pPr>
      <w:r>
        <w:rPr>
          <w:szCs w:val="22"/>
          <w:lang w:eastAsia="en-US"/>
        </w:rPr>
        <w:t>V prípade nesplnenia niektorej z podmienok poskytnutia príspevku</w:t>
      </w:r>
      <w:r w:rsidR="006F3B93">
        <w:rPr>
          <w:szCs w:val="22"/>
          <w:lang w:eastAsia="en-US"/>
        </w:rPr>
        <w:t>,</w:t>
      </w:r>
      <w:r>
        <w:rPr>
          <w:szCs w:val="22"/>
          <w:lang w:eastAsia="en-US"/>
        </w:rPr>
        <w:t xml:space="preserve"> a to ani po predložení doplnených údajov zo strany žiadateľa (ak bola žiadateľovi zaslaná výzva na doplnenie ŽoNFP podľa </w:t>
      </w:r>
      <w:hyperlink w:anchor="kapitola_3211_ods_8" w:tooltip="ods. 8 tejto kapitoly" w:history="1">
        <w:r>
          <w:rPr>
            <w:rStyle w:val="Hypertextovprepojenie"/>
          </w:rPr>
          <w:t>ods. 8 tejto kapitoly</w:t>
        </w:r>
      </w:hyperlink>
      <w:r>
        <w:rPr>
          <w:szCs w:val="22"/>
          <w:lang w:eastAsia="en-US"/>
        </w:rPr>
        <w:t xml:space="preserve">), RO rozhodne o neschválení ŽoNFP, pričom v rozhodnutí identifikuje, ktorá z podmienok nebola splnená.  </w:t>
      </w:r>
    </w:p>
    <w:p w14:paraId="6A5905EC" w14:textId="3A45FF56" w:rsidR="00B650E5" w:rsidRDefault="00B650E5">
      <w:pPr>
        <w:numPr>
          <w:ilvl w:val="0"/>
          <w:numId w:val="89"/>
        </w:numPr>
        <w:spacing w:before="120" w:after="120"/>
        <w:ind w:left="426" w:hanging="426"/>
        <w:jc w:val="both"/>
        <w:rPr>
          <w:szCs w:val="22"/>
          <w:lang w:eastAsia="en-US"/>
        </w:rPr>
      </w:pPr>
      <w:r>
        <w:rPr>
          <w:szCs w:val="22"/>
          <w:lang w:eastAsia="en-US"/>
        </w:rPr>
        <w:t>RO zastaví konanie v prípade nedoplnenia žiadnych náležitostí, v prípade doručenia požadovaných náležitostí po stanovenom termíne alebo v prípade, ak aj po doplnení chýbajúcich náležitostí naďalej pretrvávajú pochybnosti o pravdivosti alebo úplnosti žiadosti, na základe čoho nie je možné overiť splnenie niektorej z podmienok poskytnutia príspevku a rozhodnúť o</w:t>
      </w:r>
      <w:r w:rsidR="0053742D">
        <w:rPr>
          <w:szCs w:val="22"/>
          <w:lang w:eastAsia="en-US"/>
        </w:rPr>
        <w:t> </w:t>
      </w:r>
      <w:r>
        <w:rPr>
          <w:szCs w:val="22"/>
          <w:lang w:eastAsia="en-US"/>
        </w:rPr>
        <w:t>schválení ŽoNFP.</w:t>
      </w:r>
    </w:p>
    <w:p w14:paraId="74451349" w14:textId="77777777" w:rsidR="00B650E5" w:rsidRDefault="0053588C">
      <w:pPr>
        <w:spacing w:before="120" w:after="120"/>
        <w:rPr>
          <w:bCs/>
          <w:iCs/>
          <w:sz w:val="18"/>
          <w:szCs w:val="18"/>
          <w:lang w:eastAsia="en-US"/>
        </w:rPr>
      </w:pPr>
      <w:r>
        <w:rPr>
          <w:noProof/>
        </w:rPr>
        <mc:AlternateContent>
          <mc:Choice Requires="wps">
            <w:drawing>
              <wp:anchor distT="0" distB="0" distL="114300" distR="114300" simplePos="0" relativeHeight="251644928" behindDoc="0" locked="0" layoutInCell="1" allowOverlap="1" wp14:anchorId="7D84D210" wp14:editId="6B7BAAEB">
                <wp:simplePos x="0" y="0"/>
                <wp:positionH relativeFrom="column">
                  <wp:posOffset>511175</wp:posOffset>
                </wp:positionH>
                <wp:positionV relativeFrom="paragraph">
                  <wp:posOffset>1624330</wp:posOffset>
                </wp:positionV>
                <wp:extent cx="1257300" cy="895350"/>
                <wp:effectExtent l="44450" t="14605" r="50800" b="33020"/>
                <wp:wrapNone/>
                <wp:docPr id="73"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437B41BE" w14:textId="77777777" w:rsidR="00DF4E07" w:rsidRDefault="00DF4E07">
                            <w:pPr>
                              <w:jc w:val="center"/>
                            </w:pPr>
                            <w:r>
                              <w:rPr>
                                <w:sz w:val="18"/>
                                <w:szCs w:val="18"/>
                              </w:rPr>
                              <w:t>Zaregis-trované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84D210" id="Šípka nahor 1062" o:spid="_x0000_s1038" type="#_x0000_t68" style="position:absolute;margin-left:40.25pt;margin-top:127.9pt;width:99pt;height:70.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" fillcolor="#92cddc" strokecolor="#92cddc" strokeweight="1pt">
                <v:fill color2="#daeef3" angle="135" focus="50%" type="gradient"/>
                <v:shadow on="t" color="#205867" opacity=".5" offset="1pt"/>
                <v:textbox>
                  <w:txbxContent>
                    <w:p w14:paraId="437B41BE" w14:textId="77777777" w:rsidR="00DF4E07" w:rsidRDefault="00DF4E07">
                      <w:pPr>
                        <w:jc w:val="center"/>
                      </w:pPr>
                      <w:r>
                        <w:rPr>
                          <w:sz w:val="18"/>
                          <w:szCs w:val="18"/>
                        </w:rPr>
                        <w:t>Zaregis-trované ŽoNFP</w:t>
                      </w:r>
                    </w:p>
                  </w:txbxContent>
                </v:textbox>
              </v:shape>
            </w:pict>
          </mc:Fallback>
        </mc:AlternateContent>
      </w:r>
      <w:r>
        <w:rPr>
          <w:noProof/>
          <w:color w:val="4F81BD"/>
          <w:szCs w:val="22"/>
        </w:rPr>
        <w:drawing>
          <wp:inline distT="0" distB="0" distL="0" distR="0" wp14:anchorId="0258E400" wp14:editId="272F7366">
            <wp:extent cx="5417185" cy="3042920"/>
            <wp:effectExtent l="0" t="57150" r="0" b="119380"/>
            <wp:docPr id="4" name="Diagram 106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7" r:lo="rId88" r:qs="rId89" r:cs="rId90"/>
              </a:graphicData>
            </a:graphic>
          </wp:inline>
        </w:drawing>
      </w:r>
    </w:p>
    <w:p w14:paraId="1901CE95" w14:textId="77777777" w:rsidR="00B650E5" w:rsidRDefault="00B650E5">
      <w:pPr>
        <w:spacing w:before="120" w:after="120"/>
        <w:jc w:val="center"/>
        <w:rPr>
          <w:bCs/>
          <w:iCs/>
          <w:sz w:val="18"/>
          <w:szCs w:val="18"/>
          <w:lang w:eastAsia="en-US"/>
        </w:rPr>
      </w:pPr>
      <w:r>
        <w:rPr>
          <w:bCs/>
          <w:iCs/>
          <w:sz w:val="18"/>
          <w:szCs w:val="18"/>
          <w:lang w:eastAsia="en-US"/>
        </w:rPr>
        <w:t>Model administratívneho overenia</w:t>
      </w:r>
    </w:p>
    <w:p w14:paraId="755EF5BB" w14:textId="2C69C824" w:rsidR="00B650E5" w:rsidRDefault="00B650E5" w:rsidP="00416B96">
      <w:pPr>
        <w:pStyle w:val="SRK4"/>
        <w:numPr>
          <w:ilvl w:val="3"/>
          <w:numId w:val="206"/>
        </w:numPr>
        <w:ind w:left="709" w:hanging="709"/>
      </w:pPr>
      <w:bookmarkStart w:id="210" w:name="_Toc453233996"/>
      <w:bookmarkStart w:id="211" w:name="_Toc495649355"/>
      <w:bookmarkStart w:id="212" w:name="kapitola_3212"/>
      <w:r>
        <w:t>Odborné hodnotenie a výber žiadostí o poskytnutie nenávratného finančného príspevk</w:t>
      </w:r>
      <w:bookmarkEnd w:id="210"/>
      <w:r>
        <w:t>u</w:t>
      </w:r>
      <w:bookmarkEnd w:id="211"/>
    </w:p>
    <w:bookmarkEnd w:id="212"/>
    <w:p w14:paraId="5705EB56" w14:textId="46832169" w:rsidR="00B650E5" w:rsidRPr="007A00B7" w:rsidRDefault="00B650E5" w:rsidP="00DE5D89">
      <w:pPr>
        <w:numPr>
          <w:ilvl w:val="0"/>
          <w:numId w:val="90"/>
        </w:numPr>
        <w:spacing w:before="120" w:after="120"/>
        <w:ind w:left="426" w:hanging="426"/>
        <w:jc w:val="both"/>
        <w:rPr>
          <w:szCs w:val="22"/>
          <w:lang w:eastAsia="en-US"/>
        </w:rPr>
      </w:pPr>
      <w:r w:rsidRPr="009078F6">
        <w:rPr>
          <w:szCs w:val="22"/>
          <w:lang w:eastAsia="en-US"/>
        </w:rPr>
        <w:t xml:space="preserve">RO v rámci odborného hodnotenia ŽoNFP zabezpečí posúdenie ŽoNFP minimálne dvoma odbornými hodnotiteľmi, ktorí vyhodnotia v totožnom rozsahu ŽoNFP na základe hodnotiacich kritérií zverejnených vo výzve. </w:t>
      </w:r>
    </w:p>
    <w:p w14:paraId="19222B5F" w14:textId="00FB7D15" w:rsidR="00B650E5" w:rsidRDefault="00B650E5">
      <w:pPr>
        <w:numPr>
          <w:ilvl w:val="0"/>
          <w:numId w:val="90"/>
        </w:numPr>
        <w:spacing w:before="120" w:after="120"/>
        <w:ind w:left="426" w:hanging="426"/>
        <w:jc w:val="both"/>
        <w:rPr>
          <w:szCs w:val="22"/>
          <w:lang w:eastAsia="en-US"/>
        </w:rPr>
      </w:pPr>
      <w:r>
        <w:rPr>
          <w:szCs w:val="22"/>
          <w:lang w:eastAsia="en-US"/>
        </w:rPr>
        <w:t xml:space="preserve">Pred výkonom odborného hodnotenia RO zabezpečí, aby boli odborní hodnotitelia oboznámení s podmienkami a o spôsobe výkonu odborného hodnotenia. Počas odborného hodnotenia dodržiavanie pravidiel pre výkon odborného hodnotenia upravených v príručke pre odborných </w:t>
      </w:r>
      <w:r>
        <w:rPr>
          <w:szCs w:val="22"/>
          <w:lang w:eastAsia="en-US"/>
        </w:rPr>
        <w:lastRenderedPageBreak/>
        <w:t>hodnotiteľov zabezpečuje zodpovedný zamestnanec RO. Zamestnanec RO svojou účasťou nesmie zasahovať do obsahového vyhodnotenia jednotlivých kritérií odborného hodnotenia. Za</w:t>
      </w:r>
      <w:r w:rsidR="0053742D">
        <w:rPr>
          <w:szCs w:val="22"/>
          <w:lang w:eastAsia="en-US"/>
        </w:rPr>
        <w:t> </w:t>
      </w:r>
      <w:r>
        <w:rPr>
          <w:szCs w:val="22"/>
          <w:lang w:eastAsia="en-US"/>
        </w:rPr>
        <w:t>takýto postup sa nepovažuje to, ak zamestnanec RO informuje odborných hodnotiteľov o</w:t>
      </w:r>
      <w:r w:rsidR="0053742D">
        <w:rPr>
          <w:szCs w:val="22"/>
          <w:lang w:eastAsia="en-US"/>
        </w:rPr>
        <w:t> </w:t>
      </w:r>
      <w:r>
        <w:rPr>
          <w:szCs w:val="22"/>
          <w:lang w:eastAsia="en-US"/>
        </w:rPr>
        <w:t>prílohách alebo častiach ŽoNFP, ktoré môžu obsahovať informácie relevantné pre výkon odborného hodnotenia.</w:t>
      </w:r>
    </w:p>
    <w:p w14:paraId="4EE688EB" w14:textId="7802D74F" w:rsidR="00B650E5" w:rsidRDefault="00B650E5">
      <w:pPr>
        <w:numPr>
          <w:ilvl w:val="0"/>
          <w:numId w:val="90"/>
        </w:numPr>
        <w:spacing w:before="120" w:after="120"/>
        <w:ind w:left="426" w:hanging="426"/>
        <w:jc w:val="both"/>
        <w:rPr>
          <w:szCs w:val="22"/>
          <w:lang w:eastAsia="en-US"/>
        </w:rPr>
      </w:pPr>
      <w:bookmarkStart w:id="213" w:name="kapitola_4124"/>
      <w:bookmarkStart w:id="214" w:name="kapitola_3212_ods_3"/>
      <w:bookmarkEnd w:id="213"/>
      <w:bookmarkEnd w:id="214"/>
      <w:r>
        <w:rPr>
          <w:szCs w:val="22"/>
          <w:lang w:eastAsia="en-US"/>
        </w:rPr>
        <w:t xml:space="preserve">RO oznamuje začatie výkonu odborného hodnotenia partnerom, ktorí sa zúčastnia procesu odborného hodnotenia ako pozorovatelia. RO zašle informáciu o mieste a čase konania odborného hodnotenia na adresu </w:t>
      </w:r>
      <w:hyperlink r:id="rId92" w:history="1">
        <w:r>
          <w:rPr>
            <w:rStyle w:val="Hypertextovprepojenie"/>
            <w:szCs w:val="22"/>
            <w:lang w:eastAsia="en-US"/>
          </w:rPr>
          <w:t>splnomocnenec_ros@minv.sk</w:t>
        </w:r>
      </w:hyperlink>
      <w:r>
        <w:rPr>
          <w:szCs w:val="22"/>
          <w:lang w:eastAsia="en-US"/>
        </w:rPr>
        <w:t xml:space="preserve"> najneskôr 5 pracovných dní pred</w:t>
      </w:r>
      <w:r w:rsidR="0053742D">
        <w:rPr>
          <w:szCs w:val="22"/>
          <w:lang w:eastAsia="en-US"/>
        </w:rPr>
        <w:t> </w:t>
      </w:r>
      <w:r>
        <w:rPr>
          <w:szCs w:val="22"/>
          <w:lang w:eastAsia="en-US"/>
        </w:rPr>
        <w:t>plánovaným termínom odborného hodnotenia. Mená a priezviská zástupcov partnerov a označenie zastupovanej inštitúcie sú zaslané na adresu odosielateľa e-mailu RO najneskôr jeden pracovný deň predchádzajúci výkonu odborného hodnotenia. V prípade, ak RO neobdrží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 nestrannosti, zachovaní dôvernosti informácií a vylúčení konfliktu záujmov. RO poučí partnerov pred ich účasťou o pravidlách vzťahujúcich sa na</w:t>
      </w:r>
      <w:r w:rsidR="0053742D">
        <w:rPr>
          <w:szCs w:val="22"/>
          <w:lang w:eastAsia="en-US"/>
        </w:rPr>
        <w:t> </w:t>
      </w:r>
      <w:r>
        <w:rPr>
          <w:szCs w:val="22"/>
          <w:lang w:eastAsia="en-US"/>
        </w:rPr>
        <w:t>postavenie pozorovateľa, najmä ho poučí o povinnosti nerušiť výkon odborného hodnotenia a zákazu ovplyvňovať hodnotiteľov pri 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w:t>
      </w:r>
      <w:r w:rsidR="0053742D">
        <w:rPr>
          <w:szCs w:val="22"/>
          <w:lang w:eastAsia="en-US"/>
        </w:rPr>
        <w:t> </w:t>
      </w:r>
      <w:r>
        <w:rPr>
          <w:szCs w:val="22"/>
          <w:lang w:eastAsia="en-US"/>
        </w:rPr>
        <w:t xml:space="preserve">oprávnenie RO vylúčiť ho z účasti na odbornom hodnotení. RO túto informáciu zasiela elektronicky na adresu </w:t>
      </w:r>
      <w:hyperlink r:id="rId93" w:history="1">
        <w:r>
          <w:rPr>
            <w:rStyle w:val="Hypertextovprepojenie"/>
            <w:szCs w:val="22"/>
            <w:lang w:eastAsia="en-US"/>
          </w:rPr>
          <w:t>splnomocnenec_ros@minv.sk</w:t>
        </w:r>
      </w:hyperlink>
      <w:r>
        <w:rPr>
          <w:szCs w:val="22"/>
          <w:lang w:eastAsia="en-US"/>
        </w:rPr>
        <w:t xml:space="preserve">,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hodnotia. Vylúčenie partnera z dôvodu nerešpektovania pravidiel účasti na výkone odborného hodnotenia nemá vplyv na pokračovanie samotného odborného hodnotenia. </w:t>
      </w:r>
    </w:p>
    <w:p w14:paraId="7D1F7C0E" w14:textId="200AE3D1" w:rsidR="00B650E5" w:rsidRDefault="00B650E5">
      <w:pPr>
        <w:numPr>
          <w:ilvl w:val="0"/>
          <w:numId w:val="90"/>
        </w:numPr>
        <w:spacing w:before="120" w:after="120"/>
        <w:ind w:left="426" w:hanging="426"/>
        <w:jc w:val="both"/>
        <w:rPr>
          <w:szCs w:val="22"/>
          <w:lang w:eastAsia="en-US"/>
        </w:rPr>
      </w:pPr>
      <w:bookmarkStart w:id="215" w:name="kapitola_3212_ods_4"/>
      <w:r>
        <w:rPr>
          <w:szCs w:val="22"/>
          <w:lang w:eastAsia="en-US"/>
        </w:rPr>
        <w:t>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oznámi okamžite túto skutočnosť zástupcovi RO, ktorý v závislosti od oznámenia vykoná potrebné nápravné opatrenia. Partner je povinný svoje zistenia predložiť RO v písomnej podobe, pričom môže požadovať potvrdeni</w:t>
      </w:r>
      <w:r w:rsidR="0053742D">
        <w:rPr>
          <w:szCs w:val="22"/>
          <w:lang w:eastAsia="en-US"/>
        </w:rPr>
        <w:t>e</w:t>
      </w:r>
      <w:r>
        <w:rPr>
          <w:szCs w:val="22"/>
          <w:lang w:eastAsia="en-US"/>
        </w:rPr>
        <w:t xml:space="preserve"> prevzatia danej informácie od zástupcu RO. RO je povinný informovať zástupcov partnerov o spôsobe vyhodnotenia podnetu a prijatých nápravných opatreniach.</w:t>
      </w:r>
    </w:p>
    <w:bookmarkEnd w:id="215"/>
    <w:p w14:paraId="3BE71960" w14:textId="77777777" w:rsidR="00B650E5" w:rsidRDefault="00B650E5">
      <w:pPr>
        <w:numPr>
          <w:ilvl w:val="0"/>
          <w:numId w:val="90"/>
        </w:numPr>
        <w:spacing w:before="120" w:after="120"/>
        <w:ind w:left="426" w:hanging="426"/>
        <w:jc w:val="both"/>
        <w:rPr>
          <w:szCs w:val="22"/>
          <w:lang w:eastAsia="en-US"/>
        </w:rPr>
      </w:pPr>
      <w:r>
        <w:rPr>
          <w:szCs w:val="22"/>
          <w:lang w:eastAsia="en-US"/>
        </w:rPr>
        <w:t>Odborní hodnotitelia vykonávajú odborné hodnotenie v priestoroch určených RO, pričom nie sú oprávnení vynášať poskytnuté dokumenty mimo priestorov RO.</w:t>
      </w:r>
    </w:p>
    <w:p w14:paraId="2BC54E1E" w14:textId="0B9A005C" w:rsidR="00B650E5" w:rsidRPr="007A00B7" w:rsidRDefault="00B650E5">
      <w:pPr>
        <w:numPr>
          <w:ilvl w:val="0"/>
          <w:numId w:val="90"/>
        </w:numPr>
        <w:spacing w:before="120" w:after="120"/>
        <w:ind w:left="426" w:hanging="426"/>
        <w:jc w:val="both"/>
        <w:rPr>
          <w:szCs w:val="22"/>
          <w:lang w:eastAsia="en-US"/>
        </w:rPr>
      </w:pPr>
      <w:r w:rsidRPr="009078F6">
        <w:rPr>
          <w:szCs w:val="22"/>
          <w:lang w:eastAsia="en-US"/>
        </w:rPr>
        <w:t>Ak súlad projektu s HP nebol na základe zadefinovanej podmienky poskytnutia príspevku overovaný v rámci administratívneho overovania a za účelom posúdenia súladu s HP boli po</w:t>
      </w:r>
      <w:r w:rsidR="0053742D">
        <w:rPr>
          <w:szCs w:val="22"/>
          <w:lang w:eastAsia="en-US"/>
        </w:rPr>
        <w:t> </w:t>
      </w:r>
      <w:r w:rsidRPr="009078F6">
        <w:rPr>
          <w:szCs w:val="22"/>
          <w:lang w:eastAsia="en-US"/>
        </w:rPr>
        <w:t xml:space="preserve">dohode a v spolupráci s gestorom HP schválené osobitné hodnotiace kritériá pre posúdenie </w:t>
      </w:r>
      <w:r w:rsidRPr="009078F6">
        <w:rPr>
          <w:szCs w:val="22"/>
          <w:lang w:eastAsia="en-US"/>
        </w:rPr>
        <w:lastRenderedPageBreak/>
        <w:t xml:space="preserve">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kritérií odborného hodnotenia týkajúcich sa posúdenia súladu s HP. </w:t>
      </w:r>
      <w:r w:rsidRPr="007A00B7">
        <w:rPr>
          <w:szCs w:val="22"/>
          <w:lang w:eastAsia="en-US"/>
        </w:rPr>
        <w:t>Za účelom dodržania princípu 4 očí pri  vyhodnotení osobitného hodnotiaceho kritéria týkajúceho sa HP je po dohode s gestorom možné postupovať nasledovne:</w:t>
      </w:r>
    </w:p>
    <w:p w14:paraId="4B52B15C" w14:textId="77777777" w:rsidR="00B650E5" w:rsidRPr="00DE5D89" w:rsidRDefault="00B650E5" w:rsidP="00DE5D89">
      <w:pPr>
        <w:numPr>
          <w:ilvl w:val="1"/>
          <w:numId w:val="90"/>
        </w:numPr>
        <w:spacing w:before="120" w:after="120"/>
        <w:ind w:left="851" w:hanging="425"/>
        <w:jc w:val="both"/>
        <w:rPr>
          <w:szCs w:val="22"/>
          <w:lang w:eastAsia="en-US"/>
        </w:rPr>
      </w:pPr>
      <w:r w:rsidRPr="007A00B7">
        <w:rPr>
          <w:szCs w:val="22"/>
          <w:lang w:eastAsia="en-US"/>
        </w:rPr>
        <w:t>Osobitné hodnotiace kritérium týkajúce sa HP je posudzované dvoma zástupcami gestora HP, resp. dvoma osobami poverenými gestorom HP</w:t>
      </w:r>
      <w:r w:rsidR="00B751A3">
        <w:rPr>
          <w:szCs w:val="22"/>
          <w:lang w:eastAsia="en-US"/>
        </w:rPr>
        <w:t>,</w:t>
      </w:r>
      <w:r w:rsidRPr="007A00B7">
        <w:rPr>
          <w:szCs w:val="22"/>
          <w:lang w:eastAsia="en-US"/>
        </w:rPr>
        <w:t xml:space="preserve"> alebo</w:t>
      </w:r>
    </w:p>
    <w:p w14:paraId="3E6AF5CE" w14:textId="77777777" w:rsidR="00B650E5" w:rsidRPr="009078F6" w:rsidRDefault="00B650E5" w:rsidP="00DE5D89">
      <w:pPr>
        <w:numPr>
          <w:ilvl w:val="1"/>
          <w:numId w:val="90"/>
        </w:numPr>
        <w:spacing w:before="120" w:after="120"/>
        <w:ind w:left="851" w:hanging="425"/>
        <w:jc w:val="both"/>
        <w:rPr>
          <w:szCs w:val="22"/>
          <w:lang w:eastAsia="en-US"/>
        </w:rPr>
      </w:pPr>
      <w:r w:rsidRPr="00DE5D89">
        <w:rPr>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14:paraId="2864C271" w14:textId="414B140A" w:rsidR="00B650E5" w:rsidRDefault="00B650E5">
      <w:pPr>
        <w:numPr>
          <w:ilvl w:val="0"/>
          <w:numId w:val="90"/>
        </w:numPr>
        <w:spacing w:before="120" w:after="120"/>
        <w:ind w:left="426" w:hanging="426"/>
        <w:jc w:val="both"/>
        <w:rPr>
          <w:szCs w:val="22"/>
          <w:lang w:eastAsia="en-US"/>
        </w:rPr>
      </w:pPr>
      <w:r>
        <w:rPr>
          <w:szCs w:val="22"/>
          <w:lang w:eastAsia="en-US"/>
        </w:rPr>
        <w:t>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zistí, že na posúdenie splnenia odborného hodnotenia je potrebné poskytnúť zo strany žiadateľa 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w:t>
      </w:r>
      <w:r w:rsidR="00B751A3">
        <w:rPr>
          <w:szCs w:val="22"/>
          <w:lang w:eastAsia="en-US"/>
        </w:rPr>
        <w:t> </w:t>
      </w:r>
      <w:r>
        <w:rPr>
          <w:szCs w:val="22"/>
          <w:lang w:eastAsia="en-US"/>
        </w:rPr>
        <w:t>rámci administratívneho overovania, ak sa v rámci odborného hodnotenia zistí, že RO opomenul v tejto fáze dožiadať kompletné informácie/dokumenty. RO v takomto prípade postupuje pri vypracovaní výzvy na doplnenie požadovaných informácií/dokumentov rovnakým spôsobom ako pri výzve na doplnenie ŽoNFP v rámci administratívneho overenia. RO určí v</w:t>
      </w:r>
      <w:r w:rsidR="00B751A3">
        <w:rPr>
          <w:szCs w:val="22"/>
          <w:lang w:eastAsia="en-US"/>
        </w:rPr>
        <w:t> </w:t>
      </w:r>
      <w:r>
        <w:rPr>
          <w:szCs w:val="22"/>
          <w:lang w:eastAsia="en-US"/>
        </w:rPr>
        <w:t>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 základe čoho nie je možné overiť splnenie niektorej z podmienok poskytnutia príspevku a rozhodnúť o schválení ŽoNFP, bude viesť k zastaveniu konania o</w:t>
      </w:r>
      <w:r w:rsidR="00B751A3">
        <w:rPr>
          <w:szCs w:val="22"/>
          <w:lang w:eastAsia="en-US"/>
        </w:rPr>
        <w:t> </w:t>
      </w:r>
      <w:r>
        <w:rPr>
          <w:szCs w:val="22"/>
          <w:lang w:eastAsia="en-US"/>
        </w:rPr>
        <w:t xml:space="preserve">ŽoNFP. V prípade, ak sa na základe predložených dokumentov v tejto fáze preukáže, že ŽoNFP nespĺňa podmienky poskytnutia príspevku, RO rozhodne o neschválení ŽoNFP. </w:t>
      </w:r>
    </w:p>
    <w:p w14:paraId="3C844464" w14:textId="784C8C29" w:rsidR="00B650E5" w:rsidRDefault="00B650E5">
      <w:pPr>
        <w:numPr>
          <w:ilvl w:val="0"/>
          <w:numId w:val="90"/>
        </w:numPr>
        <w:spacing w:before="120" w:after="120"/>
        <w:ind w:left="426" w:hanging="426"/>
        <w:jc w:val="both"/>
        <w:rPr>
          <w:szCs w:val="22"/>
          <w:lang w:eastAsia="en-US"/>
        </w:rPr>
      </w:pPr>
      <w:r>
        <w:rPr>
          <w:szCs w:val="22"/>
          <w:lang w:eastAsia="en-US"/>
        </w:rPr>
        <w:t>Ak počas procesu odborného hodnotenia odborní hodnotitelia nedospejú k zhodnému záveru ohľadne vyhodnotenia niektorého z kritérií odborného hodnotenia (</w:t>
      </w:r>
      <w:r w:rsidR="00C93F30">
        <w:rPr>
          <w:szCs w:val="22"/>
          <w:lang w:eastAsia="en-US"/>
        </w:rPr>
        <w:t xml:space="preserve">t. j. </w:t>
      </w:r>
      <w:r>
        <w:rPr>
          <w:szCs w:val="22"/>
          <w:lang w:eastAsia="en-US"/>
        </w:rPr>
        <w:t xml:space="preserve">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pripoja podpisy  odborných hodnotiteľov. Identifikovaný rozpor RO uchováva ako súčasť spisu ŽoNFP. Na základe tohto výstupu RO pridelí ŽoNFP na odborné hodnotenie </w:t>
      </w:r>
      <w:r>
        <w:rPr>
          <w:szCs w:val="22"/>
        </w:rPr>
        <w:t xml:space="preserve">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 ktorých nedospeli k zhodnému záveru by nemalo vplyv na skutočnosť, že ŽoNFP nespĺňa kritériá odborného hodnotenia. </w:t>
      </w:r>
    </w:p>
    <w:p w14:paraId="394073EA"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w:t>
      </w:r>
      <w:r>
        <w:rPr>
          <w:szCs w:val="22"/>
          <w:lang w:eastAsia="en-US"/>
        </w:rPr>
        <w:lastRenderedPageBreak/>
        <w:t>na vypracovanie návrhu úpravy hodnotiacich kritérií, resp. návrhu úpravy príručky pre odborných hodnotiteľov.</w:t>
      </w:r>
      <w:r>
        <w:t xml:space="preserve"> Hodnotiace kritériá upravené na základe vykonanej analýzy a schválené monitorovacím výborom alebo upravená príručka pre odborných hodnotiteľov bude aplikovaná na ďalšie vyhlásené výzvy.</w:t>
      </w:r>
    </w:p>
    <w:p w14:paraId="78ABABB3" w14:textId="2E3E7DA5" w:rsidR="00B650E5" w:rsidRDefault="00B650E5" w:rsidP="00650BA9">
      <w:pPr>
        <w:numPr>
          <w:ilvl w:val="0"/>
          <w:numId w:val="90"/>
        </w:numPr>
        <w:spacing w:before="120" w:after="120"/>
        <w:ind w:left="426" w:hanging="426"/>
        <w:jc w:val="both"/>
        <w:rPr>
          <w:szCs w:val="22"/>
          <w:lang w:eastAsia="en-US"/>
        </w:rPr>
      </w:pPr>
      <w:r w:rsidRPr="00A13E26">
        <w:rPr>
          <w:szCs w:val="22"/>
          <w:lang w:eastAsia="en-US"/>
        </w:rPr>
        <w:t>Konečným výstupom z odborného hodnotenia ŽoNFP je hodnotiaci hárok (vzor</w:t>
      </w:r>
      <w:r w:rsidRPr="00A13E26">
        <w:rPr>
          <w:vertAlign w:val="superscript"/>
        </w:rPr>
        <w:footnoteReference w:id="48"/>
      </w:r>
      <w:r w:rsidRPr="00A13E26">
        <w:rPr>
          <w:szCs w:val="22"/>
          <w:lang w:eastAsia="en-US"/>
        </w:rPr>
        <w:t xml:space="preserve"> vydáva CKO). Hodnotiaci hárok ako výstup z odborného hodnotenia je jeden spoločný hodnotiaci hárok obsahujúci závery, ktoré predstavujú spoločné posúdenie odborných hodnotiteľov. Procesný postup, ktorý predchádza vydaniu spoločného hodnotiaceho hárku (</w:t>
      </w:r>
      <w:r w:rsidR="00C93F30" w:rsidRPr="00A13E26">
        <w:rPr>
          <w:szCs w:val="22"/>
          <w:lang w:eastAsia="en-US"/>
        </w:rPr>
        <w:t xml:space="preserve">t. j. </w:t>
      </w:r>
      <w:r w:rsidRPr="00A13E26">
        <w:rPr>
          <w:szCs w:val="22"/>
          <w:lang w:eastAsia="en-US"/>
        </w:rPr>
        <w:t xml:space="preserve">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Ku každému hodnotiacemu kritériu je zároveň uvedený slovný komentár odborných hodnotiteľov, ktorý musí obsahovať jasné a čo najpresnejšie zdôvodnenie prideleného počtu bodov, </w:t>
      </w:r>
      <w:r w:rsidR="00C93F30" w:rsidRPr="00A13E26">
        <w:rPr>
          <w:szCs w:val="22"/>
          <w:lang w:eastAsia="en-US"/>
        </w:rPr>
        <w:t xml:space="preserve">t. j. </w:t>
      </w:r>
      <w:r w:rsidRPr="00A13E26">
        <w:rPr>
          <w:szCs w:val="22"/>
          <w:lang w:eastAsia="en-US"/>
        </w:rPr>
        <w:t>na základe čoho bol pridelený maximálny počet bodov, resp. na základe čoho došlo k zníženiu počtu bodov pri bodovaní. V</w:t>
      </w:r>
      <w:r w:rsidR="00CE5D37" w:rsidRPr="00A13E26">
        <w:rPr>
          <w:szCs w:val="22"/>
          <w:lang w:eastAsia="en-US"/>
        </w:rPr>
        <w:t> </w:t>
      </w:r>
      <w:r w:rsidRPr="00A13E26">
        <w:rPr>
          <w:szCs w:val="22"/>
          <w:lang w:eastAsia="en-US"/>
        </w:rPr>
        <w:t xml:space="preserve">prípade vylučovacích kritérií musí byť uvedené podrobné zdôvodnenie vyhodnotenia príslušného vylučovacieho kritéria. Taktiež v oboch prípadoch sa uvádza odkaz na konkrétnu časť ŽoNFP, prílohu/prílohy ŽoNFP, resp. inú dokumentáciu, na základe ktorej odborný hodnotiteľ vyhodnotil príslušné hodnotiace, bodové, resp. vylučovacie kritérium. </w:t>
      </w:r>
      <w:r w:rsidR="004A7447" w:rsidRPr="00A13E26">
        <w:rPr>
          <w:szCs w:val="22"/>
          <w:lang w:eastAsia="en-US"/>
        </w:rPr>
        <w:t xml:space="preserve">Vloženie </w:t>
      </w:r>
      <w:r w:rsidRPr="00A13E26">
        <w:rPr>
          <w:szCs w:val="22"/>
          <w:lang w:eastAsia="en-US"/>
        </w:rPr>
        <w:t>hodnotiaceho hárku</w:t>
      </w:r>
      <w:r w:rsidR="00B75B6A" w:rsidRPr="00A13E26">
        <w:rPr>
          <w:szCs w:val="22"/>
          <w:lang w:eastAsia="en-US"/>
        </w:rPr>
        <w:t xml:space="preserve">, resp. aj </w:t>
      </w:r>
      <w:r w:rsidR="00B75B6A" w:rsidRPr="00A13E26">
        <w:t>záverov z hodnotenia každej ŽoNFP, minimálne v rozsahu, ktorý uplatňuje EK v rámci programu Horizont 2020</w:t>
      </w:r>
      <w:r w:rsidRPr="00A13E26">
        <w:rPr>
          <w:szCs w:val="22"/>
          <w:lang w:eastAsia="en-US"/>
        </w:rPr>
        <w:t xml:space="preserve"> do ITMS 2014+ (vo formáte PDF, v súlade s Výnosom MF SR o informačných systémoch verejnej správy</w:t>
      </w:r>
      <w:r w:rsidR="00C6725F" w:rsidRPr="00A13E26">
        <w:rPr>
          <w:szCs w:val="22"/>
          <w:lang w:eastAsia="en-US"/>
        </w:rPr>
        <w:t>, bez identifikácie odborných hodnotiteľov</w:t>
      </w:r>
      <w:r w:rsidRPr="00A13E26">
        <w:rPr>
          <w:szCs w:val="22"/>
          <w:lang w:eastAsia="en-US"/>
        </w:rPr>
        <w:t>) zabezpečí RO</w:t>
      </w:r>
      <w:r w:rsidRPr="00A13E26">
        <w:rPr>
          <w:rStyle w:val="Odkaznapoznmkupodiarou"/>
          <w:szCs w:val="22"/>
          <w:lang w:eastAsia="en-US"/>
        </w:rPr>
        <w:footnoteReference w:id="49"/>
      </w:r>
      <w:r w:rsidRPr="00A13E26">
        <w:rPr>
          <w:szCs w:val="22"/>
          <w:lang w:eastAsia="en-US"/>
        </w:rPr>
        <w:t>, buď povereným zamestnancom RO alebo jedným z odborných hodnotiteľov, ktorý hodnotenie vykonal. RO je povinný archivovať záznamy práce a závery individuálnych odborných hodnotiteľov (</w:t>
      </w:r>
      <w:r w:rsidR="00C93F30" w:rsidRPr="00A13E26">
        <w:rPr>
          <w:szCs w:val="22"/>
          <w:lang w:eastAsia="en-US"/>
        </w:rPr>
        <w:t xml:space="preserve">t. j. </w:t>
      </w:r>
      <w:r w:rsidRPr="00A13E26">
        <w:rPr>
          <w:szCs w:val="22"/>
          <w:lang w:eastAsia="en-US"/>
        </w:rPr>
        <w:t xml:space="preserve"> </w:t>
      </w:r>
      <w:r w:rsidR="00502A29" w:rsidRPr="00A13E26">
        <w:rPr>
          <w:szCs w:val="22"/>
          <w:lang w:eastAsia="en-US"/>
        </w:rPr>
        <w:t xml:space="preserve">samostatné hodnotiace hárky </w:t>
      </w:r>
      <w:r w:rsidRPr="00A13E26">
        <w:rPr>
          <w:szCs w:val="22"/>
          <w:lang w:eastAsia="en-US"/>
        </w:rPr>
        <w:t>alebo ich čast</w:t>
      </w:r>
      <w:r w:rsidR="00502A29" w:rsidRPr="00A13E26">
        <w:rPr>
          <w:szCs w:val="22"/>
          <w:lang w:eastAsia="en-US"/>
        </w:rPr>
        <w:t>i</w:t>
      </w:r>
      <w:r w:rsidRPr="00A13E26">
        <w:rPr>
          <w:szCs w:val="22"/>
          <w:lang w:eastAsia="en-US"/>
        </w:rPr>
        <w:t xml:space="preserve"> ako formalizované proces</w:t>
      </w:r>
      <w:r w:rsidR="00502A29" w:rsidRPr="00A13E26">
        <w:rPr>
          <w:szCs w:val="22"/>
          <w:lang w:eastAsia="en-US"/>
        </w:rPr>
        <w:t>y</w:t>
      </w:r>
      <w:r w:rsidRPr="00A13E26">
        <w:rPr>
          <w:szCs w:val="22"/>
          <w:lang w:eastAsia="en-US"/>
        </w:rPr>
        <w:t xml:space="preserve"> pred vyplnením a odovzdaním spoločného hodnotiaceho hárku), ktoré predchádzajú vydaniu spoločného hodnotiaceho hárku. Ak ŽoNFP nesplnila podmienky odborného hodnotenia, RO rozhodne o neschválení ŽoNFP. V odôvodnení RO uvedie dôvody nesplnenia kritérií odborného hodnotenia na základe výstupov z hodnotiaceho hárku. RO je oprávnený vyzvať odborných hodnotiteľov na dopracovanie alebo bližší popis dôvodov nesplnenia kritérií odborného hodnotenia v prípade, ak odovzdaný hodnotiaci hárok neumožňuje</w:t>
      </w:r>
      <w:r>
        <w:rPr>
          <w:szCs w:val="22"/>
          <w:lang w:eastAsia="en-US"/>
        </w:rPr>
        <w:t xml:space="preserve"> RO vypracovať dostatočne jasné a presné odôvodnenie v rozhodnutí o neschválení ŽoNFP.</w:t>
      </w:r>
    </w:p>
    <w:p w14:paraId="6CE6EE1B" w14:textId="2E66F045" w:rsidR="00B650E5" w:rsidRDefault="00B650E5">
      <w:pPr>
        <w:numPr>
          <w:ilvl w:val="0"/>
          <w:numId w:val="90"/>
        </w:numPr>
        <w:spacing w:before="120" w:after="120"/>
        <w:ind w:left="426" w:hanging="426"/>
        <w:jc w:val="both"/>
        <w:rPr>
          <w:szCs w:val="22"/>
          <w:lang w:eastAsia="en-US"/>
        </w:rPr>
      </w:pPr>
      <w:r>
        <w:rPr>
          <w:szCs w:val="22"/>
          <w:lang w:eastAsia="en-US"/>
        </w:rPr>
        <w:t>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ITMS 2014+. Na základe takto vytvoreného poradia RO rozhodne o schválení ŽoNFP len do výšky finančných prostriedkov vyčlenených na</w:t>
      </w:r>
      <w:r w:rsidR="00A13E26">
        <w:rPr>
          <w:szCs w:val="22"/>
          <w:lang w:eastAsia="en-US"/>
        </w:rPr>
        <w:t> </w:t>
      </w:r>
      <w:r>
        <w:rPr>
          <w:szCs w:val="22"/>
          <w:lang w:eastAsia="en-US"/>
        </w:rPr>
        <w:t xml:space="preserve">výzvu, ak nedochádza k aplikácii výberových kritérií. </w:t>
      </w:r>
    </w:p>
    <w:p w14:paraId="72497A37" w14:textId="77777777" w:rsidR="00B650E5" w:rsidRDefault="00B650E5">
      <w:pPr>
        <w:numPr>
          <w:ilvl w:val="0"/>
          <w:numId w:val="90"/>
        </w:numPr>
        <w:spacing w:before="120" w:after="120"/>
        <w:ind w:left="425" w:hanging="425"/>
        <w:jc w:val="both"/>
        <w:rPr>
          <w:szCs w:val="22"/>
          <w:lang w:eastAsia="en-US"/>
        </w:rPr>
      </w:pPr>
      <w:r>
        <w:rPr>
          <w:szCs w:val="22"/>
          <w:lang w:eastAsia="en-US"/>
        </w:rPr>
        <w:t xml:space="preserve">RO spolu s kritériami odborného hodnotenia aplikuje aj rozlišovacie kritériá schválené pre prípady, ak sa na základe poradia vytvoreného zoradením ŽoNFP podľa počtu dosiahnutých bodov nachádza na hranici vytvorenej výškou alokácie viacero ŽoNFP s rovnakým počtom bodov. </w:t>
      </w:r>
    </w:p>
    <w:p w14:paraId="07E28C4A" w14:textId="77777777" w:rsidR="00B650E5" w:rsidRDefault="00B650E5">
      <w:pPr>
        <w:numPr>
          <w:ilvl w:val="0"/>
          <w:numId w:val="90"/>
        </w:numPr>
        <w:spacing w:before="120" w:after="120"/>
        <w:ind w:left="426" w:hanging="426"/>
        <w:jc w:val="both"/>
        <w:rPr>
          <w:szCs w:val="22"/>
          <w:lang w:eastAsia="en-US"/>
        </w:rPr>
      </w:pPr>
      <w:r>
        <w:rPr>
          <w:szCs w:val="22"/>
          <w:lang w:eastAsia="en-US"/>
        </w:rPr>
        <w:lastRenderedPageBreak/>
        <w:t>Ak RO v rámci implementácie OP aplikuje aj výberové kritériá, RO ich aplikáciou vytvorí poradie ŽoNFP, na základe ktorého rozhodne o schválení a neschválení ŽoNFP podľa výšky disponibilnej alokácie vo výzve. RO zaznamená proces aplikácie výberových kritérií v písomnej podobe.</w:t>
      </w:r>
    </w:p>
    <w:p w14:paraId="192CB38C" w14:textId="77777777" w:rsidR="00B650E5" w:rsidRDefault="0053588C">
      <w:pPr>
        <w:spacing w:before="120" w:after="120"/>
        <w:jc w:val="both"/>
        <w:rPr>
          <w:bCs/>
          <w:iCs/>
          <w:color w:val="4F81BD"/>
          <w:sz w:val="18"/>
          <w:szCs w:val="18"/>
          <w:lang w:eastAsia="en-US"/>
        </w:rPr>
      </w:pPr>
      <w:r>
        <w:rPr>
          <w:noProof/>
          <w:sz w:val="18"/>
          <w:szCs w:val="18"/>
        </w:rPr>
        <w:drawing>
          <wp:inline distT="0" distB="0" distL="0" distR="0" wp14:anchorId="626AC7A7" wp14:editId="357A39F8">
            <wp:extent cx="5486400" cy="3185160"/>
            <wp:effectExtent l="0" t="57150" r="0" b="0"/>
            <wp:docPr id="5" name="Diagram 106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4" r:lo="rId95" r:qs="rId96" r:cs="rId97"/>
              </a:graphicData>
            </a:graphic>
          </wp:inline>
        </w:drawing>
      </w:r>
    </w:p>
    <w:p w14:paraId="62F0D255" w14:textId="77777777" w:rsidR="00B650E5" w:rsidRDefault="00B650E5">
      <w:pPr>
        <w:spacing w:before="120" w:after="120"/>
        <w:jc w:val="center"/>
        <w:rPr>
          <w:bCs/>
          <w:iCs/>
          <w:sz w:val="18"/>
          <w:szCs w:val="18"/>
          <w:lang w:eastAsia="en-US"/>
        </w:rPr>
      </w:pPr>
      <w:r>
        <w:rPr>
          <w:bCs/>
          <w:iCs/>
          <w:sz w:val="18"/>
          <w:szCs w:val="18"/>
          <w:lang w:eastAsia="en-US"/>
        </w:rPr>
        <w:t>Model odborného hodnotenia ŽoNFP</w:t>
      </w:r>
    </w:p>
    <w:p w14:paraId="4BC1E3DD" w14:textId="3E1C4BED" w:rsidR="00B650E5" w:rsidRDefault="00B650E5">
      <w:pPr>
        <w:numPr>
          <w:ilvl w:val="0"/>
          <w:numId w:val="90"/>
        </w:numPr>
        <w:spacing w:before="120" w:after="120"/>
        <w:ind w:left="426" w:hanging="426"/>
        <w:jc w:val="both"/>
        <w:rPr>
          <w:szCs w:val="22"/>
          <w:lang w:eastAsia="en-US"/>
        </w:rPr>
      </w:pPr>
      <w:bookmarkStart w:id="216" w:name="kapitola_3212_ods_15"/>
      <w:bookmarkStart w:id="217" w:name="kapitola_3212_ods_14"/>
      <w:r>
        <w:rPr>
          <w:szCs w:val="22"/>
          <w:lang w:eastAsia="en-US"/>
        </w:rPr>
        <w:t>V prípade, ak RO využil možnosť nahradiť niektoré dokumenty preukazujúce splnenie podmienok poskytnutia príspevku čestným vyhlásením, RO vyzve pred vydaním rozhodnutia o ŽoNFP 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w:t>
      </w:r>
      <w:r w:rsidR="00A13E26">
        <w:rPr>
          <w:szCs w:val="22"/>
          <w:lang w:eastAsia="en-US"/>
        </w:rPr>
        <w:t> </w:t>
      </w:r>
      <w:r>
        <w:rPr>
          <w:szCs w:val="22"/>
          <w:lang w:eastAsia="en-US"/>
        </w:rPr>
        <w:t>všetkých žiadateľoch, ktorí sú dožadovaní na predloženie rovnakého typu dokumentu a nesmie byť kratšia ako 5 pracovných dní.</w:t>
      </w:r>
    </w:p>
    <w:p w14:paraId="684F7F15" w14:textId="77777777" w:rsidR="00B650E5" w:rsidRDefault="00B650E5">
      <w:pPr>
        <w:numPr>
          <w:ilvl w:val="0"/>
          <w:numId w:val="90"/>
        </w:numPr>
        <w:spacing w:before="120" w:after="120"/>
        <w:ind w:left="426" w:hanging="426"/>
        <w:jc w:val="both"/>
        <w:rPr>
          <w:szCs w:val="22"/>
          <w:lang w:eastAsia="en-US"/>
        </w:rPr>
      </w:pPr>
      <w:bookmarkStart w:id="218" w:name="kapitola_3212_ods_16"/>
      <w:bookmarkEnd w:id="216"/>
      <w:bookmarkEnd w:id="217"/>
      <w:r>
        <w:rPr>
          <w:szCs w:val="22"/>
          <w:lang w:eastAsia="en-US"/>
        </w:rPr>
        <w:t>Ak vo výzve, kde bola umožnená náhrada niektorých povinných príloh čestným vyhlásením, nie je dostatočná alokácia na podporu všetkých ŽoNFP, RO aplikuje výzvu na náhradu čestných vyhlásení:</w:t>
      </w:r>
    </w:p>
    <w:bookmarkEnd w:id="218"/>
    <w:p w14:paraId="4CCB34C0"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všetky ŽoNFP, ktoré splnili podmienky odborného hodnotenia, alebo</w:t>
      </w:r>
    </w:p>
    <w:p w14:paraId="2AB387B6" w14:textId="682D3883"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ich pomernú časť. RO určí pomernú časť na základe poradia vytvoreného dosiahnutým počtom bodov odborného hodnotenia alebo aplikáciou výberových kritérií</w:t>
      </w:r>
      <w:r w:rsidR="006F3B93">
        <w:rPr>
          <w:szCs w:val="22"/>
          <w:lang w:eastAsia="en-US"/>
        </w:rPr>
        <w:t>,</w:t>
      </w:r>
      <w:r>
        <w:rPr>
          <w:szCs w:val="22"/>
          <w:lang w:eastAsia="en-US"/>
        </w:rPr>
        <w:t xml:space="preserve"> a to na základe kvalifikovaného odhadu pri zohľadnení výšky alokácie určenej na výzvu a skúseností z</w:t>
      </w:r>
      <w:r w:rsidR="00A13E26">
        <w:rPr>
          <w:szCs w:val="22"/>
          <w:lang w:eastAsia="en-US"/>
        </w:rPr>
        <w:t> </w:t>
      </w:r>
      <w:r>
        <w:rPr>
          <w:szCs w:val="22"/>
          <w:lang w:eastAsia="en-US"/>
        </w:rPr>
        <w:t>predchádzajúcich výziev vo vzťahu k preukazovaniu splnenia príslušných podmienok poskytnutia príspevku zo strany žiadateľov.</w:t>
      </w:r>
    </w:p>
    <w:p w14:paraId="446A226A" w14:textId="77777777" w:rsidR="00B650E5" w:rsidRDefault="00B650E5">
      <w:pPr>
        <w:numPr>
          <w:ilvl w:val="0"/>
          <w:numId w:val="90"/>
        </w:numPr>
        <w:tabs>
          <w:tab w:val="left" w:pos="426"/>
        </w:tabs>
        <w:spacing w:before="120" w:after="120"/>
        <w:ind w:left="426" w:hanging="426"/>
        <w:jc w:val="both"/>
        <w:rPr>
          <w:szCs w:val="22"/>
          <w:lang w:eastAsia="en-US"/>
        </w:rPr>
      </w:pPr>
      <w:r>
        <w:rPr>
          <w:szCs w:val="22"/>
          <w:lang w:eastAsia="en-US"/>
        </w:rPr>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p>
    <w:p w14:paraId="36B7196B" w14:textId="3FC56075" w:rsidR="00B650E5" w:rsidRDefault="00B650E5">
      <w:pPr>
        <w:numPr>
          <w:ilvl w:val="0"/>
          <w:numId w:val="90"/>
        </w:numPr>
        <w:spacing w:before="120" w:after="120"/>
        <w:ind w:left="426" w:hanging="426"/>
        <w:jc w:val="both"/>
        <w:rPr>
          <w:szCs w:val="22"/>
          <w:lang w:eastAsia="en-US"/>
        </w:rPr>
      </w:pPr>
      <w:r>
        <w:rPr>
          <w:szCs w:val="22"/>
          <w:lang w:eastAsia="en-US"/>
        </w:rPr>
        <w:lastRenderedPageBreak/>
        <w:t>Ak žiadateľ nedoplní žiadne náležitosti, doručí požadované náležitosti po stanovenom termíne alebo v prípade, ak aj po doplnení chýbajúcich náležitostí naďalej pretrvávajú pochybnosti o</w:t>
      </w:r>
      <w:r w:rsidR="00A13E26">
        <w:rPr>
          <w:szCs w:val="22"/>
          <w:lang w:eastAsia="en-US"/>
        </w:rPr>
        <w:t> </w:t>
      </w:r>
      <w:r>
        <w:rPr>
          <w:szCs w:val="22"/>
          <w:lang w:eastAsia="en-US"/>
        </w:rPr>
        <w:t>pravdivosti alebo úplnosti žiadosti, na základe čoho nie je možné overiť splnenie niektorej z</w:t>
      </w:r>
      <w:r w:rsidR="00A13E26">
        <w:rPr>
          <w:szCs w:val="22"/>
          <w:lang w:eastAsia="en-US"/>
        </w:rPr>
        <w:t> </w:t>
      </w:r>
      <w:r>
        <w:rPr>
          <w:szCs w:val="22"/>
          <w:lang w:eastAsia="en-US"/>
        </w:rPr>
        <w:t>podmienok poskytnutia príspevku a rozhodnúť o schválení ŽoNFP, RO rozhodne o zastavení konania.</w:t>
      </w:r>
    </w:p>
    <w:p w14:paraId="295700B4"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preukázania splnenia podmienok poskytnutia príspevku po predložení dokumentov podľa </w:t>
      </w:r>
      <w:hyperlink w:anchor="kapitola_3212_ods_16" w:tooltip="ods. 15 tejto kapitoly" w:history="1">
        <w:r>
          <w:rPr>
            <w:rStyle w:val="Hypertextovprepojenie"/>
            <w:szCs w:val="22"/>
            <w:lang w:eastAsia="en-US"/>
          </w:rPr>
          <w:t xml:space="preserve">ods. </w:t>
        </w:r>
        <w:r>
          <w:rPr>
            <w:rStyle w:val="Hypertextovprepojenie"/>
          </w:rPr>
          <w:t>1</w:t>
        </w:r>
        <w:r>
          <w:rPr>
            <w:rStyle w:val="Hypertextovprepojenie"/>
            <w:szCs w:val="22"/>
            <w:lang w:eastAsia="en-US"/>
          </w:rPr>
          <w:t>5 tejto kapitoly</w:t>
        </w:r>
      </w:hyperlink>
      <w:r>
        <w:rPr>
          <w:szCs w:val="22"/>
          <w:lang w:eastAsia="en-US"/>
        </w:rPr>
        <w:t>, RO rozhodne o schválení ŽoNFP. Súčasne RO rozhodne o neschválení tých ŽoNFP, na ktoré nepostačovala alokácia určená na výzvu.</w:t>
      </w:r>
    </w:p>
    <w:p w14:paraId="09C2C346" w14:textId="77777777" w:rsidR="00B650E5" w:rsidRDefault="0053588C">
      <w:pPr>
        <w:spacing w:before="120" w:after="120"/>
        <w:jc w:val="both"/>
        <w:rPr>
          <w:szCs w:val="22"/>
          <w:lang w:eastAsia="en-US"/>
        </w:rPr>
      </w:pPr>
      <w:r>
        <w:rPr>
          <w:noProof/>
        </w:rPr>
        <mc:AlternateContent>
          <mc:Choice Requires="wps">
            <w:drawing>
              <wp:anchor distT="0" distB="0" distL="114300" distR="114300" simplePos="0" relativeHeight="251649024" behindDoc="0" locked="0" layoutInCell="1" allowOverlap="1" wp14:anchorId="2D0EB2F1" wp14:editId="27F384D8">
                <wp:simplePos x="0" y="0"/>
                <wp:positionH relativeFrom="column">
                  <wp:posOffset>-175260</wp:posOffset>
                </wp:positionH>
                <wp:positionV relativeFrom="paragraph">
                  <wp:posOffset>1911985</wp:posOffset>
                </wp:positionV>
                <wp:extent cx="1914525" cy="895350"/>
                <wp:effectExtent l="72390" t="35560" r="70485" b="21590"/>
                <wp:wrapNone/>
                <wp:docPr id="72"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14525" cy="895350"/>
                        </a:xfrm>
                        <a:prstGeom prst="upArrow">
                          <a:avLst>
                            <a:gd name="adj1" fmla="val 50000"/>
                            <a:gd name="adj2" fmla="val 50000"/>
                          </a:avLst>
                        </a:prstGeom>
                        <a:solidFill>
                          <a:srgbClr val="4F81BD"/>
                        </a:solidFill>
                        <a:ln w="25400">
                          <a:solidFill>
                            <a:srgbClr val="243F60"/>
                          </a:solidFill>
                          <a:miter lim="800000"/>
                          <a:headEnd/>
                          <a:tailEnd/>
                        </a:ln>
                      </wps:spPr>
                      <wps:txbx>
                        <w:txbxContent>
                          <w:p w14:paraId="15E61A09" w14:textId="77777777" w:rsidR="00DF4E07" w:rsidRDefault="00DF4E07">
                            <w:pPr>
                              <w:jc w:val="center"/>
                            </w:pPr>
                            <w:r>
                              <w:rPr>
                                <w:sz w:val="18"/>
                                <w:szCs w:val="18"/>
                              </w:rPr>
                              <w:t>Nedochádza k vydaniu rozhodnutí o ŽoNFP</w:t>
                            </w:r>
                          </w:p>
                          <w:p w14:paraId="378194DA" w14:textId="77777777" w:rsidR="00DF4E07" w:rsidRDefault="00DF4E07">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D0EB2F1" id="Šípka nahor 1134" o:spid="_x0000_s1039" type="#_x0000_t68" style="position:absolute;left:0;text-align:left;margin-left:-13.8pt;margin-top:150.55pt;width:150.75pt;height:70.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" adj="10800" fillcolor="#4f81bd" strokecolor="#243f60" strokeweight="2pt">
                <v:path arrowok="t"/>
                <v:textbox>
                  <w:txbxContent>
                    <w:p w14:paraId="15E61A09" w14:textId="77777777" w:rsidR="00DF4E07" w:rsidRDefault="00DF4E07">
                      <w:pPr>
                        <w:jc w:val="center"/>
                      </w:pPr>
                      <w:r>
                        <w:rPr>
                          <w:sz w:val="18"/>
                          <w:szCs w:val="18"/>
                        </w:rPr>
                        <w:t>Nedochádza k vydaniu rozhodnutí o ŽoNFP</w:t>
                      </w:r>
                    </w:p>
                    <w:p w14:paraId="378194DA" w14:textId="77777777" w:rsidR="00DF4E07" w:rsidRDefault="00DF4E07">
                      <w:pPr>
                        <w:jc w:val="center"/>
                      </w:pPr>
                    </w:p>
                  </w:txbxContent>
                </v:textbox>
              </v:shape>
            </w:pict>
          </mc:Fallback>
        </mc:AlternateContent>
      </w:r>
      <w:r>
        <w:rPr>
          <w:noProof/>
        </w:rPr>
        <w:drawing>
          <wp:inline distT="0" distB="0" distL="0" distR="0" wp14:anchorId="443C1C46" wp14:editId="5115800C">
            <wp:extent cx="5483225" cy="3209290"/>
            <wp:effectExtent l="76200" t="0" r="136525" b="0"/>
            <wp:docPr id="6" name="Diagram 113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9" r:lo="rId100" r:qs="rId101" r:cs="rId102"/>
              </a:graphicData>
            </a:graphic>
          </wp:inline>
        </w:drawing>
      </w:r>
    </w:p>
    <w:p w14:paraId="0FCA0BA8" w14:textId="77777777" w:rsidR="00B650E5" w:rsidRDefault="00B650E5">
      <w:pPr>
        <w:spacing w:before="120" w:after="120"/>
        <w:jc w:val="center"/>
        <w:rPr>
          <w:sz w:val="18"/>
          <w:szCs w:val="18"/>
          <w:lang w:eastAsia="en-US"/>
        </w:rPr>
      </w:pPr>
      <w:r>
        <w:rPr>
          <w:sz w:val="18"/>
          <w:szCs w:val="18"/>
          <w:lang w:eastAsia="en-US"/>
        </w:rPr>
        <w:t>Postup pri náhrade čestných vyhlásení pred vydaním rozhodnutí o ŽoNFP</w:t>
      </w:r>
    </w:p>
    <w:p w14:paraId="552DDA7C" w14:textId="77777777" w:rsidR="00B650E5" w:rsidRDefault="00B650E5" w:rsidP="0045286B">
      <w:pPr>
        <w:pStyle w:val="SRK4"/>
      </w:pPr>
      <w:bookmarkStart w:id="219" w:name="_Toc453233997"/>
      <w:bookmarkStart w:id="220" w:name="_Toc495649356"/>
      <w:r>
        <w:t>3.2.1.3 Postup pri vydávaní rozhodnutí a náležitosti rozhodnutia</w:t>
      </w:r>
      <w:bookmarkEnd w:id="219"/>
      <w:bookmarkEnd w:id="220"/>
      <w:r>
        <w:t xml:space="preserve"> </w:t>
      </w:r>
    </w:p>
    <w:p w14:paraId="5B23B890" w14:textId="77777777" w:rsidR="00B650E5" w:rsidRDefault="00B650E5">
      <w:pPr>
        <w:numPr>
          <w:ilvl w:val="0"/>
          <w:numId w:val="91"/>
        </w:numPr>
        <w:spacing w:before="120" w:after="120"/>
        <w:ind w:left="426" w:hanging="426"/>
        <w:jc w:val="both"/>
        <w:rPr>
          <w:szCs w:val="22"/>
          <w:lang w:eastAsia="en-US"/>
        </w:rPr>
      </w:pPr>
      <w:r>
        <w:rPr>
          <w:szCs w:val="22"/>
          <w:lang w:eastAsia="en-US"/>
        </w:rPr>
        <w:t>Na základe skutočností zistených v rámci konania o ŽoNFP vydá RO o ŽoNFP:</w:t>
      </w:r>
    </w:p>
    <w:p w14:paraId="046C4D46"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schválení </w:t>
      </w:r>
    </w:p>
    <w:p w14:paraId="49DD2B8E"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neschválení </w:t>
      </w:r>
    </w:p>
    <w:p w14:paraId="44DCB81C" w14:textId="12124B30" w:rsidR="00B650E5" w:rsidRDefault="00B650E5">
      <w:pPr>
        <w:numPr>
          <w:ilvl w:val="0"/>
          <w:numId w:val="92"/>
        </w:numPr>
        <w:spacing w:before="120" w:after="120"/>
        <w:ind w:left="850" w:hanging="425"/>
        <w:jc w:val="both"/>
        <w:rPr>
          <w:bCs/>
          <w:iCs/>
          <w:szCs w:val="22"/>
          <w:lang w:eastAsia="en-US"/>
        </w:rPr>
      </w:pPr>
      <w:r>
        <w:rPr>
          <w:bCs/>
          <w:iCs/>
          <w:szCs w:val="22"/>
          <w:lang w:eastAsia="en-US"/>
        </w:rPr>
        <w:t>Rozhodnutie o zastavení konania</w:t>
      </w:r>
    </w:p>
    <w:p w14:paraId="628FD59F" w14:textId="77777777" w:rsidR="00B650E5" w:rsidRDefault="00B650E5">
      <w:pPr>
        <w:numPr>
          <w:ilvl w:val="0"/>
          <w:numId w:val="91"/>
        </w:numPr>
        <w:spacing w:before="120" w:after="120"/>
        <w:ind w:left="426" w:hanging="426"/>
        <w:jc w:val="both"/>
        <w:rPr>
          <w:szCs w:val="22"/>
          <w:lang w:eastAsia="en-US"/>
        </w:rPr>
      </w:pPr>
      <w:r>
        <w:rPr>
          <w:szCs w:val="22"/>
          <w:lang w:eastAsia="en-US"/>
        </w:rPr>
        <w:t xml:space="preserve">RO na základe posúdenia splnenia podmienok poskytnutia príspevku určených vo výzve rozhodne o schválení alebo neschválení ŽoNFP. </w:t>
      </w:r>
    </w:p>
    <w:p w14:paraId="43033198" w14:textId="62DB2C61" w:rsidR="00B650E5" w:rsidRDefault="00B650E5">
      <w:pPr>
        <w:numPr>
          <w:ilvl w:val="0"/>
          <w:numId w:val="91"/>
        </w:numPr>
        <w:spacing w:before="120" w:after="120"/>
        <w:ind w:left="426" w:hanging="426"/>
        <w:jc w:val="both"/>
        <w:rPr>
          <w:szCs w:val="22"/>
          <w:lang w:eastAsia="en-US"/>
        </w:rPr>
      </w:pPr>
      <w:r>
        <w:rPr>
          <w:szCs w:val="22"/>
          <w:lang w:eastAsia="en-US"/>
        </w:rPr>
        <w:t>Rozhodnutím o schválení ŽoNFP RO konštatuje splnenie všetkých podmienok poskytnutia príspevku stanovených vo výzve a zároveň deklaruje dostatok finančných prostriedkov na</w:t>
      </w:r>
      <w:r w:rsidR="00A13E26">
        <w:rPr>
          <w:szCs w:val="22"/>
          <w:lang w:eastAsia="en-US"/>
        </w:rPr>
        <w:t> </w:t>
      </w:r>
      <w:r>
        <w:rPr>
          <w:szCs w:val="22"/>
          <w:lang w:eastAsia="en-US"/>
        </w:rPr>
        <w:t xml:space="preserve">financovanie schváleného projektu na základe alokácie určenej vo výzve. </w:t>
      </w:r>
    </w:p>
    <w:p w14:paraId="6C925F38" w14:textId="0D426B12" w:rsidR="00B650E5" w:rsidRDefault="00B650E5">
      <w:pPr>
        <w:numPr>
          <w:ilvl w:val="0"/>
          <w:numId w:val="91"/>
        </w:numPr>
        <w:spacing w:before="120" w:after="120"/>
        <w:ind w:left="426" w:hanging="426"/>
        <w:jc w:val="both"/>
        <w:rPr>
          <w:szCs w:val="22"/>
          <w:lang w:eastAsia="en-US"/>
        </w:rPr>
      </w:pPr>
      <w:r>
        <w:rPr>
          <w:szCs w:val="22"/>
          <w:lang w:eastAsia="en-US"/>
        </w:rPr>
        <w:t xml:space="preserve">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určených vo výzve. Rozhodnutie o neschválení pri ŽoNFP, ktorá bola predmetom odborného hodnotenia vždy obsahuje aj identifikáciu dôvodov, na základe ktorých boli znížené body získané v rámci odborného hodnotenia, resp. boli zaradené do skupiny neschválených ŽoNFP z dôvodu </w:t>
      </w:r>
      <w:r>
        <w:rPr>
          <w:szCs w:val="22"/>
          <w:lang w:eastAsia="en-US"/>
        </w:rPr>
        <w:lastRenderedPageBreak/>
        <w:t>aplikácie výberových kritérií</w:t>
      </w:r>
      <w:r w:rsidR="007324D5">
        <w:rPr>
          <w:szCs w:val="22"/>
          <w:lang w:eastAsia="en-US"/>
        </w:rPr>
        <w:t>,</w:t>
      </w:r>
      <w:r>
        <w:rPr>
          <w:szCs w:val="22"/>
          <w:lang w:eastAsia="en-US"/>
        </w:rPr>
        <w:t xml:space="preserve"> a to bez ohľadu na to, v akej fáze došlo k vydaniu rozhodnutia o neschválení ŽoNFP.</w:t>
      </w:r>
    </w:p>
    <w:p w14:paraId="465BE0BA" w14:textId="48123F3F" w:rsidR="00B650E5" w:rsidRDefault="00B650E5">
      <w:pPr>
        <w:numPr>
          <w:ilvl w:val="0"/>
          <w:numId w:val="91"/>
        </w:numPr>
        <w:spacing w:before="120" w:after="120"/>
        <w:ind w:left="426" w:hanging="426"/>
        <w:jc w:val="both"/>
        <w:rPr>
          <w:szCs w:val="22"/>
          <w:lang w:eastAsia="en-US"/>
        </w:rPr>
      </w:pPr>
      <w:r>
        <w:rPr>
          <w:szCs w:val="22"/>
          <w:lang w:eastAsia="en-US"/>
        </w:rPr>
        <w:t>Rozhodnutím o zastavení konania RO konštatuje, že v konaní o ŽoNFP nastala niektorá zo</w:t>
      </w:r>
      <w:r w:rsidR="00913468">
        <w:rPr>
          <w:szCs w:val="22"/>
          <w:lang w:eastAsia="en-US"/>
        </w:rPr>
        <w:t> </w:t>
      </w:r>
      <w:r>
        <w:rPr>
          <w:szCs w:val="22"/>
          <w:lang w:eastAsia="en-US"/>
        </w:rPr>
        <w:t>skutočností stanovených v  § 20 zákona o príspevku z EŠIF. Rozhodnutím o zastavení konania RO konštatuje neúplnosť podania, resp. nemožnosť posúdenia splnenia/nesplnenia podmienok poskytnutia príspevku bez priameho výroku o splnení/nesplnení podmienok poskytnutia 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p>
    <w:p w14:paraId="4DC9234D" w14:textId="26EAA9EA" w:rsidR="00B650E5" w:rsidRDefault="00B650E5">
      <w:pPr>
        <w:numPr>
          <w:ilvl w:val="0"/>
          <w:numId w:val="91"/>
        </w:numPr>
        <w:spacing w:before="120" w:after="120"/>
        <w:ind w:left="426" w:hanging="426"/>
        <w:jc w:val="both"/>
        <w:rPr>
          <w:szCs w:val="22"/>
          <w:lang w:eastAsia="en-US"/>
        </w:rPr>
      </w:pPr>
      <w:r>
        <w:rPr>
          <w:szCs w:val="22"/>
          <w:lang w:eastAsia="en-US"/>
        </w:rPr>
        <w:t>Jedným z dôvodov zastavenia konania je skutočnosť, že žiadateľ vzal svoju ŽoNFP späť. Žiadateľ je oprávnený kedykoľvek počas konania o  ŽoNFP vziať svoju ŽoNFP späť. Za</w:t>
      </w:r>
      <w:r w:rsidR="00913468">
        <w:rPr>
          <w:szCs w:val="22"/>
          <w:lang w:eastAsia="en-US"/>
        </w:rPr>
        <w:t> </w:t>
      </w:r>
      <w:r>
        <w:rPr>
          <w:szCs w:val="22"/>
          <w:lang w:eastAsia="en-US"/>
        </w:rPr>
        <w:t>späťvzatie ŽoNFP je možné považovať akékoľvek podanie žiadateľa adresované RO v písomnej podobe, z ktorého je možné jednoznačne identifikovať vôľu žiadateľa vziať ŽoNFP späť. V prípade späťvzatia RO konanie o ŽoNFP rozhodnutím zastaví. RO zastaví konanie ku</w:t>
      </w:r>
      <w:r w:rsidR="00913468">
        <w:rPr>
          <w:szCs w:val="22"/>
          <w:lang w:eastAsia="en-US"/>
        </w:rPr>
        <w:t> </w:t>
      </w:r>
      <w:r>
        <w:rPr>
          <w:szCs w:val="22"/>
          <w:lang w:eastAsia="en-US"/>
        </w:rPr>
        <w:t xml:space="preserve">dňu doručenia späťvzatia, </w:t>
      </w:r>
      <w:r w:rsidR="00C93F30">
        <w:rPr>
          <w:szCs w:val="22"/>
          <w:lang w:eastAsia="en-US"/>
        </w:rPr>
        <w:t xml:space="preserve">t. j. </w:t>
      </w:r>
      <w:r>
        <w:rPr>
          <w:szCs w:val="22"/>
          <w:lang w:eastAsia="en-US"/>
        </w:rPr>
        <w:t>okamihom, kedy sa prejav vôle žiadateľa dostal do sféry dispozície RO (</w:t>
      </w:r>
      <w:r w:rsidR="00C93F30">
        <w:rPr>
          <w:szCs w:val="22"/>
          <w:lang w:eastAsia="en-US"/>
        </w:rPr>
        <w:t xml:space="preserve">t. j. </w:t>
      </w:r>
      <w:r>
        <w:rPr>
          <w:szCs w:val="22"/>
          <w:lang w:eastAsia="en-US"/>
        </w:rPr>
        <w:t>doručenie na podateľňu RO, prevzatie podania zamestnancom RO oprávneným na príjem  písomností a pod.)</w:t>
      </w:r>
      <w:r w:rsidR="00913468">
        <w:rPr>
          <w:szCs w:val="22"/>
          <w:lang w:eastAsia="en-US"/>
        </w:rPr>
        <w:t>.</w:t>
      </w:r>
    </w:p>
    <w:p w14:paraId="385C11BF" w14:textId="77777777" w:rsidR="00B650E5" w:rsidRDefault="0053588C">
      <w:pPr>
        <w:spacing w:before="120" w:after="120"/>
        <w:jc w:val="both"/>
        <w:rPr>
          <w:bCs/>
          <w:iCs/>
          <w:noProof/>
          <w:szCs w:val="22"/>
          <w:lang w:eastAsia="en-US"/>
        </w:rPr>
      </w:pPr>
      <w:r>
        <w:rPr>
          <w:noProof/>
        </w:rPr>
        <mc:AlternateContent>
          <mc:Choice Requires="wps">
            <w:drawing>
              <wp:anchor distT="0" distB="0" distL="114300" distR="114300" simplePos="0" relativeHeight="251650048" behindDoc="0" locked="0" layoutInCell="1" allowOverlap="1" wp14:anchorId="40DE254D" wp14:editId="2549C5C1">
                <wp:simplePos x="0" y="0"/>
                <wp:positionH relativeFrom="column">
                  <wp:posOffset>1252855</wp:posOffset>
                </wp:positionH>
                <wp:positionV relativeFrom="paragraph">
                  <wp:posOffset>32385</wp:posOffset>
                </wp:positionV>
                <wp:extent cx="3514725" cy="790575"/>
                <wp:effectExtent l="0" t="0" r="9525" b="66675"/>
                <wp:wrapNone/>
                <wp:docPr id="71"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5DC006C"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Zahnutá šípka hore 62" o:spid="_x0000_s1026" type="#_x0000_t104" style="position:absolute;margin-left:98.65pt;margin-top:2.55pt;width:276.75pt;height:62.25pt;flip:y;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CvvjP5NAMAAOcGAAAOAAAAAAAAAAAAAAAAAC4CAABkcnMvZTJvRG9jLnhtbFBLAQItABQABgAI&#10;AAAAIQBTmCyC3QAAAAkBAAAPAAAAAAAAAAAAAAAAAI4FAABkcnMvZG93bnJldi54bWxQSwUGAAAA&#10;AAQABADzAAAAmAYAAAAA&#10;" strokecolor="#93cddd" strokeweight="1pt">
                <v:fill color2="#b7dee8" focus="100%" type="gradient"/>
                <v:shadow on="t" color="#215968" opacity=".5" offset="1pt"/>
              </v:shape>
            </w:pict>
          </mc:Fallback>
        </mc:AlternateContent>
      </w:r>
      <w:r w:rsidR="00B650E5">
        <w:rPr>
          <w:bCs/>
          <w:iCs/>
          <w:noProof/>
          <w:szCs w:val="22"/>
          <w:lang w:eastAsia="en-US"/>
        </w:rPr>
        <w:t xml:space="preserve">                        </w:t>
      </w:r>
      <w:r>
        <w:rPr>
          <w:noProof/>
          <w:szCs w:val="22"/>
        </w:rPr>
        <w:drawing>
          <wp:inline distT="0" distB="0" distL="0" distR="0" wp14:anchorId="1A343B3B" wp14:editId="60D11029">
            <wp:extent cx="4046855" cy="2339975"/>
            <wp:effectExtent l="76200" t="57150" r="106045" b="41275"/>
            <wp:docPr id="7"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4" r:lo="rId105" r:qs="rId106" r:cs="rId107"/>
              </a:graphicData>
            </a:graphic>
          </wp:inline>
        </w:drawing>
      </w:r>
    </w:p>
    <w:p w14:paraId="3F219EE2" w14:textId="77777777" w:rsidR="00B650E5" w:rsidRDefault="00B650E5">
      <w:pPr>
        <w:spacing w:before="120" w:after="120"/>
        <w:jc w:val="center"/>
        <w:rPr>
          <w:bCs/>
          <w:iCs/>
          <w:color w:val="4F81BD"/>
          <w:sz w:val="18"/>
          <w:szCs w:val="18"/>
          <w:lang w:eastAsia="en-US"/>
        </w:rPr>
      </w:pPr>
      <w:r>
        <w:rPr>
          <w:bCs/>
          <w:iCs/>
          <w:noProof/>
          <w:sz w:val="18"/>
          <w:szCs w:val="18"/>
          <w:lang w:eastAsia="en-US"/>
        </w:rPr>
        <w:t>Grafické znázornenie postupu pri späťvzatí ŽoNFP</w:t>
      </w:r>
    </w:p>
    <w:p w14:paraId="07D91D6B" w14:textId="77777777" w:rsidR="00B650E5" w:rsidRDefault="00B650E5">
      <w:pPr>
        <w:numPr>
          <w:ilvl w:val="0"/>
          <w:numId w:val="91"/>
        </w:numPr>
        <w:spacing w:before="120" w:after="120"/>
        <w:ind w:left="426" w:hanging="426"/>
        <w:jc w:val="both"/>
        <w:rPr>
          <w:szCs w:val="22"/>
          <w:lang w:eastAsia="en-US"/>
        </w:rPr>
      </w:pPr>
      <w:r>
        <w:rPr>
          <w:szCs w:val="22"/>
          <w:lang w:eastAsia="en-US"/>
        </w:rPr>
        <w:t>Vzor</w:t>
      </w:r>
      <w:r>
        <w:rPr>
          <w:rStyle w:val="Odkaznapoznmkupodiarou"/>
          <w:szCs w:val="22"/>
          <w:lang w:eastAsia="en-US"/>
        </w:rPr>
        <w:footnoteReference w:id="50"/>
      </w:r>
      <w:r>
        <w:rPr>
          <w:szCs w:val="22"/>
          <w:lang w:eastAsia="en-US"/>
        </w:rPr>
        <w:t xml:space="preserve"> rozhodnutia o schválení ŽoNFP, neschválení ŽoNFP a o zastavení konania vydáva CKO.</w:t>
      </w:r>
    </w:p>
    <w:p w14:paraId="2F4A5921" w14:textId="77777777" w:rsidR="00B650E5" w:rsidRDefault="00B650E5">
      <w:pPr>
        <w:numPr>
          <w:ilvl w:val="0"/>
          <w:numId w:val="91"/>
        </w:numPr>
        <w:spacing w:before="120" w:after="120"/>
        <w:ind w:left="426" w:hanging="426"/>
        <w:jc w:val="both"/>
        <w:rPr>
          <w:szCs w:val="22"/>
          <w:lang w:eastAsia="en-US"/>
        </w:rPr>
      </w:pPr>
      <w:r>
        <w:rPr>
          <w:szCs w:val="22"/>
          <w:lang w:eastAsia="en-US"/>
        </w:rPr>
        <w:t>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14:paraId="524A16DC" w14:textId="77777777" w:rsidR="00B650E5" w:rsidRDefault="00B650E5">
      <w:pPr>
        <w:numPr>
          <w:ilvl w:val="0"/>
          <w:numId w:val="91"/>
        </w:numPr>
        <w:spacing w:before="120" w:after="120"/>
        <w:ind w:left="426" w:hanging="426"/>
        <w:jc w:val="both"/>
        <w:rPr>
          <w:szCs w:val="22"/>
          <w:lang w:eastAsia="en-US"/>
        </w:rPr>
      </w:pPr>
      <w:r>
        <w:rPr>
          <w:szCs w:val="22"/>
          <w:lang w:eastAsia="en-US"/>
        </w:rPr>
        <w:t>Na právoplatnosť rozhodnutia sa vzťahuje § 52 správneho poriadku, t. j. rozhodnutie, voči ktorému nie je možné sa odvolať, je právoplatné.</w:t>
      </w:r>
    </w:p>
    <w:p w14:paraId="7F5BE7E2" w14:textId="77777777" w:rsidR="00B650E5" w:rsidRDefault="00B650E5">
      <w:pPr>
        <w:numPr>
          <w:ilvl w:val="0"/>
          <w:numId w:val="91"/>
        </w:numPr>
        <w:spacing w:before="120" w:after="120"/>
        <w:ind w:left="426" w:hanging="426"/>
        <w:jc w:val="both"/>
        <w:rPr>
          <w:szCs w:val="22"/>
          <w:lang w:eastAsia="en-US"/>
        </w:rPr>
      </w:pPr>
      <w:r>
        <w:rPr>
          <w:szCs w:val="22"/>
          <w:lang w:eastAsia="en-US"/>
        </w:rPr>
        <w:lastRenderedPageBreak/>
        <w:t>RO zabezpečí vydanie rozhodnutia pri všetkých ŽoNFP, ktoré bolo predmetom schvaľovacieho procesu najneskôr v termíne:</w:t>
      </w:r>
    </w:p>
    <w:p w14:paraId="03DBD3DF" w14:textId="77777777" w:rsidR="00B650E5" w:rsidRDefault="00B650E5" w:rsidP="009D6DF9">
      <w:pPr>
        <w:numPr>
          <w:ilvl w:val="1"/>
          <w:numId w:val="91"/>
        </w:numPr>
        <w:spacing w:before="120" w:after="120"/>
        <w:ind w:left="851" w:hanging="425"/>
        <w:jc w:val="both"/>
        <w:rPr>
          <w:szCs w:val="22"/>
          <w:lang w:eastAsia="en-US"/>
        </w:rPr>
      </w:pPr>
      <w:r>
        <w:rPr>
          <w:szCs w:val="22"/>
          <w:lang w:eastAsia="en-US"/>
        </w:rPr>
        <w:t>35 pracovných dní od konečného termínu na predkladanie ŽoNFP uvedeného vo výzve v prípade uzavretej výzvy</w:t>
      </w:r>
      <w:r w:rsidR="000A6768">
        <w:rPr>
          <w:szCs w:val="22"/>
          <w:lang w:eastAsia="en-US"/>
        </w:rPr>
        <w:t>;</w:t>
      </w:r>
    </w:p>
    <w:p w14:paraId="235BD4C6" w14:textId="77777777" w:rsidR="00B650E5" w:rsidRDefault="00B650E5" w:rsidP="009D6DF9">
      <w:pPr>
        <w:numPr>
          <w:ilvl w:val="1"/>
          <w:numId w:val="91"/>
        </w:numPr>
        <w:spacing w:before="120" w:after="120"/>
        <w:ind w:left="851" w:hanging="425"/>
        <w:jc w:val="both"/>
        <w:rPr>
          <w:szCs w:val="22"/>
          <w:lang w:eastAsia="en-US"/>
        </w:rPr>
      </w:pPr>
      <w:r>
        <w:rPr>
          <w:szCs w:val="22"/>
          <w:lang w:eastAsia="en-US"/>
        </w:rPr>
        <w:t>35 pracovných dní od konečného termínu príslušného posudzovaného časového obdobia výzvy v prípade otvorenej výzvy.</w:t>
      </w:r>
    </w:p>
    <w:p w14:paraId="14FE83B4" w14:textId="138539BF" w:rsidR="00B650E5" w:rsidRDefault="00B650E5">
      <w:pPr>
        <w:spacing w:before="120" w:after="120"/>
        <w:jc w:val="both"/>
        <w:rPr>
          <w:szCs w:val="22"/>
          <w:lang w:eastAsia="en-US"/>
        </w:rPr>
      </w:pPr>
      <w:r>
        <w:rPr>
          <w:szCs w:val="22"/>
          <w:lang w:eastAsia="en-US"/>
        </w:rPr>
        <w:t>Do lehoty na vydanie rozhodnutia sa nezapočítava doba potrebná na predloženie náležitostí zo strany žiadateľa na základe výzvy zaslanej RO (</w:t>
      </w:r>
      <w:r w:rsidR="00C93F30">
        <w:rPr>
          <w:szCs w:val="22"/>
          <w:lang w:eastAsia="en-US"/>
        </w:rPr>
        <w:t xml:space="preserve">t. j. </w:t>
      </w:r>
      <w:r>
        <w:rPr>
          <w:szCs w:val="22"/>
          <w:lang w:eastAsia="en-US"/>
        </w:rPr>
        <w:t>prerušuje sa v momente zaslania výzvy na doplnenie chýbajúcich náležitostí a začína plynúť momentom doručenia náležitostí na RO).</w:t>
      </w:r>
    </w:p>
    <w:p w14:paraId="030F46B8" w14:textId="77777777" w:rsidR="00B650E5" w:rsidRDefault="0053588C">
      <w:pPr>
        <w:spacing w:before="120" w:after="120"/>
        <w:jc w:val="center"/>
        <w:rPr>
          <w:bCs/>
          <w:iCs/>
          <w:color w:val="4F81BD"/>
          <w:szCs w:val="22"/>
          <w:lang w:eastAsia="en-US"/>
        </w:rPr>
      </w:pPr>
      <w:r>
        <w:rPr>
          <w:noProof/>
          <w:color w:val="4F81BD"/>
          <w:szCs w:val="22"/>
        </w:rPr>
        <w:drawing>
          <wp:inline distT="0" distB="0" distL="0" distR="0" wp14:anchorId="4F65EAE8" wp14:editId="13F1A358">
            <wp:extent cx="4174490" cy="2113280"/>
            <wp:effectExtent l="76200" t="0" r="73660" b="0"/>
            <wp:docPr id="8" name="Diagram 106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9" r:lo="rId110" r:qs="rId111" r:cs="rId112"/>
              </a:graphicData>
            </a:graphic>
          </wp:inline>
        </w:drawing>
      </w:r>
      <w:r w:rsidR="00B650E5">
        <w:rPr>
          <w:b/>
          <w:bCs/>
          <w:i/>
          <w:iCs/>
          <w:color w:val="4F81BD"/>
          <w:szCs w:val="22"/>
          <w:lang w:eastAsia="en-US"/>
        </w:rPr>
        <w:t xml:space="preserve"> </w:t>
      </w:r>
    </w:p>
    <w:p w14:paraId="7C18A867" w14:textId="77777777" w:rsidR="00B650E5" w:rsidRDefault="00B650E5">
      <w:pPr>
        <w:spacing w:before="120" w:after="120"/>
        <w:jc w:val="center"/>
        <w:rPr>
          <w:bCs/>
          <w:iCs/>
          <w:sz w:val="18"/>
          <w:szCs w:val="18"/>
          <w:lang w:eastAsia="en-US"/>
        </w:rPr>
      </w:pPr>
      <w:r>
        <w:rPr>
          <w:bCs/>
          <w:iCs/>
          <w:sz w:val="18"/>
          <w:szCs w:val="18"/>
          <w:lang w:eastAsia="en-US"/>
        </w:rPr>
        <w:t>Postup pri vydávaní meritórnych rozhodnutí o ŽoNFP</w:t>
      </w:r>
    </w:p>
    <w:p w14:paraId="59017406" w14:textId="77777777" w:rsidR="00B650E5" w:rsidRDefault="00B650E5">
      <w:pPr>
        <w:spacing w:before="120" w:after="120"/>
        <w:ind w:left="709"/>
        <w:jc w:val="both"/>
        <w:rPr>
          <w:smallCaps/>
          <w:color w:val="548DD4"/>
          <w:szCs w:val="22"/>
          <w:u w:val="single"/>
          <w:lang w:eastAsia="en-US"/>
        </w:rPr>
      </w:pPr>
    </w:p>
    <w:p w14:paraId="27CCFDA5" w14:textId="77777777" w:rsidR="00B650E5" w:rsidRDefault="0053588C">
      <w:pPr>
        <w:spacing w:before="120" w:after="120"/>
        <w:ind w:left="709"/>
        <w:jc w:val="both"/>
        <w:rPr>
          <w:smallCaps/>
          <w:color w:val="548DD4"/>
          <w:szCs w:val="22"/>
          <w:u w:val="single"/>
          <w:lang w:eastAsia="en-US"/>
        </w:rPr>
      </w:pPr>
      <w:r>
        <w:rPr>
          <w:smallCaps/>
          <w:noProof/>
          <w:color w:val="548DD4"/>
          <w:szCs w:val="22"/>
        </w:rPr>
        <w:drawing>
          <wp:inline distT="0" distB="0" distL="0" distR="0" wp14:anchorId="38143160" wp14:editId="79B6F182">
            <wp:extent cx="5572760" cy="3214370"/>
            <wp:effectExtent l="0" t="57150" r="0" b="119380"/>
            <wp:docPr id="9" name="Diagram 106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4" r:lo="rId115" r:qs="rId116" r:cs="rId117"/>
              </a:graphicData>
            </a:graphic>
          </wp:inline>
        </w:drawing>
      </w:r>
    </w:p>
    <w:p w14:paraId="7E2B7941" w14:textId="77777777" w:rsidR="00B650E5" w:rsidRDefault="00B650E5">
      <w:pPr>
        <w:spacing w:before="120" w:after="120"/>
        <w:ind w:left="567" w:firstLine="1"/>
        <w:jc w:val="center"/>
        <w:rPr>
          <w:b/>
          <w:i/>
          <w:smallCaps/>
          <w:szCs w:val="22"/>
          <w:u w:val="single"/>
          <w:lang w:eastAsia="en-US"/>
        </w:rPr>
      </w:pPr>
      <w:r>
        <w:rPr>
          <w:bCs/>
          <w:iCs/>
          <w:sz w:val="18"/>
          <w:szCs w:val="18"/>
          <w:lang w:eastAsia="en-US"/>
        </w:rPr>
        <w:t>Postup pri vydávaní rozhodnutí o zastavení konania o ŽoNFP</w:t>
      </w:r>
    </w:p>
    <w:p w14:paraId="64D7BC68" w14:textId="77777777" w:rsidR="00B650E5" w:rsidRDefault="00B650E5" w:rsidP="0045286B">
      <w:pPr>
        <w:pStyle w:val="SRK4"/>
      </w:pPr>
      <w:bookmarkStart w:id="221" w:name="_Toc453233998"/>
      <w:bookmarkStart w:id="222" w:name="_Toc495649357"/>
      <w:bookmarkStart w:id="223" w:name="kapitola_3214"/>
      <w:r>
        <w:t>3.2.1.4 Záverečná správa výzvy</w:t>
      </w:r>
      <w:bookmarkEnd w:id="221"/>
      <w:bookmarkEnd w:id="222"/>
      <w:r>
        <w:t xml:space="preserve"> </w:t>
      </w:r>
    </w:p>
    <w:p w14:paraId="4363BD1E" w14:textId="52366D82" w:rsidR="00B650E5" w:rsidRDefault="00B650E5">
      <w:pPr>
        <w:numPr>
          <w:ilvl w:val="0"/>
          <w:numId w:val="94"/>
        </w:numPr>
        <w:spacing w:before="120" w:after="120"/>
        <w:ind w:left="426" w:hanging="426"/>
        <w:jc w:val="both"/>
        <w:rPr>
          <w:szCs w:val="22"/>
          <w:lang w:eastAsia="en-US"/>
        </w:rPr>
      </w:pPr>
      <w:bookmarkStart w:id="224" w:name="_Toc378954334"/>
      <w:bookmarkEnd w:id="223"/>
      <w:r>
        <w:rPr>
          <w:szCs w:val="22"/>
          <w:lang w:eastAsia="en-US"/>
        </w:rPr>
        <w:t>Po ukončení schvaľovacieho procesu ŽoNFP (</w:t>
      </w:r>
      <w:r w:rsidR="00C93F30">
        <w:rPr>
          <w:szCs w:val="22"/>
          <w:lang w:eastAsia="en-US"/>
        </w:rPr>
        <w:t xml:space="preserve">t. j. </w:t>
      </w:r>
      <w:r>
        <w:rPr>
          <w:szCs w:val="22"/>
          <w:lang w:eastAsia="en-US"/>
        </w:rPr>
        <w:t>po vydaní prvostupňového rozhodnutia za</w:t>
      </w:r>
      <w:r w:rsidR="00913468">
        <w:rPr>
          <w:szCs w:val="22"/>
          <w:lang w:eastAsia="en-US"/>
        </w:rPr>
        <w:t> </w:t>
      </w:r>
      <w:r>
        <w:rPr>
          <w:szCs w:val="22"/>
          <w:lang w:eastAsia="en-US"/>
        </w:rPr>
        <w:t xml:space="preserve">všetky ŽoNFP predložené v rámci výzvy alebo za vymedzené časové obdobie pri otvorených </w:t>
      </w:r>
      <w:r>
        <w:rPr>
          <w:szCs w:val="22"/>
          <w:lang w:eastAsia="en-US"/>
        </w:rPr>
        <w:lastRenderedPageBreak/>
        <w:t xml:space="preserve">výzvach) RO vypracuje záverečnú správu z výzvy na predkladanie ŽoNFP, pričom na jej vypracovanie RO môže použiť ITMS 2014+.  </w:t>
      </w:r>
    </w:p>
    <w:p w14:paraId="645B11D8" w14:textId="0D13E72D" w:rsidR="00B650E5" w:rsidRDefault="00B650E5">
      <w:pPr>
        <w:numPr>
          <w:ilvl w:val="0"/>
          <w:numId w:val="94"/>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51"/>
      </w:r>
      <w:r>
        <w:rPr>
          <w:szCs w:val="22"/>
          <w:lang w:eastAsia="en-US"/>
        </w:rPr>
        <w:t xml:space="preserve"> vydanom CKO. Všetky dokumenty, ktoré sú súčasťou a dokumentujú schvaľovací proces RO (kontrolné zoznamy z administratívneho overenia, hodnotiace hárky ŽoNFP) uchováva v spisoch jednotlivých ŽoNFP alebo ako prílohu Záverečnej správy. Prílohou Záverečnej správy z výzvy na</w:t>
      </w:r>
      <w:r w:rsidR="00913468">
        <w:rPr>
          <w:szCs w:val="22"/>
          <w:lang w:eastAsia="en-US"/>
        </w:rPr>
        <w:t> </w:t>
      </w:r>
      <w:r>
        <w:rPr>
          <w:szCs w:val="22"/>
          <w:lang w:eastAsia="en-US"/>
        </w:rPr>
        <w:t xml:space="preserve">predkladanie ŽoNFP je aj záznam z aplikácie výberových kritérií (ak pre danú výzvu boli aplikované). </w:t>
      </w:r>
    </w:p>
    <w:p w14:paraId="14C88588" w14:textId="77777777" w:rsidR="00B650E5" w:rsidRDefault="00B650E5">
      <w:pPr>
        <w:numPr>
          <w:ilvl w:val="0"/>
          <w:numId w:val="94"/>
        </w:numPr>
        <w:spacing w:before="120" w:after="120"/>
        <w:ind w:left="426" w:hanging="426"/>
        <w:jc w:val="both"/>
        <w:rPr>
          <w:szCs w:val="22"/>
          <w:lang w:eastAsia="en-US"/>
        </w:rPr>
      </w:pPr>
      <w:r>
        <w:rPr>
          <w:szCs w:val="22"/>
          <w:lang w:eastAsia="en-US"/>
        </w:rPr>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14:paraId="6BB761C2" w14:textId="4F985FBF" w:rsidR="00B650E5" w:rsidRDefault="00B650E5">
      <w:pPr>
        <w:numPr>
          <w:ilvl w:val="0"/>
          <w:numId w:val="94"/>
        </w:numPr>
        <w:spacing w:before="120" w:after="120"/>
        <w:ind w:left="426" w:hanging="426"/>
        <w:jc w:val="both"/>
        <w:rPr>
          <w:szCs w:val="22"/>
          <w:lang w:eastAsia="en-US"/>
        </w:rPr>
      </w:pPr>
      <w:r>
        <w:rPr>
          <w:szCs w:val="22"/>
          <w:lang w:eastAsia="en-US"/>
        </w:rPr>
        <w:t>RO zasiela záverečnú správu z výzvy (bez potreby zasielania kontrolných zoznamov a hodnotiacich hárkov ŽoNFP), vrátane záznamu z aplikácie výberových kritérií CO najneskôr do</w:t>
      </w:r>
      <w:r w:rsidR="00913468">
        <w:rPr>
          <w:szCs w:val="22"/>
          <w:lang w:eastAsia="en-US"/>
        </w:rPr>
        <w:t> </w:t>
      </w:r>
      <w:r>
        <w:rPr>
          <w:szCs w:val="22"/>
          <w:lang w:eastAsia="en-US"/>
        </w:rPr>
        <w:t xml:space="preserve">5 pracovných dní od jej schválenia. </w:t>
      </w:r>
    </w:p>
    <w:p w14:paraId="752E47E2" w14:textId="77777777" w:rsidR="00B650E5" w:rsidRDefault="00B650E5" w:rsidP="0045286B">
      <w:pPr>
        <w:pStyle w:val="SRK4"/>
      </w:pPr>
      <w:bookmarkStart w:id="225" w:name="_Toc453233999"/>
      <w:bookmarkStart w:id="226" w:name="_Toc495649358"/>
      <w:r>
        <w:t>3.2.1.5 Overovanie splnenia podmienok poskytnutia príspevku na mieste</w:t>
      </w:r>
      <w:bookmarkEnd w:id="225"/>
      <w:bookmarkEnd w:id="226"/>
    </w:p>
    <w:p w14:paraId="0B88A569" w14:textId="77777777" w:rsidR="00B650E5" w:rsidRDefault="00B650E5">
      <w:pPr>
        <w:numPr>
          <w:ilvl w:val="0"/>
          <w:numId w:val="301"/>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14:paraId="143E6DD0" w14:textId="77777777" w:rsidR="00B650E5" w:rsidRDefault="00B650E5">
      <w:pPr>
        <w:numPr>
          <w:ilvl w:val="0"/>
          <w:numId w:val="301"/>
        </w:numPr>
        <w:spacing w:before="120" w:after="120"/>
        <w:ind w:left="426" w:hanging="426"/>
        <w:jc w:val="both"/>
      </w:pPr>
      <w:r>
        <w:t xml:space="preserve">RO nie je oprávnený na základe možnosti upravenej vo výzve vstupovať bez súhlasu do objektov žiadateľa, ani iným spôsobom jednostranne zasahovať do majetku žiadateľa. </w:t>
      </w:r>
    </w:p>
    <w:p w14:paraId="3A076EAC" w14:textId="7E245746" w:rsidR="00B650E5" w:rsidRDefault="00B650E5">
      <w:pPr>
        <w:numPr>
          <w:ilvl w:val="0"/>
          <w:numId w:val="301"/>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w:t>
      </w:r>
      <w:r w:rsidR="00913468">
        <w:t> </w:t>
      </w:r>
      <w:r>
        <w:t>§</w:t>
      </w:r>
      <w:r w:rsidR="00913468">
        <w:t> </w:t>
      </w:r>
      <w:r>
        <w:t>20 ods. 1, písm. d) zákona o príspevku z EŠIF.</w:t>
      </w:r>
    </w:p>
    <w:p w14:paraId="4A2D9978" w14:textId="77777777" w:rsidR="00B650E5" w:rsidRDefault="00B650E5">
      <w:pPr>
        <w:numPr>
          <w:ilvl w:val="0"/>
          <w:numId w:val="301"/>
        </w:numPr>
        <w:spacing w:before="120" w:after="120"/>
        <w:ind w:left="426" w:hanging="426"/>
        <w:jc w:val="both"/>
      </w:pPr>
      <w:r>
        <w:t>V prípade, ak na základe možnosti upravenej vo výzve RO zistí nesplnenie niektorej z podmienok poskytnutia príspevku, RO rozhodne o neschválení žiadosti.</w:t>
      </w:r>
    </w:p>
    <w:p w14:paraId="52657A64" w14:textId="53351BA1" w:rsidR="00B650E5" w:rsidRDefault="00B650E5">
      <w:pPr>
        <w:numPr>
          <w:ilvl w:val="0"/>
          <w:numId w:val="301"/>
        </w:numPr>
        <w:spacing w:before="120" w:after="120"/>
        <w:ind w:left="426" w:hanging="426"/>
        <w:jc w:val="both"/>
      </w:pPr>
      <w:r>
        <w:t>RO je povinný upraviť spôsob overenia podmienok poskytnutia príspevku počas konania na</w:t>
      </w:r>
      <w:r w:rsidR="00913468">
        <w:t> </w:t>
      </w:r>
      <w:r>
        <w:t xml:space="preserve">mieste vo svojej riadiacej dokumentácii. Ostatné ustanovenia o postupe konania o ŽoNFP podľa </w:t>
      </w:r>
      <w:hyperlink w:anchor="kapitola_32" w:history="1">
        <w:r w:rsidRPr="00913468">
          <w:rPr>
            <w:rStyle w:val="Hypertextovprepojenie"/>
          </w:rPr>
          <w:t xml:space="preserve">kapitoly </w:t>
        </w:r>
        <w:r w:rsidR="00913468" w:rsidRPr="00913468">
          <w:rPr>
            <w:rStyle w:val="Hypertextovprepojenie"/>
          </w:rPr>
          <w:t>3.</w:t>
        </w:r>
        <w:r w:rsidRPr="00913468">
          <w:rPr>
            <w:rStyle w:val="Hypertextovprepojenie"/>
          </w:rPr>
          <w:t>2</w:t>
        </w:r>
      </w:hyperlink>
      <w:r>
        <w:t xml:space="preserve"> sa použijú rovnako.</w:t>
      </w:r>
    </w:p>
    <w:p w14:paraId="1A153A74" w14:textId="77777777" w:rsidR="00B650E5" w:rsidRDefault="00B650E5" w:rsidP="0045286B">
      <w:pPr>
        <w:pStyle w:val="SRK4"/>
      </w:pPr>
      <w:bookmarkStart w:id="227" w:name="_Toc453234000"/>
      <w:bookmarkStart w:id="228" w:name="_Toc495649359"/>
      <w:r>
        <w:t>3.2.1.6 Zverejňovanie</w:t>
      </w:r>
      <w:bookmarkEnd w:id="227"/>
      <w:bookmarkEnd w:id="228"/>
      <w:r>
        <w:t xml:space="preserve"> </w:t>
      </w:r>
    </w:p>
    <w:p w14:paraId="3B702BBD" w14:textId="2395E992" w:rsidR="00B650E5" w:rsidRDefault="00B650E5">
      <w:pPr>
        <w:pStyle w:val="Odsekzoznamu"/>
        <w:numPr>
          <w:ilvl w:val="0"/>
          <w:numId w:val="300"/>
        </w:numPr>
        <w:spacing w:before="120" w:after="120"/>
        <w:ind w:left="426" w:hanging="426"/>
        <w:contextualSpacing w:val="0"/>
        <w:jc w:val="both"/>
      </w:pPr>
      <w:r>
        <w:t>RO zverejní na svojom webovom sídle do 60 pracovných dní od skončenia rozhodovania o</w:t>
      </w:r>
      <w:r w:rsidR="000A6768">
        <w:t> </w:t>
      </w:r>
      <w:r>
        <w:t>ŽoNFP pre každú výzvu zoznam schválených ŽoNFP v poradí určenom na základe aplikácie kritérií pre výber projektov, ktorý obsahuje:</w:t>
      </w:r>
    </w:p>
    <w:p w14:paraId="594AC2F5"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24260DEB" w14:textId="77777777" w:rsidR="00B650E5" w:rsidRDefault="00B650E5">
      <w:pPr>
        <w:pStyle w:val="Odsekzoznamu"/>
        <w:numPr>
          <w:ilvl w:val="1"/>
          <w:numId w:val="300"/>
        </w:numPr>
        <w:spacing w:before="120" w:after="120"/>
        <w:ind w:left="851" w:hanging="425"/>
        <w:contextualSpacing w:val="0"/>
        <w:jc w:val="both"/>
      </w:pPr>
      <w:r>
        <w:t>názov projektu,</w:t>
      </w:r>
    </w:p>
    <w:p w14:paraId="62F0ACD6" w14:textId="77777777" w:rsidR="00B650E5" w:rsidRDefault="00B650E5">
      <w:pPr>
        <w:pStyle w:val="Odsekzoznamu"/>
        <w:numPr>
          <w:ilvl w:val="1"/>
          <w:numId w:val="300"/>
        </w:numPr>
        <w:spacing w:before="120" w:after="120"/>
        <w:ind w:left="851" w:hanging="425"/>
        <w:contextualSpacing w:val="0"/>
        <w:jc w:val="both"/>
      </w:pPr>
      <w:r>
        <w:t>výšku schváleného príspevku,</w:t>
      </w:r>
    </w:p>
    <w:p w14:paraId="46237DFC"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5AA50A22" w14:textId="1A52069C" w:rsidR="00B650E5" w:rsidRDefault="00B650E5">
      <w:pPr>
        <w:pStyle w:val="Odsekzoznamu"/>
        <w:numPr>
          <w:ilvl w:val="0"/>
          <w:numId w:val="300"/>
        </w:numPr>
        <w:spacing w:before="120" w:after="120"/>
        <w:ind w:left="425" w:hanging="425"/>
        <w:contextualSpacing w:val="0"/>
        <w:jc w:val="both"/>
      </w:pPr>
      <w:r>
        <w:lastRenderedPageBreak/>
        <w:t>RO zverejní na svojom webovom sídle do 60 pracovných dní od skončenia rozhodovania o</w:t>
      </w:r>
      <w:r w:rsidR="000A6768">
        <w:t> </w:t>
      </w:r>
      <w:r>
        <w:t>ŽoNFP pre každú výzvu zoznam neschválených ŽoNFP v poradí určenom na základe aplikácie kritérií pre výber projektov, ktorý obsahuje:</w:t>
      </w:r>
    </w:p>
    <w:p w14:paraId="08828F2D"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13BB5624" w14:textId="77777777" w:rsidR="00B650E5" w:rsidRDefault="00B650E5">
      <w:pPr>
        <w:pStyle w:val="Odsekzoznamu"/>
        <w:numPr>
          <w:ilvl w:val="1"/>
          <w:numId w:val="300"/>
        </w:numPr>
        <w:spacing w:before="120" w:after="120"/>
        <w:ind w:left="851" w:hanging="425"/>
        <w:contextualSpacing w:val="0"/>
        <w:jc w:val="both"/>
      </w:pPr>
      <w:r>
        <w:t>názov projektu,</w:t>
      </w:r>
    </w:p>
    <w:p w14:paraId="14E45DAD" w14:textId="77777777" w:rsidR="00B650E5" w:rsidRDefault="00B650E5">
      <w:pPr>
        <w:pStyle w:val="Odsekzoznamu"/>
        <w:numPr>
          <w:ilvl w:val="1"/>
          <w:numId w:val="300"/>
        </w:numPr>
        <w:spacing w:before="120" w:after="120"/>
        <w:ind w:left="851" w:hanging="425"/>
        <w:contextualSpacing w:val="0"/>
        <w:jc w:val="both"/>
      </w:pPr>
      <w:r>
        <w:t>dôvody neschválenia žiadosti,</w:t>
      </w:r>
    </w:p>
    <w:p w14:paraId="17EA6AF9"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1716A3FB" w14:textId="02C4470E" w:rsidR="00B650E5" w:rsidRDefault="00B650E5">
      <w:pPr>
        <w:pStyle w:val="Odsekzoznamu"/>
        <w:numPr>
          <w:ilvl w:val="0"/>
          <w:numId w:val="300"/>
        </w:numPr>
        <w:tabs>
          <w:tab w:val="left" w:pos="426"/>
        </w:tabs>
        <w:spacing w:before="120" w:after="120"/>
        <w:ind w:left="426" w:hanging="426"/>
        <w:contextualSpacing w:val="0"/>
        <w:jc w:val="both"/>
      </w:pPr>
      <w:r>
        <w:t xml:space="preserve">RO je povinný vložiť do ITMS 2014+ ku každej </w:t>
      </w:r>
      <w:r w:rsidR="00301105">
        <w:t>výzve zoznam</w:t>
      </w:r>
      <w:r>
        <w:t xml:space="preserve"> odborných hodnotiteľov</w:t>
      </w:r>
      <w:r w:rsidR="00301105">
        <w:t xml:space="preserve"> výzvy</w:t>
      </w:r>
      <w:r>
        <w:t xml:space="preserve">, ktorí ŽoNFP hodnotili </w:t>
      </w:r>
      <w:r w:rsidR="00301105">
        <w:t>(</w:t>
      </w:r>
      <w:r w:rsidR="00301105">
        <w:rPr>
          <w:szCs w:val="22"/>
          <w:lang w:eastAsia="en-US"/>
        </w:rPr>
        <w:t>vo formáte PDF, v súlade s Výnosom MF SR o informačných systémoch verejnej správy, bez identifikácie ŽoNFP, ktoré hodnotili jednotliví odborní hodnotitelia)</w:t>
      </w:r>
      <w:r w:rsidR="00301105">
        <w:t xml:space="preserve"> </w:t>
      </w:r>
      <w:r>
        <w:t>v rozsahu titul, meno, priezvisko</w:t>
      </w:r>
      <w:r>
        <w:rPr>
          <w:rStyle w:val="Odkaznapoznmkupodiarou"/>
        </w:rPr>
        <w:footnoteReference w:id="52"/>
      </w:r>
      <w:r>
        <w:t xml:space="preserve">. </w:t>
      </w:r>
    </w:p>
    <w:p w14:paraId="5A9D9FA3" w14:textId="705B14D9" w:rsidR="00B650E5" w:rsidRDefault="00B650E5">
      <w:pPr>
        <w:pStyle w:val="Odsekzoznamu"/>
        <w:numPr>
          <w:ilvl w:val="0"/>
          <w:numId w:val="300"/>
        </w:numPr>
        <w:tabs>
          <w:tab w:val="left" w:pos="426"/>
        </w:tabs>
        <w:spacing w:before="120" w:after="120"/>
        <w:ind w:left="426" w:hanging="426"/>
        <w:contextualSpacing w:val="0"/>
        <w:jc w:val="both"/>
      </w:pPr>
      <w:r>
        <w:t xml:space="preserve">CKO na základe údajov získaných z ITMS 2014+ alebo v nevyhnutných prípadoch na základe žiadosti CKO poskytnutých od RO zverejňuje na webovom sídle </w:t>
      </w:r>
      <w:hyperlink r:id="rId119" w:history="1">
        <w:r w:rsidR="00766DB4" w:rsidRPr="00766DB4">
          <w:rPr>
            <w:rStyle w:val="Hypertextovprepojenie"/>
          </w:rPr>
          <w:t>www.partnerskadohoda.gov</w:t>
        </w:r>
        <w:r w:rsidR="00766DB4" w:rsidRPr="00F90694">
          <w:rPr>
            <w:rStyle w:val="Hypertextovprepojenie"/>
          </w:rPr>
          <w:t>.sk</w:t>
        </w:r>
      </w:hyperlink>
      <w:r w:rsidR="00766DB4">
        <w:t xml:space="preserve"> </w:t>
      </w:r>
      <w:r>
        <w:t xml:space="preserve">údaje o zmluvách, ktoré nadobudli účinnosť a o právoplatných rozhodnutiach o schválení vydaných v prípadoch totožnosti RO a prijímateľa informácie podľa čl. 115 ods. 2 a ods. 1 prílohy XII všeobecného nariadenia. </w:t>
      </w:r>
      <w:r w:rsidR="00DA5FB9">
        <w:t>RO zverej</w:t>
      </w:r>
      <w:r w:rsidR="00301105">
        <w:t>ňuje</w:t>
      </w:r>
      <w:r w:rsidR="00DA5FB9">
        <w:t xml:space="preserve"> prostredníctvom funkcionality ITMS</w:t>
      </w:r>
      <w:r w:rsidR="0023261D">
        <w:t xml:space="preserve"> </w:t>
      </w:r>
      <w:r w:rsidR="00DA5FB9">
        <w:t xml:space="preserve">2014+ </w:t>
      </w:r>
      <w:r w:rsidR="00301105">
        <w:t xml:space="preserve">spoločné </w:t>
      </w:r>
      <w:r w:rsidR="00DA5FB9">
        <w:t xml:space="preserve">hodnotiace hárky odborného hodnotenia ŽoNFP na webovom sídle </w:t>
      </w:r>
      <w:hyperlink r:id="rId120" w:history="1">
        <w:r w:rsidR="00DA5FB9" w:rsidRPr="00DA5FB9">
          <w:rPr>
            <w:rStyle w:val="Hypertextovprepojenie"/>
          </w:rPr>
          <w:t>www.itms2014.sk</w:t>
        </w:r>
      </w:hyperlink>
      <w:r>
        <w:t>.</w:t>
      </w:r>
      <w:r w:rsidR="00B75B6A">
        <w:t xml:space="preserve"> </w:t>
      </w:r>
      <w:r w:rsidR="00B75B6A" w:rsidRPr="0018116E">
        <w:t>V prípade, ak RO pripravuje v zmysle svojej riadiacej dokumentácie závery z hodnotenia každej ŽoNFP (minimálne v rozsahu, ktorý uplatňuje EK v rámci programu Horizont 2020), je RO oprávnený zverejniť namiesto spoločného hodnotiaceho hárku tieto závery.</w:t>
      </w:r>
    </w:p>
    <w:p w14:paraId="6C0206AE" w14:textId="77777777" w:rsidR="00B650E5" w:rsidRDefault="00B650E5">
      <w:pPr>
        <w:pStyle w:val="SRK3"/>
      </w:pPr>
      <w:bookmarkStart w:id="229" w:name="_Toc453234001"/>
      <w:bookmarkStart w:id="230" w:name="_Toc495649360"/>
      <w:bookmarkStart w:id="231" w:name="kapitola_322"/>
      <w:r>
        <w:t>3.2.2 Schvaľovací proces pr</w:t>
      </w:r>
      <w:bookmarkEnd w:id="224"/>
      <w:r>
        <w:t>i využití dvojkolového procesu výberu</w:t>
      </w:r>
      <w:bookmarkEnd w:id="229"/>
      <w:bookmarkEnd w:id="230"/>
    </w:p>
    <w:bookmarkEnd w:id="231"/>
    <w:p w14:paraId="24C73294" w14:textId="77777777" w:rsidR="00B650E5" w:rsidRDefault="00B650E5">
      <w:pPr>
        <w:numPr>
          <w:ilvl w:val="0"/>
          <w:numId w:val="95"/>
        </w:numPr>
        <w:spacing w:before="120" w:after="120"/>
        <w:ind w:left="426" w:hanging="426"/>
        <w:jc w:val="both"/>
        <w:rPr>
          <w:szCs w:val="22"/>
          <w:lang w:eastAsia="en-US"/>
        </w:rPr>
      </w:pPr>
      <w:r>
        <w:rPr>
          <w:szCs w:val="22"/>
          <w:lang w:eastAsia="en-US"/>
        </w:rPr>
        <w:t>Ak RO pred vyhlásením výzvy vyhlásil výzvu na predkladanie projektových zámerov, RO v schvaľovacom procese aplikuje postupy uvedené v tejto podkapitole.</w:t>
      </w:r>
    </w:p>
    <w:p w14:paraId="6735249E" w14:textId="77777777" w:rsidR="00B650E5" w:rsidRDefault="00B650E5" w:rsidP="0045286B">
      <w:pPr>
        <w:pStyle w:val="SRK4"/>
      </w:pPr>
      <w:bookmarkStart w:id="232" w:name="_Toc453234002"/>
      <w:bookmarkStart w:id="233" w:name="_Toc495649361"/>
      <w:r>
        <w:t>3.2.2.1 Posudzovanie projektových zámerov</w:t>
      </w:r>
      <w:bookmarkEnd w:id="232"/>
      <w:bookmarkEnd w:id="233"/>
    </w:p>
    <w:p w14:paraId="7CCAB469"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príjem projektových zámerov odo dňa vyhlásenia výzvy na predkladanie projektových zámerov do jej uzavretia. Na postup pri predkladaní projektových zámerov sa uplatnia ustanovenia platné na predkladanie ŽoNFP.</w:t>
      </w:r>
    </w:p>
    <w:p w14:paraId="07781962" w14:textId="77777777" w:rsidR="00B650E5" w:rsidRDefault="00B650E5">
      <w:pPr>
        <w:numPr>
          <w:ilvl w:val="0"/>
          <w:numId w:val="96"/>
        </w:numPr>
        <w:spacing w:before="120" w:after="120"/>
        <w:ind w:left="426" w:hanging="426"/>
        <w:jc w:val="both"/>
        <w:rPr>
          <w:szCs w:val="22"/>
          <w:lang w:eastAsia="en-US"/>
        </w:rPr>
      </w:pPr>
      <w:r>
        <w:rPr>
          <w:szCs w:val="22"/>
          <w:lang w:eastAsia="en-US"/>
        </w:rPr>
        <w:t>Pri predloženom projektovom zámere RO posudzuje splnenie podmienok určených vo výzve, pričom výsledkom zhodnotenia projektového zámeru je hodnotiaca správa (vzor</w:t>
      </w:r>
      <w:r>
        <w:rPr>
          <w:rStyle w:val="Odkaznapoznmkupodiarou"/>
          <w:szCs w:val="22"/>
          <w:lang w:eastAsia="en-US"/>
        </w:rPr>
        <w:footnoteReference w:id="53"/>
      </w:r>
      <w:r>
        <w:rPr>
          <w:szCs w:val="22"/>
          <w:lang w:eastAsia="en-US"/>
        </w:rPr>
        <w:t xml:space="preserve"> vydáva CKO), ktorá sa doručuje žiadateľovi.</w:t>
      </w:r>
    </w:p>
    <w:p w14:paraId="2572742F" w14:textId="0C09310D" w:rsidR="00B650E5" w:rsidRDefault="00B650E5">
      <w:pPr>
        <w:numPr>
          <w:ilvl w:val="0"/>
          <w:numId w:val="96"/>
        </w:numPr>
        <w:spacing w:before="120" w:after="120"/>
        <w:ind w:left="426" w:hanging="426"/>
        <w:jc w:val="both"/>
        <w:rPr>
          <w:szCs w:val="22"/>
          <w:lang w:eastAsia="en-US"/>
        </w:rPr>
      </w:pPr>
      <w:r>
        <w:rPr>
          <w:szCs w:val="22"/>
          <w:lang w:eastAsia="en-US"/>
        </w:rPr>
        <w:t>RO pri hodnotení projektových zámerov postupuje primerane podľa ustanovení o konaní o ŽoNFP, pričom procesy primerane upraví s ohľadom na charakter posudzovania projektového zámeru. Za týmto účelom nie je RO povinný pri posudzovaní projektových zámerov vykonať odborné hodnoteni</w:t>
      </w:r>
      <w:r w:rsidR="000A6768">
        <w:rPr>
          <w:szCs w:val="22"/>
          <w:lang w:eastAsia="en-US"/>
        </w:rPr>
        <w:t>e</w:t>
      </w:r>
      <w:r>
        <w:rPr>
          <w:szCs w:val="22"/>
          <w:lang w:eastAsia="en-US"/>
        </w:rPr>
        <w:t>, ak podmienky stanovené vo výzve na predkladanie projektových zámerov sú objektívne overiteľné v rámci administratívneho overenia.</w:t>
      </w:r>
    </w:p>
    <w:p w14:paraId="32DFEFAA" w14:textId="77777777" w:rsidR="00B650E5" w:rsidRDefault="00B650E5">
      <w:pPr>
        <w:numPr>
          <w:ilvl w:val="0"/>
          <w:numId w:val="96"/>
        </w:numPr>
        <w:spacing w:before="120" w:after="120"/>
        <w:ind w:left="426" w:hanging="426"/>
        <w:jc w:val="both"/>
        <w:rPr>
          <w:szCs w:val="22"/>
          <w:lang w:eastAsia="en-US"/>
        </w:rPr>
      </w:pPr>
      <w:r>
        <w:rPr>
          <w:szCs w:val="22"/>
          <w:lang w:eastAsia="en-US"/>
        </w:rPr>
        <w:lastRenderedPageBreak/>
        <w:t>RO v rámci posúdenia projektového zámeru nevydáva rozhodnutie, ale posúdenie splnenia podmienok stanovených vo výzve na predkladanie projektových zámerov je súčasťou hodnotiacej správy.</w:t>
      </w:r>
    </w:p>
    <w:p w14:paraId="53FA1643" w14:textId="4203426C" w:rsidR="00B650E5" w:rsidRPr="00EA316A" w:rsidRDefault="00B650E5">
      <w:pPr>
        <w:numPr>
          <w:ilvl w:val="0"/>
          <w:numId w:val="96"/>
        </w:numPr>
        <w:spacing w:before="120" w:after="120"/>
        <w:ind w:left="426" w:hanging="426"/>
        <w:jc w:val="both"/>
        <w:rPr>
          <w:szCs w:val="22"/>
          <w:lang w:eastAsia="en-US"/>
        </w:rPr>
      </w:pPr>
      <w:r>
        <w:rPr>
          <w:szCs w:val="22"/>
          <w:lang w:eastAsia="en-US"/>
        </w:rPr>
        <w:t>RO je v rámci posúdenia projektového zámeru povinný umožniť žiadateľov</w:t>
      </w:r>
      <w:r w:rsidR="00742DC5">
        <w:rPr>
          <w:szCs w:val="22"/>
          <w:lang w:eastAsia="en-US"/>
        </w:rPr>
        <w:t>i</w:t>
      </w:r>
      <w:r>
        <w:rPr>
          <w:szCs w:val="22"/>
          <w:lang w:eastAsia="en-US"/>
        </w:rPr>
        <w:t xml:space="preserve"> doplniť neúplný projektový zámer alebo vysvetliť skutočnosti, v dôsledku ktorých došlo k pochybnosti o pravdivosti projektového zámeru. RO v rámci výzvy na doplnenie projektového zámeru postupuje rovnako</w:t>
      </w:r>
      <w:r w:rsidR="000A6768">
        <w:rPr>
          <w:szCs w:val="22"/>
          <w:lang w:eastAsia="en-US"/>
        </w:rPr>
        <w:t>, ako</w:t>
      </w:r>
      <w:r>
        <w:rPr>
          <w:szCs w:val="22"/>
          <w:lang w:eastAsia="en-US"/>
        </w:rPr>
        <w:t xml:space="preserve"> pri vypracovaní výzvy na doplnenie ŽoNFP, pričom minimálna lehota na</w:t>
      </w:r>
      <w:r w:rsidR="000A6768">
        <w:rPr>
          <w:szCs w:val="22"/>
          <w:lang w:eastAsia="en-US"/>
        </w:rPr>
        <w:t> </w:t>
      </w:r>
      <w:r>
        <w:rPr>
          <w:szCs w:val="22"/>
          <w:lang w:eastAsia="en-US"/>
        </w:rPr>
        <w:t>doplnenie chýbajúcich náležitostí zo strany žiadateľa je 5 pracovných dní.</w:t>
      </w:r>
      <w:r w:rsidRPr="00DD1F29">
        <w:t xml:space="preserve"> </w:t>
      </w:r>
      <w:r w:rsidRPr="00AD420A">
        <w:t xml:space="preserve">Ak sa žiadateľ </w:t>
      </w:r>
      <w:r w:rsidRPr="00EA316A">
        <w:t>nevyjadrí v uvedenej lehote alebo existujú iné dôvody</w:t>
      </w:r>
      <w:r w:rsidR="008E01DC">
        <w:t>,</w:t>
      </w:r>
      <w:r w:rsidRPr="00EA316A">
        <w:t xml:space="preserve"> uvedené v § 20 zákona o príspevku z</w:t>
      </w:r>
      <w:r w:rsidR="008E01DC">
        <w:t> </w:t>
      </w:r>
      <w:r w:rsidRPr="00EA316A">
        <w:t>EŠIF</w:t>
      </w:r>
      <w:r w:rsidR="008E01DC">
        <w:t>, ktoré sa aplikujú</w:t>
      </w:r>
      <w:r w:rsidRPr="00EA316A">
        <w:t xml:space="preserve"> na zastavenie konania, </w:t>
      </w:r>
      <w:r w:rsidR="00FC3B41">
        <w:t>RO</w:t>
      </w:r>
      <w:r w:rsidRPr="00EA316A">
        <w:t xml:space="preserve"> postupuje primerane podľa § 20 zákona o príspevku z EŠIF a</w:t>
      </w:r>
      <w:r w:rsidRPr="00997CB0">
        <w:t> </w:t>
      </w:r>
      <w:r w:rsidRPr="00EA316A">
        <w:t>posudzovanie projektového zámeru zastaví.</w:t>
      </w:r>
    </w:p>
    <w:p w14:paraId="3C34E973" w14:textId="1217F284" w:rsidR="00B650E5" w:rsidRDefault="00B650E5">
      <w:pPr>
        <w:numPr>
          <w:ilvl w:val="0"/>
          <w:numId w:val="96"/>
        </w:numPr>
        <w:spacing w:before="120" w:after="120"/>
        <w:ind w:left="426" w:hanging="426"/>
        <w:jc w:val="both"/>
        <w:rPr>
          <w:szCs w:val="22"/>
          <w:lang w:eastAsia="en-US"/>
        </w:rPr>
      </w:pPr>
      <w:r>
        <w:rPr>
          <w:szCs w:val="22"/>
          <w:lang w:eastAsia="en-US"/>
        </w:rPr>
        <w:t>RO po posúdení projektového zámeru vo vzťahu k podmienkam stanoveným vo výzve na</w:t>
      </w:r>
      <w:r w:rsidR="000A6768">
        <w:rPr>
          <w:szCs w:val="22"/>
          <w:lang w:eastAsia="en-US"/>
        </w:rPr>
        <w:t> </w:t>
      </w:r>
      <w:r>
        <w:rPr>
          <w:szCs w:val="22"/>
          <w:lang w:eastAsia="en-US"/>
        </w:rPr>
        <w:t>predkladanie projektových zámerov vydá žiadateľovi hodnotiacu správu, v ktorej uvedie, či boli splnené podmienky stanovené vo výzve na predkladanie projektových zámerov alebo niektorá/niektoré z podmienok splnené neboli.</w:t>
      </w:r>
    </w:p>
    <w:p w14:paraId="54ECA3D6" w14:textId="77777777" w:rsidR="00B650E5" w:rsidRDefault="00B650E5">
      <w:pPr>
        <w:numPr>
          <w:ilvl w:val="0"/>
          <w:numId w:val="96"/>
        </w:numPr>
        <w:spacing w:before="120" w:after="120"/>
        <w:ind w:left="426" w:hanging="426"/>
        <w:jc w:val="both"/>
        <w:rPr>
          <w:szCs w:val="22"/>
          <w:lang w:eastAsia="en-US"/>
        </w:rPr>
      </w:pPr>
      <w:r>
        <w:rPr>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14:paraId="15563863"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vydanie hodnotiacej správy pri všetkých projektových zámeroch, ktoré boli predmetom schvaľovacieho procesu najneskôr v termíne:</w:t>
      </w:r>
    </w:p>
    <w:p w14:paraId="27BDFA2B" w14:textId="3BBF7E28"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na predkladanie projektových zámer uvedeného vo</w:t>
      </w:r>
      <w:r w:rsidR="000A6768">
        <w:rPr>
          <w:szCs w:val="22"/>
          <w:lang w:eastAsia="en-US"/>
        </w:rPr>
        <w:t> </w:t>
      </w:r>
      <w:r>
        <w:rPr>
          <w:szCs w:val="22"/>
          <w:lang w:eastAsia="en-US"/>
        </w:rPr>
        <w:t>výzve v prípade uzavretej výzvy</w:t>
      </w:r>
      <w:r w:rsidR="000A6768">
        <w:rPr>
          <w:szCs w:val="22"/>
          <w:lang w:eastAsia="en-US"/>
        </w:rPr>
        <w:t>;</w:t>
      </w:r>
    </w:p>
    <w:p w14:paraId="3E33130C"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príslušného posudzovaného časového obdobia výzvy v prípade otvorenej výzvy.</w:t>
      </w:r>
    </w:p>
    <w:p w14:paraId="486E7B84" w14:textId="0A3189AA" w:rsidR="00B650E5" w:rsidRDefault="00B650E5">
      <w:pPr>
        <w:spacing w:before="120" w:after="120"/>
        <w:jc w:val="both"/>
        <w:rPr>
          <w:szCs w:val="22"/>
          <w:lang w:eastAsia="en-US"/>
        </w:rPr>
      </w:pPr>
      <w:r>
        <w:rPr>
          <w:szCs w:val="22"/>
          <w:lang w:eastAsia="en-US"/>
        </w:rPr>
        <w:t>Do lehoty na vydanie hodnotiacej správy sa nezapočítava doba potrebná na predloženie náležitostí zo</w:t>
      </w:r>
      <w:r w:rsidR="000A6768">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0A6768">
        <w:rPr>
          <w:szCs w:val="22"/>
          <w:lang w:eastAsia="en-US"/>
        </w:rPr>
        <w:t> </w:t>
      </w:r>
      <w:r>
        <w:rPr>
          <w:szCs w:val="22"/>
          <w:lang w:eastAsia="en-US"/>
        </w:rPr>
        <w:t>doplnenie chýbajúcich náležitostí a začína plynúť momentom doručenia náležitostí na RO).</w:t>
      </w:r>
    </w:p>
    <w:p w14:paraId="51854DB8" w14:textId="77777777" w:rsidR="00B650E5" w:rsidRDefault="00B650E5">
      <w:pPr>
        <w:spacing w:before="120" w:after="120"/>
        <w:ind w:left="426"/>
        <w:jc w:val="both"/>
        <w:rPr>
          <w:szCs w:val="22"/>
          <w:lang w:eastAsia="en-US"/>
        </w:rPr>
      </w:pPr>
    </w:p>
    <w:p w14:paraId="020372B9" w14:textId="77777777" w:rsidR="00B650E5" w:rsidRDefault="0053588C">
      <w:pPr>
        <w:spacing w:before="120" w:after="120"/>
        <w:jc w:val="both"/>
      </w:pPr>
      <w:r>
        <w:rPr>
          <w:noProof/>
        </w:rPr>
        <w:lastRenderedPageBreak/>
        <w:drawing>
          <wp:inline distT="0" distB="0" distL="0" distR="0" wp14:anchorId="7A5C0CEC" wp14:editId="3868ADF3">
            <wp:extent cx="5486400" cy="3214370"/>
            <wp:effectExtent l="0" t="38100" r="0" b="119380"/>
            <wp:docPr id="10"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1" r:lo="rId122" r:qs="rId123" r:cs="rId124"/>
              </a:graphicData>
            </a:graphic>
          </wp:inline>
        </w:drawing>
      </w:r>
    </w:p>
    <w:p w14:paraId="5954E5BE" w14:textId="77777777" w:rsidR="00B650E5" w:rsidRDefault="00B650E5">
      <w:pPr>
        <w:spacing w:before="120" w:after="120"/>
        <w:jc w:val="center"/>
        <w:rPr>
          <w:sz w:val="18"/>
          <w:szCs w:val="16"/>
          <w:lang w:eastAsia="en-US"/>
        </w:rPr>
      </w:pPr>
      <w:r>
        <w:rPr>
          <w:sz w:val="18"/>
          <w:szCs w:val="16"/>
          <w:lang w:eastAsia="en-US"/>
        </w:rPr>
        <w:t>Posúdenie projektového zámeru</w:t>
      </w:r>
    </w:p>
    <w:p w14:paraId="28FE8F41" w14:textId="68255A20" w:rsidR="00B650E5" w:rsidRDefault="00B650E5" w:rsidP="0045286B">
      <w:pPr>
        <w:pStyle w:val="SRK4"/>
      </w:pPr>
      <w:bookmarkStart w:id="234" w:name="_Toc453234003"/>
      <w:bookmarkStart w:id="235" w:name="_Toc495649362"/>
      <w:bookmarkStart w:id="236" w:name="kapitola_3222"/>
      <w:r>
        <w:t>3.2.2.2 Zohľadnenie výsledkov posúdenia projektových zámerov pri vyhlásení výzvy a konaní o žiadostiach o poskytnutí nenávratného finančného príspevk</w:t>
      </w:r>
      <w:bookmarkEnd w:id="234"/>
      <w:r>
        <w:t>u</w:t>
      </w:r>
      <w:bookmarkEnd w:id="235"/>
    </w:p>
    <w:bookmarkEnd w:id="236"/>
    <w:p w14:paraId="48CA8A4D" w14:textId="4F4CBBBC" w:rsidR="00B650E5" w:rsidRDefault="00B650E5">
      <w:pPr>
        <w:numPr>
          <w:ilvl w:val="0"/>
          <w:numId w:val="98"/>
        </w:numPr>
        <w:spacing w:before="120" w:after="120"/>
        <w:ind w:left="426" w:hanging="426"/>
        <w:jc w:val="both"/>
        <w:rPr>
          <w:szCs w:val="22"/>
          <w:lang w:eastAsia="en-US"/>
        </w:rPr>
      </w:pPr>
      <w:r>
        <w:rPr>
          <w:szCs w:val="22"/>
          <w:lang w:eastAsia="en-US"/>
        </w:rPr>
        <w:t>Ak vyhláseniu výzvy predchádzalo posudzovanie projektových zámerov, RO je oprávnený vo</w:t>
      </w:r>
      <w:r w:rsidR="000A6768">
        <w:rPr>
          <w:szCs w:val="22"/>
          <w:lang w:eastAsia="en-US"/>
        </w:rPr>
        <w:t> </w:t>
      </w:r>
      <w:r>
        <w:rPr>
          <w:szCs w:val="22"/>
          <w:lang w:eastAsia="en-US"/>
        </w:rPr>
        <w:t xml:space="preserve">výzve stanoviť ako povinnú podmienku poskytnutia príspevku </w:t>
      </w:r>
      <w:r w:rsidR="000A6768">
        <w:rPr>
          <w:szCs w:val="22"/>
          <w:lang w:eastAsia="en-US"/>
        </w:rPr>
        <w:t xml:space="preserve">mať </w:t>
      </w:r>
      <w:r>
        <w:rPr>
          <w:szCs w:val="22"/>
          <w:lang w:eastAsia="en-US"/>
        </w:rPr>
        <w:t>hodnotiacu správu ako povinnú prílohu ŽoNFP.</w:t>
      </w:r>
    </w:p>
    <w:p w14:paraId="40334D44" w14:textId="77777777" w:rsidR="00B650E5" w:rsidRDefault="0053588C">
      <w:pPr>
        <w:spacing w:before="120" w:after="120"/>
        <w:jc w:val="both"/>
      </w:pPr>
      <w:r>
        <w:rPr>
          <w:noProof/>
        </w:rPr>
        <w:drawing>
          <wp:inline distT="0" distB="0" distL="0" distR="0" wp14:anchorId="22E612A1" wp14:editId="6F656BAC">
            <wp:extent cx="5468620" cy="3191510"/>
            <wp:effectExtent l="57150" t="0" r="93980" b="0"/>
            <wp:docPr id="11" name="Diagram 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6" r:lo="rId127" r:qs="rId128" r:cs="rId129"/>
              </a:graphicData>
            </a:graphic>
          </wp:inline>
        </w:drawing>
      </w:r>
    </w:p>
    <w:p w14:paraId="0B27FB27" w14:textId="77777777" w:rsidR="00B650E5" w:rsidRDefault="00B650E5">
      <w:pPr>
        <w:spacing w:before="120" w:after="120"/>
        <w:jc w:val="center"/>
        <w:rPr>
          <w:sz w:val="18"/>
          <w:szCs w:val="18"/>
        </w:rPr>
      </w:pPr>
      <w:r>
        <w:rPr>
          <w:sz w:val="18"/>
          <w:szCs w:val="18"/>
        </w:rPr>
        <w:t>Zohľadnenie prvého kola výberu v rámci prípravy výzvy a schvaľovania ŽoNFP</w:t>
      </w:r>
    </w:p>
    <w:p w14:paraId="17DACBA8" w14:textId="77777777" w:rsidR="00B650E5" w:rsidRDefault="00B650E5">
      <w:pPr>
        <w:numPr>
          <w:ilvl w:val="0"/>
          <w:numId w:val="98"/>
        </w:numPr>
        <w:spacing w:before="120" w:after="120"/>
        <w:ind w:left="426" w:hanging="426"/>
        <w:jc w:val="both"/>
        <w:rPr>
          <w:szCs w:val="22"/>
          <w:lang w:eastAsia="en-US"/>
        </w:rPr>
      </w:pPr>
      <w:r>
        <w:rPr>
          <w:szCs w:val="22"/>
          <w:lang w:eastAsia="en-US"/>
        </w:rPr>
        <w:t xml:space="preserve">RO je v rámci podmienok výzvy oprávnený zadefinovať rozsah údajov, ktoré nie je možné v porovnaní s posudzovaným projektovým zámerom zmeniť, resp. prípustnú toleranciu zmien (napr. pri hodnotách merateľných ukazovateľov, výške oprávnených výdavkov a pod.). Splnenie </w:t>
      </w:r>
      <w:r>
        <w:rPr>
          <w:szCs w:val="22"/>
          <w:lang w:eastAsia="en-US"/>
        </w:rPr>
        <w:lastRenderedPageBreak/>
        <w:t>týchto podmienok RO overuje v rámci ďalších podmienok poskytnutia príspevku vo vzťahu k predloženým ŽoNFP.</w:t>
      </w:r>
    </w:p>
    <w:p w14:paraId="3FC3A042" w14:textId="77777777" w:rsidR="00B650E5" w:rsidRDefault="00B650E5">
      <w:pPr>
        <w:numPr>
          <w:ilvl w:val="0"/>
          <w:numId w:val="98"/>
        </w:numPr>
        <w:spacing w:before="120" w:after="120"/>
        <w:ind w:left="426" w:hanging="426"/>
        <w:jc w:val="both"/>
        <w:rPr>
          <w:szCs w:val="22"/>
          <w:lang w:eastAsia="en-US"/>
        </w:rPr>
      </w:pPr>
      <w:r>
        <w:rPr>
          <w:szCs w:val="22"/>
          <w:lang w:eastAsia="en-US"/>
        </w:rPr>
        <w:t xml:space="preserve">V konaní o ŽoNFP RO prihliada na výsledky uvedené v hodnotiacej správe vo fáze výberu ŽoNFP, ak pri ŽoNFP, ktoré splnili všetky podmienky poskytnutia príspevku nie je dostatočná alokácia určená vo výzve na podporu všetkých ŽoNFP. V takom prípade RO zoradí ŽoNFP, ktoré splnili podmienky poskytnutia príspevku na základe výsledkov odborného hodnotenia tak, že vytvorí dve skupiny. </w:t>
      </w:r>
    </w:p>
    <w:p w14:paraId="4EE7CE9B" w14:textId="77777777" w:rsidR="00B650E5" w:rsidRDefault="00B650E5">
      <w:pPr>
        <w:numPr>
          <w:ilvl w:val="0"/>
          <w:numId w:val="99"/>
        </w:numPr>
        <w:spacing w:before="120" w:after="120"/>
        <w:ind w:left="850" w:hanging="425"/>
        <w:jc w:val="both"/>
        <w:rPr>
          <w:bCs/>
          <w:iCs/>
          <w:szCs w:val="22"/>
          <w:lang w:eastAsia="en-US"/>
        </w:rPr>
      </w:pPr>
      <w:r>
        <w:rPr>
          <w:b/>
          <w:bCs/>
          <w:iCs/>
          <w:szCs w:val="22"/>
          <w:lang w:eastAsia="en-US"/>
        </w:rPr>
        <w:t>Prvá skupina ŽoNFP</w:t>
      </w:r>
      <w:r>
        <w:rPr>
          <w:bCs/>
          <w:iCs/>
          <w:szCs w:val="22"/>
          <w:lang w:eastAsia="en-US"/>
        </w:rPr>
        <w:t xml:space="preserve"> je vytvorená zo ŽoNFP, ktoré splnili podmienky poskytnutia príspevku a ktoré zároveň obsahovali pozitívnu hodnotiacu správu. Z takto vytvorenej skupiny ŽoNFP RO podľa poradia schváli ŽoNFP do výšky finančných prostriedkov určených na výzvu. </w:t>
      </w:r>
    </w:p>
    <w:p w14:paraId="2DEDE6DA" w14:textId="77777777" w:rsidR="00B650E5" w:rsidRDefault="00B650E5">
      <w:pPr>
        <w:numPr>
          <w:ilvl w:val="0"/>
          <w:numId w:val="99"/>
        </w:numPr>
        <w:spacing w:before="120" w:after="120"/>
        <w:ind w:left="850" w:hanging="425"/>
        <w:jc w:val="both"/>
        <w:rPr>
          <w:bCs/>
          <w:iCs/>
          <w:szCs w:val="22"/>
          <w:lang w:eastAsia="en-US"/>
        </w:rPr>
      </w:pPr>
      <w:r>
        <w:rPr>
          <w:b/>
          <w:bCs/>
          <w:iCs/>
          <w:szCs w:val="22"/>
          <w:lang w:eastAsia="en-US"/>
        </w:rPr>
        <w:t>Druhá skupina ŽoNFP</w:t>
      </w:r>
      <w:r>
        <w:rPr>
          <w:bCs/>
          <w:iCs/>
          <w:szCs w:val="22"/>
          <w:lang w:eastAsia="en-US"/>
        </w:rPr>
        <w:t xml:space="preserve"> je vytvorená zo ŽoNFP, ktoré splnili podmienky poskytnutia príspevku a ktoré obsahovali negatívnu hodnotiacu správu. V rámci tejto skupiny ŽoNFP RO schváli ŽoNFP podľa určeného poradia za podmienky, že schválením ŽoNFP v prvej skupine neboli vyčerpané finančné prostriedky určené vo výzve.</w:t>
      </w:r>
    </w:p>
    <w:p w14:paraId="1ABE0B2B" w14:textId="77777777" w:rsidR="00B650E5" w:rsidRDefault="00B650E5">
      <w:pPr>
        <w:spacing w:before="120" w:after="120"/>
        <w:ind w:left="426"/>
        <w:jc w:val="both"/>
      </w:pPr>
      <w:r>
        <w:t xml:space="preserve">Ak RO pri výbere projektov aplikuje okrem počtu dosiahnutých bodov aj výberové kritériá, RO rovnako aplikuje dané kritériá v rámci vytvárania prvej a druhej skupiny </w:t>
      </w:r>
      <w:r>
        <w:rPr>
          <w:bCs/>
          <w:iCs/>
          <w:szCs w:val="22"/>
          <w:lang w:eastAsia="en-US"/>
        </w:rPr>
        <w:t>ŽoNFP</w:t>
      </w:r>
      <w:r>
        <w:t xml:space="preserve"> podľa tohto odseku.</w:t>
      </w:r>
    </w:p>
    <w:p w14:paraId="07BF3F86" w14:textId="77777777" w:rsidR="00B650E5" w:rsidRDefault="0053588C">
      <w:pPr>
        <w:spacing w:before="120" w:after="120"/>
      </w:pPr>
      <w:r>
        <w:rPr>
          <w:noProof/>
        </w:rPr>
        <w:drawing>
          <wp:inline distT="0" distB="0" distL="0" distR="0" wp14:anchorId="20E0A6BD" wp14:editId="656960DF">
            <wp:extent cx="5805805" cy="2775585"/>
            <wp:effectExtent l="0" t="38100" r="0" b="120015"/>
            <wp:docPr id="12" name="Diagram 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1" r:lo="rId132" r:qs="rId133" r:cs="rId134"/>
              </a:graphicData>
            </a:graphic>
          </wp:inline>
        </w:drawing>
      </w:r>
    </w:p>
    <w:p w14:paraId="4EF4B56C" w14:textId="77777777" w:rsidR="00B650E5" w:rsidRDefault="00B650E5">
      <w:pPr>
        <w:spacing w:before="120" w:after="120"/>
        <w:jc w:val="center"/>
        <w:rPr>
          <w:sz w:val="18"/>
          <w:szCs w:val="18"/>
        </w:rPr>
      </w:pPr>
      <w:r>
        <w:rPr>
          <w:sz w:val="18"/>
          <w:szCs w:val="18"/>
        </w:rPr>
        <w:t>Zohľadnenie hodnotiacej správy v procese výberu ŽoNFP</w:t>
      </w:r>
    </w:p>
    <w:p w14:paraId="1CE0BD7D" w14:textId="77777777" w:rsidR="00B650E5" w:rsidRDefault="00B650E5" w:rsidP="0045286B">
      <w:pPr>
        <w:pStyle w:val="SRK4"/>
      </w:pPr>
      <w:bookmarkStart w:id="237" w:name="_Toc453234004"/>
      <w:bookmarkStart w:id="238" w:name="_Toc495649363"/>
      <w:r>
        <w:t>3.2.2.3 Záverečná správa z výzvy na predkladanie projektových zámerov</w:t>
      </w:r>
      <w:bookmarkEnd w:id="237"/>
      <w:bookmarkEnd w:id="238"/>
    </w:p>
    <w:p w14:paraId="74D2224C" w14:textId="51EE1304" w:rsidR="00B650E5" w:rsidRDefault="00B650E5">
      <w:pPr>
        <w:numPr>
          <w:ilvl w:val="0"/>
          <w:numId w:val="100"/>
        </w:numPr>
        <w:spacing w:before="120" w:after="120"/>
        <w:ind w:left="426" w:hanging="426"/>
        <w:jc w:val="both"/>
        <w:rPr>
          <w:szCs w:val="22"/>
          <w:lang w:eastAsia="en-US"/>
        </w:rPr>
      </w:pPr>
      <w:r>
        <w:rPr>
          <w:szCs w:val="22"/>
          <w:lang w:eastAsia="en-US"/>
        </w:rPr>
        <w:t>Po ukončení posudzovania všetkých projektových zámerov predložených na základe výzvy na</w:t>
      </w:r>
      <w:r w:rsidR="00117B54">
        <w:rPr>
          <w:szCs w:val="22"/>
          <w:lang w:eastAsia="en-US"/>
        </w:rPr>
        <w:t> </w:t>
      </w:r>
      <w:r>
        <w:rPr>
          <w:szCs w:val="22"/>
          <w:lang w:eastAsia="en-US"/>
        </w:rPr>
        <w:t>predkladanie projektových zámerov (</w:t>
      </w:r>
      <w:r w:rsidR="00C93F30">
        <w:rPr>
          <w:szCs w:val="22"/>
          <w:lang w:eastAsia="en-US"/>
        </w:rPr>
        <w:t xml:space="preserve">t. j. </w:t>
      </w:r>
      <w:r>
        <w:rPr>
          <w:szCs w:val="22"/>
          <w:lang w:eastAsia="en-US"/>
        </w:rPr>
        <w:t>po vydaní hodnotiacej správy za všetky projektové zámery predložené v rámci výzvy na predkladanie projektových zámerov, alebo za vymedzené časové obdobie pri otvorených výzvach) RO vypracuje záverečnú správu z výzvy na</w:t>
      </w:r>
      <w:r w:rsidR="00117B54">
        <w:rPr>
          <w:szCs w:val="22"/>
          <w:lang w:eastAsia="en-US"/>
        </w:rPr>
        <w:t> </w:t>
      </w:r>
      <w:r>
        <w:rPr>
          <w:szCs w:val="22"/>
          <w:lang w:eastAsia="en-US"/>
        </w:rPr>
        <w:t>predkladanie projektových zámerov. Záverečná správa z výzvy na predkladanie projektových zámerov sumarizuje priebeh a výsledky posudzovania projektových zámerov.</w:t>
      </w:r>
    </w:p>
    <w:p w14:paraId="3C7ABF29" w14:textId="77777777" w:rsidR="00B650E5" w:rsidRDefault="00B650E5">
      <w:pPr>
        <w:numPr>
          <w:ilvl w:val="0"/>
          <w:numId w:val="100"/>
        </w:numPr>
        <w:spacing w:before="120" w:after="120"/>
        <w:ind w:left="426" w:hanging="426"/>
        <w:jc w:val="both"/>
        <w:rPr>
          <w:szCs w:val="22"/>
          <w:lang w:eastAsia="en-US"/>
        </w:rPr>
      </w:pPr>
      <w:r>
        <w:rPr>
          <w:szCs w:val="22"/>
          <w:lang w:eastAsia="en-US"/>
        </w:rPr>
        <w:lastRenderedPageBreak/>
        <w:t>Minimálne požiadavky na obsah záverečnej správy sú uvedené vo vzore</w:t>
      </w:r>
      <w:r>
        <w:rPr>
          <w:rStyle w:val="Odkaznapoznmkupodiarou"/>
          <w:szCs w:val="22"/>
          <w:lang w:eastAsia="en-US"/>
        </w:rPr>
        <w:footnoteReference w:id="54"/>
      </w:r>
      <w:r>
        <w:rPr>
          <w:szCs w:val="22"/>
          <w:lang w:eastAsia="en-US"/>
        </w:rPr>
        <w:t xml:space="preserve"> vydanom CKO. Všetky dokumenty, ktoré sú súčasťou a dokumentujú proces posudzovania projektových zámerov RO uchováva v spisoch jednotlivých projektových zámerov alebo ako prílohu záverečnej správy. </w:t>
      </w:r>
    </w:p>
    <w:p w14:paraId="4C0463FB" w14:textId="73139DA0" w:rsidR="00B650E5" w:rsidRDefault="00B650E5">
      <w:pPr>
        <w:numPr>
          <w:ilvl w:val="0"/>
          <w:numId w:val="100"/>
        </w:numPr>
        <w:spacing w:before="120" w:after="120"/>
        <w:ind w:left="426" w:hanging="426"/>
        <w:jc w:val="both"/>
        <w:rPr>
          <w:szCs w:val="22"/>
          <w:lang w:eastAsia="en-US"/>
        </w:rPr>
      </w:pPr>
      <w:r>
        <w:rPr>
          <w:szCs w:val="22"/>
          <w:lang w:eastAsia="en-US"/>
        </w:rPr>
        <w:t>Prílohou záverečnej správy z výzvy na predkladanie projektových zámerov je zoznam projektových zámerov, ktorý obsahuje zoznam projektových zámerov, ktoré splnili podmienky určené vo výzve na predkladanie projektových zámerov (</w:t>
      </w:r>
      <w:r w:rsidR="00C93F30">
        <w:rPr>
          <w:szCs w:val="22"/>
          <w:lang w:eastAsia="en-US"/>
        </w:rPr>
        <w:t xml:space="preserve">t. j. </w:t>
      </w:r>
      <w:r>
        <w:rPr>
          <w:szCs w:val="22"/>
          <w:lang w:eastAsia="en-US"/>
        </w:rPr>
        <w:t>majú pozitívnu hodnotiacu správ</w:t>
      </w:r>
      <w:r w:rsidR="00117B54">
        <w:rPr>
          <w:szCs w:val="22"/>
          <w:lang w:eastAsia="en-US"/>
        </w:rPr>
        <w:t>u</w:t>
      </w:r>
      <w:r>
        <w:rPr>
          <w:szCs w:val="22"/>
          <w:lang w:eastAsia="en-US"/>
        </w:rPr>
        <w:t>) a zoznam projektových zámerov, ktoré nesplnili podmienky určené vo výzve na predkladanie projektových zámerov (</w:t>
      </w:r>
      <w:r w:rsidR="00C93F30">
        <w:rPr>
          <w:szCs w:val="22"/>
          <w:lang w:eastAsia="en-US"/>
        </w:rPr>
        <w:t xml:space="preserve">t. j. </w:t>
      </w:r>
      <w:r>
        <w:rPr>
          <w:szCs w:val="22"/>
          <w:lang w:eastAsia="en-US"/>
        </w:rPr>
        <w:t>majú negatívnu hodnotiacu správu).</w:t>
      </w:r>
    </w:p>
    <w:p w14:paraId="5F7C7716" w14:textId="77777777" w:rsidR="00B650E5" w:rsidRDefault="00B650E5">
      <w:pPr>
        <w:numPr>
          <w:ilvl w:val="0"/>
          <w:numId w:val="100"/>
        </w:numPr>
        <w:spacing w:before="120" w:after="120"/>
        <w:ind w:left="426" w:hanging="426"/>
        <w:jc w:val="both"/>
        <w:rPr>
          <w:szCs w:val="22"/>
          <w:lang w:eastAsia="en-US"/>
        </w:rPr>
      </w:pPr>
      <w:r>
        <w:rPr>
          <w:szCs w:val="22"/>
          <w:lang w:eastAsia="en-US"/>
        </w:rPr>
        <w:t xml:space="preserve">RO zasiela záverečnú správu z výzvy na predkladanie projektových zámerov CO najneskôr do 5 pracovných dní od jej schválenia. </w:t>
      </w:r>
    </w:p>
    <w:p w14:paraId="44F17E34" w14:textId="77777777" w:rsidR="00B650E5" w:rsidRDefault="00B650E5">
      <w:pPr>
        <w:pStyle w:val="SRK3"/>
      </w:pPr>
      <w:bookmarkStart w:id="239" w:name="_Toc453234005"/>
      <w:bookmarkStart w:id="240" w:name="_Toc495649364"/>
      <w:bookmarkStart w:id="241" w:name="kapitola_323"/>
      <w:r>
        <w:t>3.2.3 Zásobník projektov</w:t>
      </w:r>
      <w:bookmarkEnd w:id="239"/>
      <w:bookmarkEnd w:id="240"/>
    </w:p>
    <w:p w14:paraId="7F836A5A" w14:textId="77777777" w:rsidR="00B650E5" w:rsidRDefault="00B650E5">
      <w:pPr>
        <w:numPr>
          <w:ilvl w:val="0"/>
          <w:numId w:val="101"/>
        </w:numPr>
        <w:spacing w:before="120" w:after="120"/>
        <w:ind w:left="426" w:hanging="426"/>
        <w:jc w:val="both"/>
        <w:rPr>
          <w:szCs w:val="22"/>
          <w:lang w:eastAsia="en-US"/>
        </w:rPr>
      </w:pPr>
      <w:bookmarkStart w:id="242" w:name="_Toc378954336"/>
      <w:bookmarkStart w:id="243" w:name="_Toc378947501"/>
      <w:bookmarkEnd w:id="241"/>
      <w:r>
        <w:rPr>
          <w:szCs w:val="22"/>
          <w:lang w:eastAsia="en-US"/>
        </w:rPr>
        <w:t>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v prípade, ak RO vytvoril zásobník projektov a dodatočne získa finančné prostriedky na financovanie takýchto projektov je RO oprávnený nevyužiť inštitút zásobníka projektov a vyhlásiť novú výzvu.</w:t>
      </w:r>
    </w:p>
    <w:p w14:paraId="6F93FA40" w14:textId="77777777" w:rsidR="00B650E5" w:rsidRDefault="00B650E5">
      <w:pPr>
        <w:numPr>
          <w:ilvl w:val="0"/>
          <w:numId w:val="101"/>
        </w:numPr>
        <w:spacing w:before="120" w:after="120"/>
        <w:ind w:left="426" w:hanging="426"/>
        <w:jc w:val="both"/>
        <w:rPr>
          <w:szCs w:val="22"/>
          <w:lang w:eastAsia="en-US"/>
        </w:rPr>
      </w:pPr>
      <w:r>
        <w:rPr>
          <w:szCs w:val="22"/>
          <w:lang w:eastAsia="en-US"/>
        </w:rPr>
        <w:t>RO je oprávnený využiť zásobník projektov za predpokladu, že:</w:t>
      </w:r>
    </w:p>
    <w:p w14:paraId="1AF45752"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rozhodnutie o neschválení bolo vydané len z dôvodu vyčerpania finančných prostriedkov určených na výzvu a informácia o možnosti zmeny rozhodnutia bola uvedená v rozhodnutí o neschválení, ktoré je podľa tohto ustanovenia menené</w:t>
      </w:r>
      <w:r>
        <w:rPr>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14:paraId="2AC6B830"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poskytovateľ disponuje dostatočnými finančnými prostriedkami určenými na zabezpečenie financovania projektu, ktorý je predmetom ŽoNFP</w:t>
      </w:r>
      <w:r>
        <w:rPr>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14:paraId="2494C349"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preukázateľne spĺňa podmienky poskytnutia príspevku</w:t>
      </w:r>
      <w:r>
        <w:rPr>
          <w:bCs/>
          <w:iCs/>
          <w:szCs w:val="22"/>
          <w:lang w:eastAsia="en-US"/>
        </w:rPr>
        <w:t xml:space="preserve"> – overenie podmienok poskytnutia príspevku je predpokladom zmeny rozhodnutia podľa tejto časti,</w:t>
      </w:r>
    </w:p>
    <w:p w14:paraId="7A1483AF"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so zmenou rozhodnutia súhlasí</w:t>
      </w:r>
      <w:r>
        <w:rPr>
          <w:bCs/>
          <w:iCs/>
          <w:szCs w:val="22"/>
          <w:lang w:eastAsia="en-US"/>
        </w:rPr>
        <w:t xml:space="preserve"> – </w:t>
      </w:r>
      <w:r w:rsidR="00C93F30">
        <w:rPr>
          <w:bCs/>
          <w:iCs/>
          <w:szCs w:val="22"/>
          <w:lang w:eastAsia="en-US"/>
        </w:rPr>
        <w:t>keďže</w:t>
      </w:r>
      <w:r>
        <w:rPr>
          <w:bCs/>
          <w:iCs/>
          <w:szCs w:val="22"/>
          <w:lang w:eastAsia="en-US"/>
        </w:rPr>
        <w:t xml:space="preserve"> od vydania rozhodnutia mohol uplynúť dlhší čas a žiadateľ nemusí mať už záujem na schválení ŽoNFP, je podmienkou zmeny rozhodnutia aj súhlas žiadateľa so zmenou rozhodnutia.</w:t>
      </w:r>
    </w:p>
    <w:p w14:paraId="000CCB50" w14:textId="77777777" w:rsidR="00B650E5" w:rsidRDefault="0053588C">
      <w:pPr>
        <w:spacing w:before="120" w:after="120"/>
        <w:jc w:val="both"/>
        <w:rPr>
          <w:szCs w:val="22"/>
          <w:lang w:eastAsia="en-US"/>
        </w:rPr>
      </w:pPr>
      <w:r>
        <w:rPr>
          <w:noProof/>
          <w:szCs w:val="22"/>
        </w:rPr>
        <w:lastRenderedPageBreak/>
        <w:drawing>
          <wp:inline distT="0" distB="0" distL="0" distR="0" wp14:anchorId="16B63E67" wp14:editId="6884C4C4">
            <wp:extent cx="5516880" cy="3217545"/>
            <wp:effectExtent l="95250" t="0" r="102870" b="59055"/>
            <wp:docPr id="13" name="Diagram 107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6" r:lo="rId137" r:qs="rId138" r:cs="rId139"/>
              </a:graphicData>
            </a:graphic>
          </wp:inline>
        </w:drawing>
      </w:r>
    </w:p>
    <w:p w14:paraId="05E05D8F" w14:textId="77777777" w:rsidR="00B650E5" w:rsidRDefault="00B650E5">
      <w:pPr>
        <w:tabs>
          <w:tab w:val="left" w:pos="709"/>
        </w:tabs>
        <w:spacing w:before="120" w:after="120"/>
        <w:jc w:val="center"/>
        <w:rPr>
          <w:sz w:val="18"/>
          <w:szCs w:val="18"/>
          <w:lang w:eastAsia="en-US"/>
        </w:rPr>
      </w:pPr>
      <w:r>
        <w:rPr>
          <w:sz w:val="18"/>
          <w:szCs w:val="18"/>
          <w:lang w:eastAsia="en-US"/>
        </w:rPr>
        <w:t>Podmienky využiteľnosti zásobníka projektov</w:t>
      </w:r>
    </w:p>
    <w:p w14:paraId="0B71F1D9" w14:textId="77777777" w:rsidR="00B650E5" w:rsidRDefault="00B650E5">
      <w:pPr>
        <w:numPr>
          <w:ilvl w:val="0"/>
          <w:numId w:val="101"/>
        </w:numPr>
        <w:spacing w:before="120" w:after="120"/>
        <w:ind w:left="426" w:hanging="426"/>
        <w:jc w:val="both"/>
        <w:rPr>
          <w:szCs w:val="22"/>
          <w:lang w:eastAsia="en-US"/>
        </w:rPr>
      </w:pPr>
      <w:r>
        <w:rPr>
          <w:szCs w:val="22"/>
          <w:lang w:eastAsia="en-US"/>
        </w:rPr>
        <w:t>RO je pri rozhodovaní o zmene rozhodnutia o neschválení ŽoNFP viazaný dodržaním poradia ŽoNFP určeného na základe aplikácie kritérií pre výber projektov v konaní o ŽoNFP.</w:t>
      </w:r>
    </w:p>
    <w:p w14:paraId="2D57CA20" w14:textId="77777777" w:rsidR="00B650E5" w:rsidRDefault="00B650E5">
      <w:pPr>
        <w:numPr>
          <w:ilvl w:val="0"/>
          <w:numId w:val="101"/>
        </w:numPr>
        <w:spacing w:before="120" w:after="120"/>
        <w:ind w:left="426" w:hanging="426"/>
        <w:jc w:val="both"/>
        <w:rPr>
          <w:szCs w:val="22"/>
          <w:lang w:eastAsia="en-US"/>
        </w:rPr>
      </w:pPr>
      <w:r>
        <w:rPr>
          <w:szCs w:val="22"/>
          <w:lang w:eastAsia="en-US"/>
        </w:rPr>
        <w:t>V prípade otvorených výziev je aplikácia zásobníka projektov možná na rozhodnutia o neschválení vydané v rámci posledného posudzovaného obdobia, v ktorom došlo k neschváleniu ŽoNFP z dôvodu vyčerpania finančných prostriedkov na výzvu.</w:t>
      </w:r>
    </w:p>
    <w:p w14:paraId="1BF1E910" w14:textId="6863DF30" w:rsidR="00B650E5" w:rsidRDefault="00B650E5">
      <w:pPr>
        <w:numPr>
          <w:ilvl w:val="0"/>
          <w:numId w:val="101"/>
        </w:numPr>
        <w:spacing w:before="120" w:after="120"/>
        <w:ind w:left="426" w:hanging="426"/>
        <w:jc w:val="both"/>
        <w:rPr>
          <w:szCs w:val="22"/>
          <w:lang w:eastAsia="en-US"/>
        </w:rPr>
      </w:pPr>
      <w:bookmarkStart w:id="244" w:name="kapitola_323_ods_5"/>
      <w:r>
        <w:rPr>
          <w:szCs w:val="22"/>
          <w:lang w:eastAsia="en-US"/>
        </w:rPr>
        <w:t>RO na základe zoznamu ŽoNFP zaradených v zásobníku projektov písomne informuje žiadateľa o začatí konania o zmene rozhodnutia o neschválení a vyzve žiadateľov, ktorých rozhodnutie o</w:t>
      </w:r>
      <w:r w:rsidR="00285839">
        <w:rPr>
          <w:szCs w:val="22"/>
          <w:lang w:eastAsia="en-US"/>
        </w:rPr>
        <w:t> </w:t>
      </w:r>
      <w:r>
        <w:rPr>
          <w:szCs w:val="22"/>
          <w:lang w:eastAsia="en-US"/>
        </w:rPr>
        <w:t>neschválení môže byť na základe dodatočných disponibilných prostriedkov zmenené na</w:t>
      </w:r>
      <w:r w:rsidR="00285839">
        <w:rPr>
          <w:szCs w:val="22"/>
          <w:lang w:eastAsia="en-US"/>
        </w:rPr>
        <w:t> </w:t>
      </w:r>
      <w:r>
        <w:rPr>
          <w:szCs w:val="22"/>
          <w:lang w:eastAsia="en-US"/>
        </w:rPr>
        <w:t>preukázanie skutočnosti, či ŽoNFP naďalej spĺňa podmienky poskytnutia príspevku, ak nebolo možné overiť splnenie týchto podmienok aj bez výzvy zaslanej žiadateľovi. RO v rámci overovania splnenia podmienok nevykonáva opakovane odborné hodnotenie ŽoNFP. Pre účely výberu projektov zo zásobníka sa podmienky odborného hodnotenia považujú za dodržané a splnené práve zaradením ŽoNFP do zásobníka. Súčasťou písomnej informácie a výzvy na</w:t>
      </w:r>
      <w:r w:rsidR="00285839">
        <w:rPr>
          <w:szCs w:val="22"/>
          <w:lang w:eastAsia="en-US"/>
        </w:rPr>
        <w:t> </w:t>
      </w:r>
      <w:r>
        <w:rPr>
          <w:szCs w:val="22"/>
          <w:lang w:eastAsia="en-US"/>
        </w:rPr>
        <w:t>preukázanie splnenia podmienok poskytnutia príspevku je aj žiadosť o vyjadrenie súhlasu žiadateľa so zmenou rozhodnutia.</w:t>
      </w:r>
    </w:p>
    <w:bookmarkEnd w:id="244"/>
    <w:p w14:paraId="2A86DE5C"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RO aplikuje na náležitosti výzvy podľa </w:t>
      </w:r>
      <w:hyperlink w:anchor="kapitola_323_ods_5" w:tooltip="ods. 5" w:history="1">
        <w:r>
          <w:rPr>
            <w:rStyle w:val="Hypertextovprepojenie"/>
            <w:szCs w:val="22"/>
            <w:lang w:eastAsia="en-US"/>
          </w:rPr>
          <w:t xml:space="preserve">ods. </w:t>
        </w:r>
        <w:r>
          <w:rPr>
            <w:rStyle w:val="Hypertextovprepojenie"/>
          </w:rPr>
          <w:t>5</w:t>
        </w:r>
      </w:hyperlink>
      <w:r>
        <w:rPr>
          <w:szCs w:val="22"/>
          <w:lang w:eastAsia="en-US"/>
        </w:rPr>
        <w:t xml:space="preserve"> primerane ustanovenia o výzve na doplnenie údajov ŽoNFP. Lehotu na predloženie náležitostí podľa </w:t>
      </w:r>
      <w:hyperlink w:anchor="kapitola_323_ods_5" w:tooltip="ods. 5" w:history="1">
        <w:r>
          <w:rPr>
            <w:rStyle w:val="Hypertextovprepojenie"/>
            <w:szCs w:val="22"/>
            <w:lang w:eastAsia="en-US"/>
          </w:rPr>
          <w:t>ods. 5</w:t>
        </w:r>
      </w:hyperlink>
      <w:r w:rsidR="00FC3B41">
        <w:rPr>
          <w:rStyle w:val="Hypertextovprepojenie"/>
          <w:szCs w:val="22"/>
          <w:lang w:eastAsia="en-US"/>
        </w:rPr>
        <w:t xml:space="preserve"> </w:t>
      </w:r>
      <w:r>
        <w:rPr>
          <w:szCs w:val="22"/>
          <w:lang w:eastAsia="en-US"/>
        </w:rPr>
        <w:t xml:space="preserve">určí RO, pričom lehota nesmie byť kratšia ako 15 pracovných dní. Súčasťou výzvy podľa </w:t>
      </w:r>
      <w:hyperlink w:anchor="kapitola_323_ods_5" w:tooltip="ods. 5" w:history="1">
        <w:r>
          <w:rPr>
            <w:rStyle w:val="Hypertextovprepojenie"/>
            <w:szCs w:val="22"/>
            <w:lang w:eastAsia="en-US"/>
          </w:rPr>
          <w:t>ods. 5</w:t>
        </w:r>
      </w:hyperlink>
      <w:r>
        <w:rPr>
          <w:szCs w:val="22"/>
          <w:lang w:eastAsia="en-US"/>
        </w:rPr>
        <w:t xml:space="preserve"> je aj informácia o tom, že ak žiadateľ nepreukáže splnenie podmienok poskytnutia príspevku, nesúhlasí so zmenou rozhodnutia alebo nepredloží požadované dokumenty včas, RO konanie zastaví.</w:t>
      </w:r>
    </w:p>
    <w:p w14:paraId="130D3735" w14:textId="5A7635D6" w:rsidR="00B650E5" w:rsidRDefault="00B650E5">
      <w:pPr>
        <w:numPr>
          <w:ilvl w:val="0"/>
          <w:numId w:val="101"/>
        </w:numPr>
        <w:spacing w:before="120" w:after="120"/>
        <w:ind w:left="426" w:hanging="426"/>
        <w:jc w:val="both"/>
        <w:rPr>
          <w:szCs w:val="22"/>
          <w:lang w:eastAsia="en-US"/>
        </w:rPr>
      </w:pPr>
      <w:r>
        <w:rPr>
          <w:szCs w:val="22"/>
          <w:lang w:eastAsia="en-US"/>
        </w:rPr>
        <w:t xml:space="preserve">Ak zo skupiny ŽoNFP, pri ktorých RO preveroval pretrvávajúci stav splnenia podmienok poskytnutia príspevku nie je možné podporiť ŽoNFP pokrývajúce plnú výšku dodatočných 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szCs w:val="22"/>
            <w:lang w:eastAsia="en-US"/>
          </w:rPr>
          <w:t>ods. 5</w:t>
        </w:r>
      </w:hyperlink>
      <w:r>
        <w:rPr>
          <w:szCs w:val="22"/>
          <w:lang w:eastAsia="en-US"/>
        </w:rPr>
        <w:t xml:space="preserve"> v poradí ďalším žiadateľom, ktorých ŽoNFP sú zaradené v zásobníku, a to až do vyčerpania všetkých ŽoNFP v zásobníku.</w:t>
      </w:r>
    </w:p>
    <w:p w14:paraId="7D0BA02D" w14:textId="77777777" w:rsidR="00B650E5" w:rsidRDefault="00B650E5">
      <w:pPr>
        <w:numPr>
          <w:ilvl w:val="0"/>
          <w:numId w:val="101"/>
        </w:numPr>
        <w:spacing w:before="120" w:after="120"/>
        <w:ind w:left="426" w:hanging="426"/>
        <w:jc w:val="both"/>
        <w:rPr>
          <w:szCs w:val="22"/>
          <w:lang w:eastAsia="en-US"/>
        </w:rPr>
      </w:pPr>
      <w:bookmarkStart w:id="245" w:name="kapitola_323_ods_8"/>
      <w:r>
        <w:rPr>
          <w:szCs w:val="22"/>
          <w:lang w:eastAsia="en-US"/>
        </w:rPr>
        <w:t xml:space="preserve">Po zmene rozhodnutia o neschválení RO, ak je to nevyhnutné, vyzve žiadateľa na úpravu relevantných častí ŽoNFP a predloženie dodatočných dokumentov potrebných na uzavretie </w:t>
      </w:r>
      <w:r>
        <w:rPr>
          <w:szCs w:val="22"/>
          <w:lang w:eastAsia="en-US"/>
        </w:rPr>
        <w:lastRenderedPageBreak/>
        <w:t>zmluvy o NFP. Požadovaná úprava nesmie spôsobiť, že ŽoNFP nebude po jej vykonaní spĺňať</w:t>
      </w:r>
      <w:r>
        <w:rPr>
          <w:rFonts w:cs="Calibri"/>
          <w:sz w:val="20"/>
          <w:szCs w:val="20"/>
        </w:rPr>
        <w:t xml:space="preserve"> </w:t>
      </w:r>
      <w:r>
        <w:rPr>
          <w:szCs w:val="22"/>
          <w:lang w:eastAsia="en-US"/>
        </w:rPr>
        <w:t>niektorú z podmienok poskytnutia príspevku. Vo výzve RO určí, ktoré časti ŽoNFP je žiadateľ povinný upraviť pred uzavretím zmluvy a aké dokumenty je žiadateľ povinný predložiť na jej uzavretie. RO vyzve žiadateľa najmä na úpravu harmonogramu realizácie aktivít projektu, rozpočtu projektu a ostatných náležitostí, ktorých úprava je z dôvodu uplynutia časového obdobia od pôvodného konania o ŽoNFP potrebná. RO zašle žiadateľovi návrh zmluvy až po 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245"/>
    <w:p w14:paraId="420CD9D4" w14:textId="77777777" w:rsidR="00B650E5" w:rsidRDefault="00B650E5">
      <w:pPr>
        <w:numPr>
          <w:ilvl w:val="0"/>
          <w:numId w:val="101"/>
        </w:numPr>
        <w:spacing w:before="120" w:after="120"/>
        <w:ind w:left="425" w:hanging="425"/>
        <w:jc w:val="both"/>
        <w:rPr>
          <w:szCs w:val="22"/>
          <w:lang w:eastAsia="en-US"/>
        </w:rPr>
      </w:pPr>
      <w:r>
        <w:rPr>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 alebo RO nezaslal návrh na uzavretie zmluvy z dôvodu neposkytnutia súčinnosti žiadateľa           (</w:t>
      </w:r>
      <w:hyperlink w:anchor="kapitola_323_ods_8" w:tooltip="ods. 8" w:history="1">
        <w:r>
          <w:rPr>
            <w:rStyle w:val="Hypertextovprepojenie"/>
            <w:szCs w:val="22"/>
            <w:lang w:eastAsia="en-US"/>
          </w:rPr>
          <w:t xml:space="preserve">ods. </w:t>
        </w:r>
        <w:r>
          <w:rPr>
            <w:rStyle w:val="Hypertextovprepojenie"/>
          </w:rPr>
          <w:t>8</w:t>
        </w:r>
      </w:hyperlink>
      <w:r>
        <w:rPr>
          <w:szCs w:val="22"/>
          <w:lang w:eastAsia="en-US"/>
        </w:rPr>
        <w:t>).</w:t>
      </w:r>
    </w:p>
    <w:p w14:paraId="020D810C" w14:textId="77777777" w:rsidR="00B650E5" w:rsidRDefault="0053588C">
      <w:pPr>
        <w:tabs>
          <w:tab w:val="left" w:pos="709"/>
        </w:tabs>
        <w:spacing w:before="120" w:after="120"/>
        <w:jc w:val="both"/>
      </w:pPr>
      <w:r>
        <w:rPr>
          <w:noProof/>
        </w:rPr>
        <w:drawing>
          <wp:inline distT="0" distB="0" distL="0" distR="0" wp14:anchorId="487D7AC1" wp14:editId="10DB1901">
            <wp:extent cx="5473065" cy="3199130"/>
            <wp:effectExtent l="76200" t="38100" r="0" b="58420"/>
            <wp:docPr id="14"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1" r:lo="rId142" r:qs="rId143" r:cs="rId144"/>
              </a:graphicData>
            </a:graphic>
          </wp:inline>
        </w:drawing>
      </w:r>
    </w:p>
    <w:p w14:paraId="5B1C5378" w14:textId="77777777" w:rsidR="00B650E5" w:rsidRDefault="00B650E5">
      <w:pPr>
        <w:spacing w:before="120" w:after="120"/>
        <w:jc w:val="center"/>
        <w:rPr>
          <w:sz w:val="18"/>
          <w:szCs w:val="18"/>
        </w:rPr>
      </w:pPr>
      <w:r>
        <w:rPr>
          <w:sz w:val="18"/>
          <w:szCs w:val="18"/>
        </w:rPr>
        <w:t>Postup v konaní o zmene rozhodnutia o neschválení ŽoNFP</w:t>
      </w:r>
    </w:p>
    <w:p w14:paraId="68BAFF94" w14:textId="77777777" w:rsidR="00B650E5" w:rsidRDefault="00B650E5">
      <w:pPr>
        <w:pStyle w:val="SRK3"/>
      </w:pPr>
      <w:bookmarkStart w:id="246" w:name="_Toc453234006"/>
      <w:bookmarkStart w:id="247" w:name="_Toc495649365"/>
      <w:r>
        <w:t>3.2.4 Opravné prostriedky</w:t>
      </w:r>
      <w:bookmarkEnd w:id="242"/>
      <w:bookmarkEnd w:id="243"/>
      <w:bookmarkEnd w:id="246"/>
      <w:bookmarkEnd w:id="247"/>
    </w:p>
    <w:p w14:paraId="68EBD191" w14:textId="4AD500AA" w:rsidR="00B650E5" w:rsidRDefault="00B650E5">
      <w:pPr>
        <w:numPr>
          <w:ilvl w:val="0"/>
          <w:numId w:val="103"/>
        </w:numPr>
        <w:spacing w:before="120" w:after="120"/>
        <w:ind w:left="426" w:hanging="426"/>
        <w:jc w:val="both"/>
        <w:rPr>
          <w:szCs w:val="22"/>
          <w:lang w:eastAsia="en-US"/>
        </w:rPr>
      </w:pPr>
      <w:r>
        <w:rPr>
          <w:szCs w:val="22"/>
          <w:lang w:eastAsia="en-US"/>
        </w:rPr>
        <w:t>Opravné prostriedky umožňujú žiadateľovi v konaní o ŽoNFP domáhať sa nápravy, ak sa domnieva, že neboli dodržané ustanovenia zákona o príspevku z EŠIF a podmienky uvedené vo</w:t>
      </w:r>
      <w:r w:rsidR="00091091">
        <w:rPr>
          <w:szCs w:val="22"/>
          <w:lang w:eastAsia="en-US"/>
        </w:rPr>
        <w:t> </w:t>
      </w:r>
      <w:r>
        <w:rPr>
          <w:szCs w:val="22"/>
          <w:lang w:eastAsia="en-US"/>
        </w:rPr>
        <w:t xml:space="preserve">výzve. Opravné prostriedky sú zároveň možnosťou, aby na úrovni RO došlo k náprave rozhodnutia, ktoré bolo vydané v rozpore s podmienkami stanovenými vo výzve. </w:t>
      </w:r>
    </w:p>
    <w:p w14:paraId="39D38ABB" w14:textId="77777777" w:rsidR="00B650E5" w:rsidRDefault="00B650E5">
      <w:pPr>
        <w:numPr>
          <w:ilvl w:val="0"/>
          <w:numId w:val="103"/>
        </w:numPr>
        <w:spacing w:before="120" w:after="120"/>
        <w:ind w:left="426" w:hanging="426"/>
        <w:jc w:val="both"/>
        <w:rPr>
          <w:szCs w:val="22"/>
          <w:lang w:eastAsia="en-US"/>
        </w:rPr>
      </w:pPr>
      <w:r>
        <w:rPr>
          <w:szCs w:val="22"/>
          <w:lang w:eastAsia="en-US"/>
        </w:rPr>
        <w:t>Riadnym opravným prostriedkom podľa zákona o príspevku z EŠIF je odvolanie. Mimoriadnym opravným prostriedkom je preskúmanie rozhodnutia mimo odvolacieho konania.</w:t>
      </w:r>
    </w:p>
    <w:p w14:paraId="037E06B9" w14:textId="77777777" w:rsidR="00B650E5" w:rsidRDefault="00B650E5">
      <w:pPr>
        <w:numPr>
          <w:ilvl w:val="0"/>
          <w:numId w:val="103"/>
        </w:numPr>
        <w:spacing w:before="120" w:after="120"/>
        <w:ind w:left="426" w:hanging="426"/>
        <w:jc w:val="both"/>
        <w:rPr>
          <w:szCs w:val="22"/>
          <w:lang w:eastAsia="en-US"/>
        </w:rPr>
      </w:pPr>
      <w:r>
        <w:rPr>
          <w:szCs w:val="22"/>
          <w:lang w:eastAsia="en-US"/>
        </w:rPr>
        <w:t>Rozhodnutia vydávané RO sú preskúmateľné súdom.</w:t>
      </w:r>
    </w:p>
    <w:p w14:paraId="14D49212" w14:textId="2D3F87FE" w:rsidR="00B650E5" w:rsidRDefault="00B650E5">
      <w:pPr>
        <w:numPr>
          <w:ilvl w:val="0"/>
          <w:numId w:val="103"/>
        </w:numPr>
        <w:spacing w:before="120" w:after="120"/>
        <w:ind w:left="426" w:hanging="426"/>
        <w:jc w:val="both"/>
        <w:rPr>
          <w:szCs w:val="22"/>
          <w:lang w:eastAsia="en-US"/>
        </w:rPr>
      </w:pPr>
      <w:r>
        <w:rPr>
          <w:szCs w:val="22"/>
          <w:lang w:eastAsia="en-US"/>
        </w:rPr>
        <w:t xml:space="preserve">Rozhodnutia vydané v rámci opravných prostriedkov nemožno napadnúť riadnym opravným prostriedkom a preto nadobúdajú právoplatnosť jeho doručením žiadateľovi. Výnimkou je postup </w:t>
      </w:r>
      <w:r>
        <w:rPr>
          <w:szCs w:val="22"/>
          <w:lang w:eastAsia="en-US"/>
        </w:rPr>
        <w:lastRenderedPageBreak/>
        <w:t xml:space="preserve">podľa § 23 ods. 1 zákona o EŠIF, </w:t>
      </w:r>
      <w:r w:rsidR="00C93F30">
        <w:rPr>
          <w:szCs w:val="22"/>
          <w:lang w:eastAsia="en-US"/>
        </w:rPr>
        <w:t xml:space="preserve">t. j. </w:t>
      </w:r>
      <w:r>
        <w:rPr>
          <w:szCs w:val="22"/>
          <w:lang w:eastAsia="en-US"/>
        </w:rPr>
        <w:t>ak RO rozhodne o odvolaní na svojej úrovni (tzv. autoremedúra), lebo odvolaniu v plnom rozsahu vyhovel. V tomto prípade ide stále o</w:t>
      </w:r>
      <w:r w:rsidR="00091091">
        <w:rPr>
          <w:szCs w:val="22"/>
          <w:lang w:eastAsia="en-US"/>
        </w:rPr>
        <w:t> </w:t>
      </w:r>
      <w:r>
        <w:rPr>
          <w:szCs w:val="22"/>
          <w:lang w:eastAsia="en-US"/>
        </w:rPr>
        <w:t>prvostupňové rozhodnutie a voči rozhodnutiu je možné podať odvolanie.</w:t>
      </w:r>
    </w:p>
    <w:p w14:paraId="39F46C1F" w14:textId="77777777" w:rsidR="00B650E5" w:rsidRDefault="00B650E5" w:rsidP="0045286B">
      <w:pPr>
        <w:pStyle w:val="SRK4"/>
      </w:pPr>
      <w:bookmarkStart w:id="248" w:name="_Toc453234007"/>
      <w:bookmarkStart w:id="249" w:name="_Toc495649366"/>
      <w:r>
        <w:t>3.2.4.1 Odvolanie a odvolacie konanie</w:t>
      </w:r>
      <w:bookmarkEnd w:id="248"/>
      <w:bookmarkEnd w:id="249"/>
    </w:p>
    <w:p w14:paraId="70E4A1D9"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p>
    <w:p w14:paraId="0E21F1B4" w14:textId="77777777" w:rsidR="00B650E5" w:rsidRDefault="00B650E5">
      <w:pPr>
        <w:numPr>
          <w:ilvl w:val="0"/>
          <w:numId w:val="104"/>
        </w:numPr>
        <w:spacing w:before="120" w:after="120"/>
        <w:ind w:left="426" w:hanging="426"/>
        <w:jc w:val="both"/>
        <w:rPr>
          <w:szCs w:val="22"/>
          <w:lang w:eastAsia="en-US"/>
        </w:rPr>
      </w:pPr>
      <w:bookmarkStart w:id="250" w:name="kapitola_3241_ods_2"/>
      <w:r>
        <w:rPr>
          <w:szCs w:val="22"/>
          <w:lang w:eastAsia="en-US"/>
        </w:rPr>
        <w:t>Odvolanie nie je prípustné voči:</w:t>
      </w:r>
    </w:p>
    <w:bookmarkEnd w:id="250"/>
    <w:p w14:paraId="47424136"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neschválení ŽoNFP vydaného len z dôvodu vyčerpania finančných prostriedkov určených vo výzve alebo vyzvaní,</w:t>
      </w:r>
    </w:p>
    <w:p w14:paraId="53CC7EA5" w14:textId="77777777" w:rsidR="00B650E5" w:rsidRDefault="00B650E5">
      <w:pPr>
        <w:numPr>
          <w:ilvl w:val="0"/>
          <w:numId w:val="25"/>
        </w:numPr>
        <w:spacing w:before="120" w:after="120"/>
        <w:ind w:left="851" w:hanging="425"/>
        <w:jc w:val="both"/>
        <w:rPr>
          <w:szCs w:val="22"/>
          <w:lang w:eastAsia="en-US"/>
        </w:rPr>
      </w:pPr>
      <w:r>
        <w:rPr>
          <w:szCs w:val="22"/>
          <w:lang w:eastAsia="en-US"/>
        </w:rPr>
        <w:t>rozhodnutiam o zastavení konania,</w:t>
      </w:r>
    </w:p>
    <w:p w14:paraId="67236B76"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zmene rozhodnutia o neschválení ŽoNFP (zásobník projektov),</w:t>
      </w:r>
    </w:p>
    <w:p w14:paraId="54DE80CE"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odvolaní, ktoré vydal štatutárny orgán RO (rozhodnutie vydané v odvolacom konaní, ak RO nevyhovel odvolaniu v plnom rozsahu a o odvolaní rozhodoval štatutárny orgán RO),</w:t>
      </w:r>
    </w:p>
    <w:p w14:paraId="77005119"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preskúmaní rozhodnutia mimo odvolacieho konania.</w:t>
      </w:r>
    </w:p>
    <w:p w14:paraId="62342C5C" w14:textId="77777777" w:rsidR="00B650E5" w:rsidRDefault="00B650E5">
      <w:pPr>
        <w:numPr>
          <w:ilvl w:val="0"/>
          <w:numId w:val="104"/>
        </w:numPr>
        <w:spacing w:before="120" w:after="120"/>
        <w:ind w:left="426" w:hanging="426"/>
        <w:jc w:val="both"/>
        <w:rPr>
          <w:szCs w:val="22"/>
          <w:lang w:eastAsia="en-US"/>
        </w:rPr>
      </w:pPr>
      <w:bookmarkStart w:id="251" w:name="kapitola_3241_ods_3"/>
      <w:r>
        <w:rPr>
          <w:szCs w:val="22"/>
          <w:lang w:eastAsia="en-US"/>
        </w:rPr>
        <w:t>RO po doručení odvolania preskúma, či nie sú dôvody na jeho odmietnutie, ktoré sú dané, ak:</w:t>
      </w:r>
    </w:p>
    <w:bookmarkEnd w:id="251"/>
    <w:p w14:paraId="06969E11"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oprávnenou osobou</w:t>
      </w:r>
      <w:r>
        <w:rPr>
          <w:szCs w:val="22"/>
          <w:lang w:eastAsia="en-US"/>
        </w:rPr>
        <w:t xml:space="preserve"> – oprávnený na podanie odvolania je výlučne žiadateľ,</w:t>
      </w:r>
    </w:p>
    <w:p w14:paraId="5B3AA114" w14:textId="77777777" w:rsidR="00B650E5" w:rsidRDefault="00B650E5">
      <w:pPr>
        <w:numPr>
          <w:ilvl w:val="0"/>
          <w:numId w:val="105"/>
        </w:numPr>
        <w:spacing w:before="120" w:after="120"/>
        <w:ind w:left="851" w:hanging="425"/>
        <w:jc w:val="both"/>
        <w:rPr>
          <w:szCs w:val="22"/>
          <w:lang w:eastAsia="en-US"/>
        </w:rPr>
      </w:pPr>
      <w:r>
        <w:rPr>
          <w:b/>
          <w:szCs w:val="22"/>
          <w:lang w:eastAsia="en-US"/>
        </w:rPr>
        <w:t>sa žiadateľ práva na odvolanie vzdal</w:t>
      </w:r>
      <w:r>
        <w:rPr>
          <w:szCs w:val="22"/>
          <w:lang w:eastAsia="en-US"/>
        </w:rPr>
        <w:t xml:space="preserve"> – žiadateľ je oprávnený vzdať sa práva na odvolanie písomne u RO,</w:t>
      </w:r>
    </w:p>
    <w:p w14:paraId="7342713A" w14:textId="7950EF6A" w:rsidR="00B650E5" w:rsidRDefault="00B650E5">
      <w:pPr>
        <w:numPr>
          <w:ilvl w:val="0"/>
          <w:numId w:val="105"/>
        </w:numPr>
        <w:spacing w:before="120" w:after="120"/>
        <w:ind w:left="851" w:hanging="425"/>
        <w:jc w:val="both"/>
        <w:rPr>
          <w:szCs w:val="22"/>
          <w:lang w:eastAsia="en-US"/>
        </w:rPr>
      </w:pPr>
      <w:r>
        <w:rPr>
          <w:b/>
          <w:szCs w:val="22"/>
          <w:lang w:eastAsia="en-US"/>
        </w:rPr>
        <w:t>je odvolanie podané po lehote na podanie odvolania</w:t>
      </w:r>
      <w:r>
        <w:rPr>
          <w:szCs w:val="22"/>
          <w:lang w:eastAsia="en-US"/>
        </w:rPr>
        <w:t xml:space="preserve"> – zákonná lehota na podanie odvolania je 10 pracovných dní od doručenia rozhodnutia; ak žiadateľ v dôsledku nesprávneho poučenia alebo preto, že nebol poučený vôbec podal opravný prostriedok po</w:t>
      </w:r>
      <w:r w:rsidR="00032D32">
        <w:rPr>
          <w:szCs w:val="22"/>
          <w:lang w:eastAsia="en-US"/>
        </w:rPr>
        <w:t> </w:t>
      </w:r>
      <w:r>
        <w:rPr>
          <w:szCs w:val="22"/>
          <w:lang w:eastAsia="en-US"/>
        </w:rPr>
        <w:t>lehote, predpokladá sa, že ho podal včas, ak tak urobil do 1 mesiaca odo dňa doručenia rozhodnutia,</w:t>
      </w:r>
    </w:p>
    <w:p w14:paraId="56FEACAA" w14:textId="30FDB509" w:rsidR="00B650E5" w:rsidRDefault="00B650E5">
      <w:pPr>
        <w:numPr>
          <w:ilvl w:val="0"/>
          <w:numId w:val="105"/>
        </w:numPr>
        <w:spacing w:before="120" w:after="120"/>
        <w:ind w:left="851" w:hanging="425"/>
        <w:jc w:val="both"/>
        <w:rPr>
          <w:szCs w:val="22"/>
          <w:lang w:eastAsia="en-US"/>
        </w:rPr>
      </w:pPr>
      <w:r>
        <w:rPr>
          <w:b/>
          <w:szCs w:val="22"/>
          <w:lang w:eastAsia="en-US"/>
        </w:rPr>
        <w:t>je odvolanie podané po späťvzatí</w:t>
      </w:r>
      <w:r>
        <w:rPr>
          <w:szCs w:val="22"/>
          <w:lang w:eastAsia="en-US"/>
        </w:rPr>
        <w:t xml:space="preserve"> – žiadateľ je oprávnený do rozhodnutia o odvolaní vziať podané odvolanie písomne späť. Ak po späťvzatí podá v lehote na odvolanie nové odvolanie, RO takéto odvolanie odmietne,</w:t>
      </w:r>
    </w:p>
    <w:p w14:paraId="0332D37F"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písomn</w:t>
      </w:r>
      <w:r w:rsidRPr="00997CB0">
        <w:rPr>
          <w:b/>
          <w:szCs w:val="22"/>
          <w:lang w:eastAsia="en-US"/>
        </w:rPr>
        <w:t>e</w:t>
      </w:r>
      <w:r>
        <w:rPr>
          <w:szCs w:val="22"/>
          <w:lang w:eastAsia="en-US"/>
        </w:rPr>
        <w:t xml:space="preserve">, </w:t>
      </w:r>
    </w:p>
    <w:p w14:paraId="4FE86B87"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neobsahuje náležitosti, ktorými sú</w:t>
      </w:r>
      <w:r>
        <w:rPr>
          <w:szCs w:val="22"/>
          <w:lang w:eastAsia="en-US"/>
        </w:rPr>
        <w:t>:</w:t>
      </w:r>
    </w:p>
    <w:p w14:paraId="22720352" w14:textId="77777777" w:rsidR="00B650E5" w:rsidRDefault="00B650E5">
      <w:pPr>
        <w:numPr>
          <w:ilvl w:val="2"/>
          <w:numId w:val="228"/>
        </w:numPr>
        <w:spacing w:before="120" w:after="120"/>
        <w:ind w:left="1276" w:hanging="425"/>
        <w:jc w:val="both"/>
        <w:rPr>
          <w:szCs w:val="22"/>
          <w:lang w:eastAsia="en-US"/>
        </w:rPr>
      </w:pPr>
      <w:r>
        <w:rPr>
          <w:szCs w:val="22"/>
          <w:lang w:eastAsia="en-US"/>
        </w:rPr>
        <w:t>akej veci sa odvolanie týka a dôvody podania odvolania,</w:t>
      </w:r>
    </w:p>
    <w:p w14:paraId="0AF63324" w14:textId="77777777" w:rsidR="00B650E5" w:rsidRDefault="00B650E5">
      <w:pPr>
        <w:numPr>
          <w:ilvl w:val="2"/>
          <w:numId w:val="228"/>
        </w:numPr>
        <w:spacing w:before="120" w:after="120"/>
        <w:ind w:left="1276" w:hanging="425"/>
        <w:jc w:val="both"/>
        <w:rPr>
          <w:szCs w:val="22"/>
          <w:lang w:eastAsia="en-US"/>
        </w:rPr>
      </w:pPr>
      <w:r>
        <w:rPr>
          <w:szCs w:val="22"/>
          <w:lang w:eastAsia="en-US"/>
        </w:rPr>
        <w:t>čo odvolaním žiadateľ navrhuje,</w:t>
      </w:r>
    </w:p>
    <w:p w14:paraId="22149118" w14:textId="77777777" w:rsidR="00B650E5" w:rsidRDefault="00B650E5">
      <w:pPr>
        <w:numPr>
          <w:ilvl w:val="2"/>
          <w:numId w:val="228"/>
        </w:numPr>
        <w:spacing w:before="120" w:after="120"/>
        <w:ind w:left="1276" w:hanging="425"/>
        <w:jc w:val="both"/>
        <w:rPr>
          <w:szCs w:val="22"/>
          <w:lang w:eastAsia="en-US"/>
        </w:rPr>
      </w:pPr>
      <w:r>
        <w:rPr>
          <w:szCs w:val="22"/>
          <w:lang w:eastAsia="en-US"/>
        </w:rPr>
        <w:t>dátum podania a podpis osoby podávajúcej odvolanie,</w:t>
      </w:r>
    </w:p>
    <w:p w14:paraId="0A0F1539"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smeruje len proti odôvodneniu rozhodnutia</w:t>
      </w:r>
      <w:r>
        <w:rPr>
          <w:szCs w:val="22"/>
          <w:lang w:eastAsia="en-US"/>
        </w:rPr>
        <w:t xml:space="preserve"> – RO odmietne odvolanie, ak smeruje výlučne proti odôvodneniu rozhodnutia bez toho, aby sa v ňom žiadateľ domáhal inej zmeny. Ak sa žiadateľ domáha zmeny rozhodnutia a odôvodňuje svoju žiadosť výlučne napadnutím dôvodov uvedených v odôvodnení rozhodnutia, RO nie je oprávnený odmietnuť odvolanie podľa tohto písmena,</w:t>
      </w:r>
    </w:p>
    <w:p w14:paraId="7FADD477"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je podané proti rozhodnutiu, proti ktorému nie je odvolanie prípustné</w:t>
      </w:r>
      <w:r>
        <w:rPr>
          <w:szCs w:val="22"/>
          <w:lang w:eastAsia="en-US"/>
        </w:rPr>
        <w:t xml:space="preserve">      (</w:t>
      </w:r>
      <w:hyperlink w:anchor="kapitola_3241_ods_2" w:tooltip="ods. 2" w:history="1">
        <w:r>
          <w:rPr>
            <w:rStyle w:val="Hypertextovprepojenie"/>
          </w:rPr>
          <w:t>ods. 2</w:t>
        </w:r>
      </w:hyperlink>
      <w:r>
        <w:rPr>
          <w:szCs w:val="22"/>
          <w:lang w:eastAsia="en-US"/>
        </w:rPr>
        <w:t>).</w:t>
      </w:r>
    </w:p>
    <w:p w14:paraId="4ABCD23D" w14:textId="77777777" w:rsidR="00B650E5" w:rsidRDefault="00B650E5">
      <w:pPr>
        <w:numPr>
          <w:ilvl w:val="0"/>
          <w:numId w:val="104"/>
        </w:numPr>
        <w:spacing w:before="120" w:after="120"/>
        <w:ind w:left="426" w:hanging="426"/>
        <w:jc w:val="both"/>
        <w:rPr>
          <w:szCs w:val="22"/>
          <w:lang w:eastAsia="en-US"/>
        </w:rPr>
      </w:pPr>
      <w:bookmarkStart w:id="252" w:name="kapitola_3241_ods_4"/>
      <w:r>
        <w:rPr>
          <w:szCs w:val="22"/>
          <w:lang w:eastAsia="en-US"/>
        </w:rPr>
        <w:lastRenderedPageBreak/>
        <w:t>Ak je naplnený niektorý z dôvodov uvedených v </w:t>
      </w:r>
      <w:hyperlink w:anchor="kapitola_3241_ods_3" w:tooltip="ods. 3" w:history="1">
        <w:r>
          <w:rPr>
            <w:rStyle w:val="Hypertextovprepojenie"/>
          </w:rPr>
          <w:t>ods. 3</w:t>
        </w:r>
      </w:hyperlink>
      <w:r>
        <w:rPr>
          <w:szCs w:val="22"/>
          <w:lang w:eastAsia="en-US"/>
        </w:rPr>
        <w:t>, RO odvolanie listom písomne odmietne a v liste identifikuje dôvody na odmietnutie odvolania. V danom prípade RO rozhodnutie nevydáva.</w:t>
      </w:r>
    </w:p>
    <w:bookmarkEnd w:id="252"/>
    <w:p w14:paraId="48DA557C"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Ak neboli dané dôvody na odmietnutie odvolania podľa </w:t>
      </w:r>
      <w:hyperlink w:anchor="kapitola_3241_ods_4" w:tooltip="ods. 4" w:history="1">
        <w:r>
          <w:rPr>
            <w:rStyle w:val="Hypertextovprepojenie"/>
          </w:rPr>
          <w:t>ods. 4</w:t>
        </w:r>
      </w:hyperlink>
      <w:r>
        <w:rPr>
          <w:szCs w:val="22"/>
          <w:lang w:eastAsia="en-US"/>
        </w:rPr>
        <w:t>, RO v odvolacom konaní postupuje nasledovne:</w:t>
      </w:r>
    </w:p>
    <w:p w14:paraId="7B0E6264" w14:textId="1016FA1B" w:rsidR="00B650E5" w:rsidRDefault="00B650E5">
      <w:pPr>
        <w:numPr>
          <w:ilvl w:val="0"/>
          <w:numId w:val="106"/>
        </w:numPr>
        <w:spacing w:before="120" w:after="120"/>
        <w:ind w:left="851" w:hanging="425"/>
        <w:jc w:val="both"/>
        <w:rPr>
          <w:szCs w:val="22"/>
          <w:lang w:eastAsia="en-US"/>
        </w:rPr>
      </w:pPr>
      <w:r>
        <w:rPr>
          <w:b/>
          <w:szCs w:val="22"/>
          <w:lang w:eastAsia="en-US"/>
        </w:rPr>
        <w:t>ODVOLACIE KONANIE ZASTAVÍ</w:t>
      </w:r>
      <w:r>
        <w:rPr>
          <w:szCs w:val="22"/>
          <w:lang w:eastAsia="en-US"/>
        </w:rPr>
        <w:t xml:space="preserve"> – RO rozhodnutím zastaví odvolacie konanie v prípade späťvzatia odvolania zo strany žiadateľa. Žiadateľ je oprávnený podané odvolanie vziať späť</w:t>
      </w:r>
      <w:r w:rsidR="007324D5">
        <w:rPr>
          <w:szCs w:val="22"/>
          <w:lang w:eastAsia="en-US"/>
        </w:rPr>
        <w:t>,</w:t>
      </w:r>
      <w:r>
        <w:rPr>
          <w:szCs w:val="22"/>
          <w:lang w:eastAsia="en-US"/>
        </w:rPr>
        <w:t xml:space="preserve"> a to až do ukončenia odvolacieho konania. Po späťvzatí odvolania nie je žiadateľ oprávnený podať znova odvolanie. Oznámenie o späťvzatí odvolania musí byť podané písomne RO. Za deň späťvzatia odvolania sa považuje deň keď bolo oznámenie o späťvzatí doručené RO. RO rozhodne o</w:t>
      </w:r>
      <w:r>
        <w:rPr>
          <w:color w:val="FFFFFF"/>
        </w:rPr>
        <w:t xml:space="preserve"> </w:t>
      </w:r>
      <w:r>
        <w:rPr>
          <w:szCs w:val="22"/>
          <w:lang w:eastAsia="en-US"/>
        </w:rPr>
        <w:t>zastavení konania ku dňu  doručenia späťvzatia odvolania.</w:t>
      </w:r>
    </w:p>
    <w:p w14:paraId="71E18931" w14:textId="77777777" w:rsidR="00B650E5" w:rsidRDefault="0053588C" w:rsidP="009078F6">
      <w:pPr>
        <w:tabs>
          <w:tab w:val="left" w:pos="709"/>
        </w:tabs>
        <w:spacing w:before="120" w:after="120"/>
        <w:jc w:val="center"/>
        <w:rPr>
          <w:sz w:val="18"/>
          <w:szCs w:val="18"/>
          <w:lang w:eastAsia="en-US"/>
        </w:rPr>
      </w:pPr>
      <w:r>
        <w:rPr>
          <w:noProof/>
        </w:rPr>
        <w:drawing>
          <wp:anchor distT="18288" distB="46863" distL="156972" distR="149352" simplePos="0" relativeHeight="251651072" behindDoc="0" locked="0" layoutInCell="1" allowOverlap="1" wp14:anchorId="405AFB81" wp14:editId="7D6F49EB">
            <wp:simplePos x="0" y="0"/>
            <wp:positionH relativeFrom="column">
              <wp:posOffset>954532</wp:posOffset>
            </wp:positionH>
            <wp:positionV relativeFrom="paragraph">
              <wp:posOffset>143383</wp:posOffset>
            </wp:positionV>
            <wp:extent cx="4457065" cy="885825"/>
            <wp:effectExtent l="76200" t="57150" r="95885" b="123825"/>
            <wp:wrapTopAndBottom/>
            <wp:docPr id="70" name="Diagram 107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6" r:lo="rId147" r:qs="rId148" r:cs="rId149"/>
              </a:graphicData>
            </a:graphic>
            <wp14:sizeRelH relativeFrom="page">
              <wp14:pctWidth>0</wp14:pctWidth>
            </wp14:sizeRelH>
            <wp14:sizeRelV relativeFrom="page">
              <wp14:pctHeight>0</wp14:pctHeight>
            </wp14:sizeRelV>
          </wp:anchor>
        </w:drawing>
      </w:r>
      <w:r w:rsidR="00B650E5">
        <w:rPr>
          <w:sz w:val="18"/>
          <w:szCs w:val="18"/>
          <w:lang w:eastAsia="en-US"/>
        </w:rPr>
        <w:t>Postup RO pri späťvzatí odvolania</w:t>
      </w:r>
    </w:p>
    <w:p w14:paraId="7459082C" w14:textId="5C859D7F" w:rsidR="00B650E5" w:rsidRPr="009078F6" w:rsidRDefault="0053588C" w:rsidP="009D6DF9">
      <w:pPr>
        <w:numPr>
          <w:ilvl w:val="0"/>
          <w:numId w:val="106"/>
        </w:numPr>
        <w:spacing w:before="120" w:after="120"/>
        <w:ind w:left="851" w:hanging="425"/>
        <w:jc w:val="both"/>
        <w:rPr>
          <w:szCs w:val="22"/>
          <w:lang w:eastAsia="en-US"/>
        </w:rPr>
      </w:pPr>
      <w:r>
        <w:rPr>
          <w:noProof/>
        </w:rPr>
        <w:drawing>
          <wp:anchor distT="0" distB="0" distL="150876" distR="147828" simplePos="0" relativeHeight="251672576" behindDoc="1" locked="0" layoutInCell="1" allowOverlap="1" wp14:anchorId="3173B635" wp14:editId="3F21D038">
            <wp:simplePos x="0" y="0"/>
            <wp:positionH relativeFrom="column">
              <wp:posOffset>256921</wp:posOffset>
            </wp:positionH>
            <wp:positionV relativeFrom="paragraph">
              <wp:posOffset>3218815</wp:posOffset>
            </wp:positionV>
            <wp:extent cx="5561965" cy="1514475"/>
            <wp:effectExtent l="76200" t="0" r="95885" b="0"/>
            <wp:wrapThrough wrapText="bothSides">
              <wp:wrapPolygon edited="0">
                <wp:start x="0" y="1902"/>
                <wp:lineTo x="-296" y="2445"/>
                <wp:lineTo x="-296" y="19562"/>
                <wp:lineTo x="15832" y="20106"/>
                <wp:lineTo x="21602" y="20106"/>
                <wp:lineTo x="21898" y="15758"/>
                <wp:lineTo x="21898" y="6792"/>
                <wp:lineTo x="21307" y="2717"/>
                <wp:lineTo x="21307" y="1902"/>
                <wp:lineTo x="0" y="1902"/>
              </wp:wrapPolygon>
            </wp:wrapThrough>
            <wp:docPr id="69" name="Diagram 107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1" r:lo="rId152" r:qs="rId153" r:cs="rId154"/>
              </a:graphicData>
            </a:graphic>
            <wp14:sizeRelH relativeFrom="page">
              <wp14:pctWidth>0</wp14:pctWidth>
            </wp14:sizeRelH>
            <wp14:sizeRelV relativeFrom="page">
              <wp14:pctHeight>0</wp14:pctHeight>
            </wp14:sizeRelV>
          </wp:anchor>
        </w:drawing>
      </w:r>
      <w:r w:rsidR="00B650E5" w:rsidRPr="009078F6">
        <w:rPr>
          <w:b/>
          <w:szCs w:val="22"/>
          <w:lang w:eastAsia="en-US"/>
        </w:rPr>
        <w:t>RO ROZHODNE O ODVOLANÍ NA SVOJEJ ÚROVNI</w:t>
      </w:r>
      <w:r w:rsidR="00B650E5" w:rsidRPr="009078F6">
        <w:rPr>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vadné. Proces zhodnotenia dôkazov predložených v odvolaní musí byť jasne zadefinovaný tak, aby nevznikla pochybnosť o správnosti posúdenia predmetného odvolania a oprávnenosti RO rozhodnúť o odvolaní na rovnakej úrovni, na </w:t>
      </w:r>
      <w:r w:rsidR="00B650E5" w:rsidRPr="007A00B7">
        <w:rPr>
          <w:szCs w:val="22"/>
          <w:lang w:eastAsia="en-US"/>
        </w:rPr>
        <w:t xml:space="preserve">akej bolo vydané napadnuté rozhodnutie. RO je oprávnený zmeniť rozhodnutie podľa tohto písmena iba v prípade, ak odvolaniu vyhovie v plnom rozsahu. V prípade, ak RO vyhovie odvolaniu, ktorým má dôjsť k zmene rozhodnutia o neschválení, za 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schválených výdavkov a takáto výška nekorešponduje presne s výškou, ktorej sa žiadateľ domáhal v odvolaní, RO postupuje podľa </w:t>
      </w:r>
      <w:hyperlink w:anchor="kapitola_3241_ods_5c" w:tooltip="písm. c)" w:history="1">
        <w:r w:rsidR="00B650E5" w:rsidRPr="009078F6">
          <w:rPr>
            <w:rStyle w:val="Hypertextovprepojenie"/>
          </w:rPr>
          <w:t>písm. c)</w:t>
        </w:r>
      </w:hyperlink>
      <w:r w:rsidR="00B650E5" w:rsidRPr="009078F6">
        <w:rPr>
          <w:szCs w:val="22"/>
          <w:lang w:eastAsia="en-US"/>
        </w:rPr>
        <w:t xml:space="preserve">, </w:t>
      </w:r>
      <w:r w:rsidR="00C93F30">
        <w:rPr>
          <w:szCs w:val="22"/>
          <w:lang w:eastAsia="en-US"/>
        </w:rPr>
        <w:t xml:space="preserve">t. j. </w:t>
      </w:r>
      <w:r w:rsidR="00B650E5" w:rsidRPr="009078F6">
        <w:rPr>
          <w:szCs w:val="22"/>
          <w:lang w:eastAsia="en-US"/>
        </w:rPr>
        <w:t xml:space="preserve">o odvolaní rozhodne štatutárny orgán RO. Pri postupe podľa tohto písmena RO vydá nové rozhodnutie, na ktorého náležitosti sa primerane aplikujú ustanovenia o náležitostiach rozhodnutia o ŽoNFP. Týmto novým rozhodnutím RO pôvodné rozhodnutie zmení tak, aby v plnom rozsahu vyhovel odvolaniu. </w:t>
      </w:r>
    </w:p>
    <w:p w14:paraId="169B6511" w14:textId="77777777" w:rsidR="00B650E5" w:rsidRDefault="00B650E5">
      <w:pPr>
        <w:tabs>
          <w:tab w:val="left" w:pos="709"/>
        </w:tabs>
        <w:spacing w:before="120" w:after="120"/>
        <w:jc w:val="center"/>
        <w:rPr>
          <w:sz w:val="18"/>
          <w:szCs w:val="18"/>
          <w:lang w:eastAsia="en-US"/>
        </w:rPr>
      </w:pPr>
    </w:p>
    <w:p w14:paraId="6280F200" w14:textId="77777777" w:rsidR="00B650E5" w:rsidRDefault="00B650E5">
      <w:pPr>
        <w:tabs>
          <w:tab w:val="left" w:pos="709"/>
        </w:tabs>
        <w:spacing w:before="120" w:after="120"/>
        <w:jc w:val="center"/>
        <w:rPr>
          <w:sz w:val="18"/>
          <w:szCs w:val="18"/>
          <w:lang w:eastAsia="en-US"/>
        </w:rPr>
      </w:pPr>
      <w:r>
        <w:rPr>
          <w:sz w:val="18"/>
          <w:szCs w:val="18"/>
          <w:lang w:eastAsia="en-US"/>
        </w:rPr>
        <w:lastRenderedPageBreak/>
        <w:t>Rozhodnutie o odvolaní na úrovni RO (autoremedúra)</w:t>
      </w:r>
    </w:p>
    <w:p w14:paraId="07D0C604" w14:textId="0CF7FA1D" w:rsidR="00B650E5" w:rsidRDefault="00B650E5">
      <w:pPr>
        <w:spacing w:before="120" w:after="120"/>
        <w:ind w:left="851"/>
        <w:jc w:val="both"/>
        <w:rPr>
          <w:szCs w:val="22"/>
          <w:lang w:eastAsia="en-US"/>
        </w:rPr>
      </w:pPr>
      <w:r>
        <w:rPr>
          <w:szCs w:val="22"/>
          <w:lang w:eastAsia="en-US"/>
        </w:rPr>
        <w:t>RO je povinný rozhodnúť o odvolaní na svojej úrovni najneskôr do 60 pracovných dní od</w:t>
      </w:r>
      <w:r w:rsidR="00032D32">
        <w:rPr>
          <w:szCs w:val="22"/>
          <w:lang w:eastAsia="en-US"/>
        </w:rPr>
        <w:t> </w:t>
      </w:r>
      <w:r>
        <w:rPr>
          <w:szCs w:val="22"/>
          <w:lang w:eastAsia="en-US"/>
        </w:rPr>
        <w:t>doručenia odvolania alebo v rovnakej lehote predložiť odvolanie na rozhodnutie štatutárnemu orgánu RO.</w:t>
      </w:r>
    </w:p>
    <w:p w14:paraId="6F493D06" w14:textId="77CA1DE7" w:rsidR="00B650E5" w:rsidRDefault="00B650E5">
      <w:pPr>
        <w:numPr>
          <w:ilvl w:val="0"/>
          <w:numId w:val="106"/>
        </w:numPr>
        <w:spacing w:before="120" w:after="120"/>
        <w:ind w:left="851" w:hanging="425"/>
        <w:jc w:val="both"/>
        <w:rPr>
          <w:szCs w:val="22"/>
          <w:lang w:eastAsia="en-US"/>
        </w:rPr>
      </w:pPr>
      <w:bookmarkStart w:id="253" w:name="kapitola_3241_ods_5c"/>
      <w:r>
        <w:rPr>
          <w:b/>
          <w:szCs w:val="22"/>
          <w:lang w:eastAsia="en-US"/>
        </w:rPr>
        <w:t>O ODVOLANÍ ROZHODNE ŠTATUTÁRNY ORGÁN RO</w:t>
      </w:r>
      <w:r>
        <w:rPr>
          <w:szCs w:val="22"/>
          <w:lang w:eastAsia="en-US"/>
        </w:rPr>
        <w:t xml:space="preserve"> – v prípade, ak RO nerozhodol o odvolaní spôsobom podľa písm. b), bezodkladne po zistení dôvodov, na</w:t>
      </w:r>
      <w:r w:rsidR="00032D32">
        <w:rPr>
          <w:szCs w:val="22"/>
          <w:lang w:eastAsia="en-US"/>
        </w:rPr>
        <w:t> </w:t>
      </w:r>
      <w:r>
        <w:rPr>
          <w:szCs w:val="22"/>
          <w:lang w:eastAsia="en-US"/>
        </w:rPr>
        <w:t>základe ktorých nie je možné rozhodnúť podľa písmena b) postúpi RO odvolanie na</w:t>
      </w:r>
      <w:r w:rsidR="00032D32">
        <w:rPr>
          <w:szCs w:val="22"/>
          <w:lang w:eastAsia="en-US"/>
        </w:rPr>
        <w:t> </w:t>
      </w:r>
      <w:r>
        <w:rPr>
          <w:szCs w:val="22"/>
          <w:lang w:eastAsia="en-US"/>
        </w:rPr>
        <w:t xml:space="preserve">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253"/>
      <w:r>
        <w:rPr>
          <w:szCs w:val="22"/>
          <w:lang w:eastAsia="en-US"/>
        </w:rPr>
        <w:t>komisie upravuje jej štatút a rokovací poriadok. RO zakotví v rokovacom poriadku oprávnenie komisie prizvať na rokovanie odborníkov, ktorí sa môžu kvalifikovane vyjadriť k predmetu rokovania (takými osobami môžu byť najmä odborní hodnotitelia, zamestnanci RO, ktorí vykonávali úkony v rámci schvaľovacieho procesu a pod.). Komisia je zložená z nepárneho počtu členov, pričom predsedom komisie musí byť osoba odlišná od</w:t>
      </w:r>
      <w:r w:rsidR="00F93F57">
        <w:rPr>
          <w:szCs w:val="22"/>
          <w:lang w:eastAsia="en-US"/>
        </w:rPr>
        <w:t> </w:t>
      </w:r>
      <w:r>
        <w:rPr>
          <w:szCs w:val="22"/>
          <w:lang w:eastAsia="en-US"/>
        </w:rPr>
        <w:t>zamestnancov RO. Členovia komisie sú menovaní štatutárnym orgánom RO a sú povinní 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14:paraId="67B70A82"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zmení</w:t>
      </w:r>
      <w:r>
        <w:rPr>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p>
    <w:p w14:paraId="741B1CD4" w14:textId="1FEA24E0"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potvrdí</w:t>
      </w:r>
      <w:r w:rsidR="00F93F57">
        <w:rPr>
          <w:bCs/>
          <w:iCs/>
          <w:szCs w:val="22"/>
          <w:lang w:eastAsia="en-US"/>
        </w:rPr>
        <w:t xml:space="preserve"> – </w:t>
      </w:r>
      <w:r>
        <w:rPr>
          <w:bCs/>
          <w:iCs/>
          <w:szCs w:val="22"/>
          <w:lang w:eastAsia="en-US"/>
        </w:rPr>
        <w:t>ak sa v odvolacom konaní preukáže, že napadnuté rozhodnutie bolo vydané v súlade s podmienkami poskytnutia príspevku, štatutárny orgán RO rozhodnutie potvrdí formou rozhodnutia.</w:t>
      </w:r>
    </w:p>
    <w:p w14:paraId="4F2DD7AB" w14:textId="77777777" w:rsidR="00B650E5" w:rsidRDefault="00B650E5">
      <w:pPr>
        <w:numPr>
          <w:ilvl w:val="0"/>
          <w:numId w:val="104"/>
        </w:numPr>
        <w:spacing w:before="120" w:after="120"/>
        <w:ind w:left="426" w:hanging="426"/>
        <w:jc w:val="both"/>
        <w:rPr>
          <w:szCs w:val="22"/>
          <w:lang w:eastAsia="en-US"/>
        </w:rPr>
      </w:pPr>
      <w:r>
        <w:rPr>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p>
    <w:p w14:paraId="2CB78F44" w14:textId="77777777" w:rsidR="00B650E5" w:rsidRDefault="0053588C">
      <w:pPr>
        <w:tabs>
          <w:tab w:val="left" w:pos="709"/>
        </w:tabs>
        <w:spacing w:before="120" w:after="120"/>
        <w:jc w:val="center"/>
        <w:rPr>
          <w:szCs w:val="22"/>
          <w:lang w:eastAsia="en-US"/>
        </w:rPr>
      </w:pPr>
      <w:r>
        <w:rPr>
          <w:noProof/>
        </w:rPr>
        <w:lastRenderedPageBreak/>
        <w:drawing>
          <wp:anchor distT="6096" distB="0" distL="114300" distR="114300" simplePos="0" relativeHeight="251671552" behindDoc="1" locked="0" layoutInCell="1" allowOverlap="1" wp14:anchorId="0F3DBA55" wp14:editId="4E21F504">
            <wp:simplePos x="0" y="0"/>
            <wp:positionH relativeFrom="column">
              <wp:posOffset>371729</wp:posOffset>
            </wp:positionH>
            <wp:positionV relativeFrom="paragraph">
              <wp:posOffset>-18034</wp:posOffset>
            </wp:positionV>
            <wp:extent cx="5486400" cy="2190115"/>
            <wp:effectExtent l="0" t="57150" r="0" b="38735"/>
            <wp:wrapTopAndBottom/>
            <wp:docPr id="68" name="Diagram 107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6" r:lo="rId157" r:qs="rId158" r:cs="rId159"/>
              </a:graphicData>
            </a:graphic>
            <wp14:sizeRelH relativeFrom="page">
              <wp14:pctWidth>0</wp14:pctWidth>
            </wp14:sizeRelH>
            <wp14:sizeRelV relativeFrom="page">
              <wp14:pctHeight>0</wp14:pctHeight>
            </wp14:sizeRelV>
          </wp:anchor>
        </w:drawing>
      </w:r>
      <w:r w:rsidR="00B650E5">
        <w:rPr>
          <w:sz w:val="18"/>
          <w:szCs w:val="18"/>
          <w:lang w:eastAsia="en-US"/>
        </w:rPr>
        <w:t>Postup pri rozhodovaní o odvolaní na úrovni štatutárneho orgánu RO</w:t>
      </w:r>
    </w:p>
    <w:p w14:paraId="18FFFCDF" w14:textId="77777777" w:rsidR="00B650E5" w:rsidRPr="00D7547F" w:rsidRDefault="00B650E5" w:rsidP="0045286B">
      <w:pPr>
        <w:pStyle w:val="SRK4"/>
      </w:pPr>
      <w:bookmarkStart w:id="254" w:name="_Toc453234008"/>
      <w:bookmarkStart w:id="255" w:name="_Toc495649367"/>
      <w:r w:rsidRPr="007D7393">
        <w:t>3.2.4.2 Preskúmanie rozhodnutia mimo odvolacieho konania</w:t>
      </w:r>
      <w:bookmarkEnd w:id="254"/>
      <w:bookmarkEnd w:id="255"/>
    </w:p>
    <w:p w14:paraId="2F94B055" w14:textId="749565E3"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Mimoriadnym opravným prostriedkom, v rámci ktorého je možné vykonať nápravu rozhodnutia je preskúmanie rozhodnutia mimo odvolacieho konania.</w:t>
      </w:r>
    </w:p>
    <w:p w14:paraId="763D84FE"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Preskúmať mimo odvolacieho konania možno všetky právoplatné rozhodnutia vydané podľa zákona o príspevku z EŠIF, vrátane rozhodnutí o zastavení konania. </w:t>
      </w:r>
    </w:p>
    <w:p w14:paraId="3123F57E"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14:paraId="4B8DA7EF"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Predchádzajúce podanie odvolania v prípadoch, kedy je možné odvolanie proti rozhodnutiu podať nie je podmienkou, aby toto rozhodnutie mohlo byť preskúmané mimo odvolacieho konania.</w:t>
      </w:r>
    </w:p>
    <w:p w14:paraId="14704867"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Žiadateľ je oprávnený dať podnet na preskúmanie rozhodnutia mimo odvolacieho konania s výnimkou podnetu voči rozhodnutiu vydanom v odvolacom konaní.</w:t>
      </w:r>
    </w:p>
    <w:p w14:paraId="32966352"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Štatutárny orgán RO je oprávnený preskúmať právoplatné rozhodnutie aj z vlastného podnetu.</w:t>
      </w:r>
    </w:p>
    <w:p w14:paraId="4E6D1AB4"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V prípade, ak žiadateľ podal podnet na preskúmanie rozhodnutia mimo odvolacieho konania, štatutárny orgán preskúma jeho opodstatnenosť. Ak je podnet neopodstatnený, listom informuje žiadateľa o dôvodoch neopodstatnenosti podnetu.</w:t>
      </w:r>
    </w:p>
    <w:p w14:paraId="4AA64408"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Ak je podnet žiadateľa opodstatnený, alebo ide o preskúmanie rozhodnutia z vlastného podnetu štatutárneho orgánu RO, štatutárny orgán RO informuje písomne žiadateľa o začatí preskúmania rozhodnutia mimo odvolacieho konania.  Podľa § 24 ods. 4 zákona o príspevku z EŠIF, konanie o preskúmaní rozhodnutia mimo odvolacieho konania začína doručením oznámenia štatutárneho orgánu RO o preskúmaní rozhodnutia z vlastného podnetu žiadateľovi alebo doručením oznámenia štatutárneho orgánu RO o uznaní opodstatnenosti podnetu žiadateľa na preskúmanie rozhodnutia mimo odvolacieho konania žiadateľovi. </w:t>
      </w:r>
    </w:p>
    <w:p w14:paraId="678CBC2C" w14:textId="77777777" w:rsidR="00B650E5" w:rsidRDefault="00B650E5">
      <w:pPr>
        <w:numPr>
          <w:ilvl w:val="0"/>
          <w:numId w:val="108"/>
        </w:numPr>
        <w:spacing w:before="120" w:after="120"/>
        <w:ind w:left="426" w:hanging="426"/>
        <w:jc w:val="both"/>
        <w:rPr>
          <w:szCs w:val="22"/>
          <w:lang w:eastAsia="en-US"/>
        </w:rPr>
      </w:pPr>
      <w:r w:rsidRPr="00AF2804">
        <w:rPr>
          <w:szCs w:val="22"/>
          <w:lang w:eastAsia="en-US"/>
        </w:rPr>
        <w:t>V rámci preskúmania rozhodnutia mimo odvolacieho konania štatutárny orgán RO postupuje</w:t>
      </w:r>
      <w:r>
        <w:rPr>
          <w:szCs w:val="22"/>
          <w:lang w:eastAsia="en-US"/>
        </w:rPr>
        <w:t xml:space="preserve"> nasledovne:</w:t>
      </w:r>
    </w:p>
    <w:p w14:paraId="1D1BD8F3" w14:textId="22729E5E" w:rsidR="00B650E5" w:rsidRDefault="00B650E5">
      <w:pPr>
        <w:numPr>
          <w:ilvl w:val="0"/>
          <w:numId w:val="110"/>
        </w:numPr>
        <w:spacing w:before="120" w:after="120"/>
        <w:ind w:left="851" w:hanging="425"/>
        <w:jc w:val="both"/>
        <w:rPr>
          <w:szCs w:val="22"/>
          <w:lang w:eastAsia="en-US"/>
        </w:rPr>
      </w:pPr>
      <w:r>
        <w:rPr>
          <w:b/>
          <w:szCs w:val="22"/>
          <w:lang w:eastAsia="en-US"/>
        </w:rPr>
        <w:t>PRESKÚMAVANÉ ROZHODNUTIE ZMENÍ</w:t>
      </w:r>
      <w:r>
        <w:rPr>
          <w:szCs w:val="22"/>
          <w:lang w:eastAsia="en-US"/>
        </w:rPr>
        <w:t xml:space="preserve"> – ak štatutárny orgán RO preskúmaním rozhodnutia mimo odvolacieho konania zistí, že rozhodnutie bolo vydané v rozpore  so</w:t>
      </w:r>
      <w:r w:rsidR="00F93F57">
        <w:rPr>
          <w:szCs w:val="22"/>
          <w:lang w:eastAsia="en-US"/>
        </w:rPr>
        <w:t> </w:t>
      </w:r>
      <w:r>
        <w:rPr>
          <w:szCs w:val="22"/>
          <w:lang w:eastAsia="en-US"/>
        </w:rPr>
        <w:t>zákonom o príspevku z EŠIF, rozhodnutie zmení. Preskúmavané rozhodnutie zmení vydaním nového rozhodnutia, na ktorého náležitosti sa primerane aplikujú ustanovenia o náležitostiach rozhodnutia o schválení/neschválení ŽoNFP.</w:t>
      </w:r>
    </w:p>
    <w:p w14:paraId="505EAA82" w14:textId="22323B04" w:rsidR="00B650E5" w:rsidRDefault="00B650E5">
      <w:pPr>
        <w:numPr>
          <w:ilvl w:val="0"/>
          <w:numId w:val="110"/>
        </w:numPr>
        <w:spacing w:before="120" w:after="120"/>
        <w:ind w:left="851" w:hanging="425"/>
        <w:jc w:val="both"/>
        <w:rPr>
          <w:szCs w:val="22"/>
          <w:lang w:eastAsia="en-US"/>
        </w:rPr>
      </w:pPr>
      <w:r>
        <w:rPr>
          <w:b/>
          <w:szCs w:val="22"/>
          <w:lang w:eastAsia="en-US"/>
        </w:rPr>
        <w:lastRenderedPageBreak/>
        <w:t>PRESKÚMAVACIE KONANIE ZASTAVÍ</w:t>
      </w:r>
      <w:r>
        <w:rPr>
          <w:szCs w:val="22"/>
          <w:lang w:eastAsia="en-US"/>
        </w:rPr>
        <w:t xml:space="preserve"> - ak štatutárny orgán RO preskúmaním rozhodnutia mimo odvolacieho konania zistí, že rozhodnutie nebolo vydané v rozpore so</w:t>
      </w:r>
      <w:r w:rsidR="007D7393">
        <w:rPr>
          <w:szCs w:val="22"/>
          <w:lang w:eastAsia="en-US"/>
        </w:rPr>
        <w:t> </w:t>
      </w:r>
      <w:r>
        <w:rPr>
          <w:szCs w:val="22"/>
          <w:lang w:eastAsia="en-US"/>
        </w:rPr>
        <w:t xml:space="preserve">zákonom o príspevku z EŠIF, štatutárny orgán preskúmavacie konanie zastaví. Zastavenie konania sa vykoná rozhodnutím.  </w:t>
      </w:r>
    </w:p>
    <w:p w14:paraId="5AC01AF6" w14:textId="7C0ECB23" w:rsidR="00B650E5" w:rsidRDefault="0053588C">
      <w:pPr>
        <w:numPr>
          <w:ilvl w:val="0"/>
          <w:numId w:val="108"/>
        </w:numPr>
        <w:spacing w:before="120" w:after="120"/>
        <w:ind w:left="426" w:hanging="426"/>
        <w:jc w:val="both"/>
        <w:rPr>
          <w:szCs w:val="22"/>
          <w:lang w:eastAsia="en-US"/>
        </w:rPr>
      </w:pPr>
      <w:r>
        <w:rPr>
          <w:noProof/>
        </w:rPr>
        <w:drawing>
          <wp:anchor distT="6096" distB="48768" distL="114300" distR="114300" simplePos="0" relativeHeight="251652096" behindDoc="0" locked="0" layoutInCell="1" allowOverlap="1" wp14:anchorId="07C185C1" wp14:editId="2634F4C9">
            <wp:simplePos x="0" y="0"/>
            <wp:positionH relativeFrom="column">
              <wp:posOffset>381000</wp:posOffset>
            </wp:positionH>
            <wp:positionV relativeFrom="paragraph">
              <wp:posOffset>1336040</wp:posOffset>
            </wp:positionV>
            <wp:extent cx="5485765" cy="3199765"/>
            <wp:effectExtent l="0" t="19050" r="0" b="76835"/>
            <wp:wrapTopAndBottom/>
            <wp:docPr id="6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1" r:lo="rId162" r:qs="rId163" r:cs="rId164"/>
              </a:graphicData>
            </a:graphic>
            <wp14:sizeRelH relativeFrom="page">
              <wp14:pctWidth>0</wp14:pctWidth>
            </wp14:sizeRelH>
            <wp14:sizeRelV relativeFrom="page">
              <wp14:pctHeight>0</wp14:pctHeight>
            </wp14:sizeRelV>
          </wp:anchor>
        </w:drawing>
      </w:r>
      <w:r w:rsidR="00B650E5">
        <w:rPr>
          <w:szCs w:val="22"/>
          <w:lang w:eastAsia="en-US"/>
        </w:rPr>
        <w:t>Po ukončení preskúmania rozhodnutia mimo odvolacieho konania štatutárny orgán písomne informuje žiadateľa o jeho výsledku. Štatutárny orgán RO je povinný rozhodnúť mimo odvolacieho konania do 60 pracovných dní od začiatku konania z vlastného podnetu alebo od</w:t>
      </w:r>
      <w:r w:rsidR="007D7393">
        <w:rPr>
          <w:szCs w:val="22"/>
          <w:lang w:eastAsia="en-US"/>
        </w:rPr>
        <w:t> </w:t>
      </w:r>
      <w:r w:rsidR="00B650E5">
        <w:rPr>
          <w:szCs w:val="22"/>
          <w:lang w:eastAsia="en-US"/>
        </w:rPr>
        <w:t>uznania opodstatnenosti podnetu žiadateľa. Vo zvlášť zložitých prípadoch rozhodne do 90 pracovných dní, pričom v takomto prípade RO písomne informuje o predĺžení a dôvodoch predĺženia žiadateľa.</w:t>
      </w:r>
    </w:p>
    <w:p w14:paraId="16D73220" w14:textId="77777777" w:rsidR="00B650E5" w:rsidRDefault="00B650E5">
      <w:pPr>
        <w:tabs>
          <w:tab w:val="left" w:pos="709"/>
        </w:tabs>
        <w:spacing w:before="120" w:after="120"/>
        <w:jc w:val="center"/>
        <w:rPr>
          <w:sz w:val="18"/>
          <w:szCs w:val="18"/>
          <w:lang w:eastAsia="en-US"/>
        </w:rPr>
      </w:pPr>
      <w:r>
        <w:rPr>
          <w:sz w:val="18"/>
          <w:szCs w:val="18"/>
          <w:lang w:eastAsia="en-US"/>
        </w:rPr>
        <w:t>Model preskúmania rozhodnutia mimo odvolacieho konania</w:t>
      </w:r>
    </w:p>
    <w:p w14:paraId="58AAB889" w14:textId="5E93F0E1" w:rsidR="00B650E5" w:rsidRDefault="00B650E5">
      <w:pPr>
        <w:numPr>
          <w:ilvl w:val="0"/>
          <w:numId w:val="108"/>
        </w:numPr>
        <w:spacing w:before="120" w:after="120"/>
        <w:ind w:left="426" w:hanging="426"/>
        <w:jc w:val="both"/>
        <w:rPr>
          <w:szCs w:val="22"/>
          <w:lang w:eastAsia="en-US"/>
        </w:rPr>
      </w:pPr>
      <w:r>
        <w:rPr>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w:t>
      </w:r>
      <w:r w:rsidR="007D7393">
        <w:rPr>
          <w:szCs w:val="22"/>
          <w:lang w:eastAsia="en-US"/>
        </w:rPr>
        <w:t>a</w:t>
      </w:r>
      <w:r>
        <w:rPr>
          <w:szCs w:val="22"/>
          <w:lang w:eastAsia="en-US"/>
        </w:rPr>
        <w:t>. Kompetencie poradnej komisie spojené 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podaného odvolania nepreskúmavala v rovnakom zložení aj totožné rozhodnutie mimo odvolacieho konania.</w:t>
      </w:r>
    </w:p>
    <w:p w14:paraId="2876417A" w14:textId="6FF95047" w:rsidR="00B650E5" w:rsidRDefault="00B650E5">
      <w:pPr>
        <w:numPr>
          <w:ilvl w:val="0"/>
          <w:numId w:val="108"/>
        </w:numPr>
        <w:spacing w:before="120" w:after="120"/>
        <w:ind w:left="426" w:hanging="426"/>
        <w:jc w:val="both"/>
        <w:rPr>
          <w:szCs w:val="22"/>
          <w:lang w:eastAsia="en-US"/>
        </w:rPr>
      </w:pPr>
      <w:r>
        <w:rPr>
          <w:szCs w:val="22"/>
          <w:lang w:eastAsia="en-US"/>
        </w:rPr>
        <w:t>Pri preskúmaní rozhodnutia vychádza štatutárny orgán RO z právneho stavu a skutkových okolností platných v čase vydania rozhodnutia. Rozhodnutie nie je možné zmeniť na základe okolností, ktoré nastali po vydaní preskúmavaného rozhodnutia. Štatutárny orgán RO nemôže rozhodnutie zmeniť, ak sa po jeho vydaní dodatočne zmenili rozhodujúce skutkové okolnosti, z</w:t>
      </w:r>
      <w:r w:rsidR="00D7547F">
        <w:rPr>
          <w:szCs w:val="22"/>
          <w:lang w:eastAsia="en-US"/>
        </w:rPr>
        <w:t> </w:t>
      </w:r>
      <w:r>
        <w:rPr>
          <w:szCs w:val="22"/>
          <w:lang w:eastAsia="en-US"/>
        </w:rPr>
        <w:t>ktorých pôvodné rozhodnutie vychádzalo. Táto skutočnosť je rozhodujúca pre prípady, kedy je v rámci schvaľovacieho procesu výber uskutočňovaný na základe aplikácie finančnej alokácie na</w:t>
      </w:r>
      <w:r w:rsidR="00D7547F">
        <w:rPr>
          <w:szCs w:val="22"/>
          <w:lang w:eastAsia="en-US"/>
        </w:rPr>
        <w:t> </w:t>
      </w:r>
      <w:r>
        <w:rPr>
          <w:szCs w:val="22"/>
          <w:lang w:eastAsia="en-US"/>
        </w:rPr>
        <w:t xml:space="preserve">skupinu ŽoNFP zoradenú podľa výsledkov dosiahnutých v odbornom hodnotení alebo kritérií v rámci výberu. Ak sa pri preskúmaní rozhodnutia preukáže, že dané rozhodnutie je potrebné zmeniť, ŽoNFP sa umiestni na inom mieste v poradí, nie je možné automaticky preskúmavať </w:t>
      </w:r>
      <w:r>
        <w:rPr>
          <w:szCs w:val="22"/>
          <w:lang w:eastAsia="en-US"/>
        </w:rPr>
        <w:lastRenderedPageBreak/>
        <w:t>ostatné rozhodnutia, ktorých sa zmena poradia v danom prípade týka. Ich postavenie ostáva zmenou individuálneho rozhodnutia nezmenené.</w:t>
      </w:r>
    </w:p>
    <w:p w14:paraId="5BBAB9C3" w14:textId="77777777" w:rsidR="00B650E5" w:rsidRDefault="00B650E5" w:rsidP="0045286B">
      <w:pPr>
        <w:pStyle w:val="SRK4"/>
      </w:pPr>
      <w:bookmarkStart w:id="256" w:name="_Toc453234009"/>
      <w:bookmarkStart w:id="257" w:name="_Toc495649368"/>
      <w:r>
        <w:t>3.2.4.3 Oprava rozhodnutia</w:t>
      </w:r>
      <w:bookmarkEnd w:id="256"/>
      <w:bookmarkEnd w:id="257"/>
    </w:p>
    <w:p w14:paraId="257562E1" w14:textId="77777777" w:rsidR="00B650E5" w:rsidRDefault="00B650E5">
      <w:pPr>
        <w:numPr>
          <w:ilvl w:val="0"/>
          <w:numId w:val="109"/>
        </w:numPr>
        <w:spacing w:before="120" w:after="120"/>
        <w:ind w:left="425" w:hanging="425"/>
        <w:jc w:val="both"/>
        <w:rPr>
          <w:szCs w:val="22"/>
          <w:lang w:eastAsia="en-US"/>
        </w:rPr>
      </w:pPr>
      <w:bookmarkStart w:id="258" w:name="_Toc378947503"/>
      <w:r>
        <w:rPr>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14:paraId="235F20F1" w14:textId="4A89AFCD" w:rsidR="00B650E5" w:rsidRDefault="00B650E5">
      <w:pPr>
        <w:numPr>
          <w:ilvl w:val="0"/>
          <w:numId w:val="109"/>
        </w:numPr>
        <w:spacing w:before="120" w:after="120"/>
        <w:ind w:left="425" w:hanging="425"/>
        <w:jc w:val="both"/>
        <w:rPr>
          <w:szCs w:val="22"/>
          <w:lang w:eastAsia="en-US"/>
        </w:rPr>
      </w:pPr>
      <w:r>
        <w:rPr>
          <w:szCs w:val="22"/>
          <w:lang w:eastAsia="en-US"/>
        </w:rPr>
        <w:t xml:space="preserve">Na opravu rozhodnutia sa vzťahuje § 47 ods. 6 správneho poriadku, </w:t>
      </w:r>
      <w:r w:rsidR="00C93F30">
        <w:rPr>
          <w:szCs w:val="22"/>
          <w:lang w:eastAsia="en-US"/>
        </w:rPr>
        <w:t xml:space="preserve">t. j. </w:t>
      </w:r>
      <w:r>
        <w:rPr>
          <w:szCs w:val="22"/>
          <w:lang w:eastAsia="en-US"/>
        </w:rPr>
        <w:t>chyby v písaní, v počítaní alebo iné zrejmé nesprávnosti sú opravené kedykoľvek aj bez návrhu žiadateľa.</w:t>
      </w:r>
    </w:p>
    <w:p w14:paraId="137F70CE" w14:textId="77777777" w:rsidR="00B650E5" w:rsidRDefault="00B650E5">
      <w:pPr>
        <w:numPr>
          <w:ilvl w:val="0"/>
          <w:numId w:val="109"/>
        </w:numPr>
        <w:spacing w:before="120" w:after="120"/>
        <w:ind w:left="425" w:hanging="425"/>
        <w:jc w:val="both"/>
        <w:rPr>
          <w:szCs w:val="22"/>
          <w:lang w:eastAsia="en-US"/>
        </w:rPr>
      </w:pPr>
      <w:r>
        <w:rPr>
          <w:szCs w:val="22"/>
          <w:lang w:eastAsia="en-US"/>
        </w:rPr>
        <w:t>Opravu rozhodnutia vykoná RO alebo štatutárny orgán RO v závislosti od toho, kto rozhodnutie vydal a o oprave informuje žiadateľa.</w:t>
      </w:r>
    </w:p>
    <w:p w14:paraId="1B174B9B"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14:paraId="67BC38B2" w14:textId="77777777" w:rsidR="00B650E5" w:rsidRDefault="00B650E5">
      <w:pPr>
        <w:numPr>
          <w:ilvl w:val="0"/>
          <w:numId w:val="109"/>
        </w:numPr>
        <w:spacing w:before="120" w:after="120"/>
        <w:ind w:left="425" w:hanging="425"/>
        <w:jc w:val="both"/>
        <w:rPr>
          <w:szCs w:val="22"/>
          <w:lang w:eastAsia="en-US"/>
        </w:rPr>
      </w:pPr>
      <w:r>
        <w:rPr>
          <w:szCs w:val="22"/>
          <w:lang w:eastAsia="en-US"/>
        </w:rPr>
        <w:t>Oprava rozhodnutia je možná vo vzťahu ku všetkým typom rozhodnutí vydaných podľa zákona o príspevku z EŠIF. Možnosť opravy rozhodnutia podľa tejto kapitoly nie je časovo obmedzená.</w:t>
      </w:r>
    </w:p>
    <w:p w14:paraId="3AD7F821" w14:textId="77777777" w:rsidR="00B650E5" w:rsidRDefault="00B650E5">
      <w:pPr>
        <w:pStyle w:val="SRK2"/>
        <w:rPr>
          <w:rStyle w:val="Nadpis1Char"/>
          <w:bCs/>
          <w:spacing w:val="0"/>
          <w:kern w:val="0"/>
          <w:sz w:val="24"/>
          <w:szCs w:val="24"/>
        </w:rPr>
      </w:pPr>
      <w:bookmarkStart w:id="259" w:name="_Toc453234010"/>
      <w:bookmarkStart w:id="260" w:name="_Toc495649369"/>
      <w:bookmarkStart w:id="261" w:name="kapitola_33"/>
      <w:r>
        <w:rPr>
          <w:rStyle w:val="Nadpis1Char"/>
          <w:bCs/>
          <w:sz w:val="36"/>
          <w:szCs w:val="26"/>
        </w:rPr>
        <w:t>3.3 Implementácia projektov</w:t>
      </w:r>
      <w:bookmarkEnd w:id="258"/>
      <w:bookmarkEnd w:id="259"/>
      <w:bookmarkEnd w:id="260"/>
    </w:p>
    <w:p w14:paraId="0A56E0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262" w:name="_Toc378947504"/>
      <w:bookmarkEnd w:id="261"/>
      <w:r>
        <w:rPr>
          <w:u w:val="single"/>
        </w:rPr>
        <w:t>Relevantná úprava v legislatíve EÚ:</w:t>
      </w:r>
    </w:p>
    <w:p w14:paraId="41E7F3C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71, 125 ods. 4 všeobecného nariadenia</w:t>
      </w:r>
    </w:p>
    <w:p w14:paraId="7A7F817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896953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25 zákona o príspevku z EŠIF</w:t>
      </w:r>
    </w:p>
    <w:p w14:paraId="13E71083" w14:textId="77777777" w:rsidR="00B650E5" w:rsidRDefault="00B650E5">
      <w:pPr>
        <w:numPr>
          <w:ilvl w:val="0"/>
          <w:numId w:val="279"/>
        </w:numPr>
        <w:spacing w:before="120" w:after="120"/>
        <w:ind w:left="425" w:hanging="425"/>
        <w:jc w:val="both"/>
        <w:rPr>
          <w:szCs w:val="22"/>
          <w:lang w:eastAsia="en-US"/>
        </w:rPr>
      </w:pPr>
      <w:r>
        <w:rPr>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14:paraId="2271278A" w14:textId="2CB2D915" w:rsidR="00B650E5" w:rsidRDefault="00B650E5">
      <w:pPr>
        <w:numPr>
          <w:ilvl w:val="0"/>
          <w:numId w:val="279"/>
        </w:numPr>
        <w:spacing w:before="120" w:after="120"/>
        <w:ind w:left="425" w:hanging="425"/>
        <w:jc w:val="both"/>
        <w:rPr>
          <w:szCs w:val="22"/>
          <w:lang w:eastAsia="en-US"/>
        </w:rPr>
      </w:pPr>
      <w:r>
        <w:rPr>
          <w:szCs w:val="22"/>
          <w:lang w:eastAsia="en-US"/>
        </w:rPr>
        <w:t>Proces implementácie musí byť viazaný na jednoznačné a jasné pravidlá, ktoré sa vzťahujú na</w:t>
      </w:r>
      <w:r w:rsidR="00D7547F">
        <w:rPr>
          <w:szCs w:val="22"/>
          <w:lang w:eastAsia="en-US"/>
        </w:rPr>
        <w:t> </w:t>
      </w:r>
      <w:r>
        <w:rPr>
          <w:szCs w:val="22"/>
          <w:lang w:eastAsia="en-US"/>
        </w:rPr>
        <w:t>celý proces poskytovania príspevku od vydania rozhodnutia o schválení ŽoNFP až po</w:t>
      </w:r>
      <w:r w:rsidR="00D7547F">
        <w:rPr>
          <w:szCs w:val="22"/>
          <w:lang w:eastAsia="en-US"/>
        </w:rPr>
        <w:t> </w:t>
      </w:r>
      <w:r>
        <w:rPr>
          <w:szCs w:val="22"/>
          <w:lang w:eastAsia="en-US"/>
        </w:rPr>
        <w:t>ukončenie účinnosti zmluvy o NFP.</w:t>
      </w:r>
    </w:p>
    <w:p w14:paraId="6A06AA94" w14:textId="643ED61D" w:rsidR="00B650E5" w:rsidRDefault="00B650E5">
      <w:pPr>
        <w:numPr>
          <w:ilvl w:val="0"/>
          <w:numId w:val="279"/>
        </w:numPr>
        <w:spacing w:before="120" w:after="120"/>
        <w:ind w:left="425" w:hanging="425"/>
        <w:jc w:val="both"/>
      </w:pPr>
      <w:r>
        <w:rPr>
          <w:szCs w:val="22"/>
          <w:lang w:eastAsia="en-US"/>
        </w:rPr>
        <w:t xml:space="preserve">Vzájomné práva a povinnosti RO a prijímateľa sa spravujú podmienkami zakotvenými v zmluve o NFP a dokumentmi, ktoré sú na základe dohody zmluvných strán zakotvenej v zmluve o NFP záväzné. </w:t>
      </w:r>
    </w:p>
    <w:p w14:paraId="1CCADA9E" w14:textId="77777777" w:rsidR="00B650E5" w:rsidRDefault="00B650E5">
      <w:pPr>
        <w:numPr>
          <w:ilvl w:val="0"/>
          <w:numId w:val="279"/>
        </w:numPr>
        <w:spacing w:before="120" w:after="120"/>
        <w:ind w:left="425" w:hanging="425"/>
        <w:jc w:val="both"/>
      </w:pPr>
      <w:r>
        <w:rPr>
          <w:szCs w:val="22"/>
          <w:lang w:eastAsia="en-US"/>
        </w:rPr>
        <w:t>V prípade projektov, kde RO a prijímateľ je totožná osoba sú práva a povinnosti súčasťou rozhodnutia o schválení.</w:t>
      </w:r>
    </w:p>
    <w:p w14:paraId="2D3193A0" w14:textId="77777777" w:rsidR="00B650E5" w:rsidRDefault="00B650E5">
      <w:pPr>
        <w:numPr>
          <w:ilvl w:val="0"/>
          <w:numId w:val="279"/>
        </w:numPr>
        <w:spacing w:before="120" w:after="120"/>
        <w:ind w:left="426" w:hanging="426"/>
        <w:jc w:val="both"/>
        <w:rPr>
          <w:szCs w:val="22"/>
          <w:lang w:eastAsia="en-US"/>
        </w:rPr>
      </w:pPr>
      <w:r>
        <w:rPr>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14:paraId="61F92BC0" w14:textId="77777777" w:rsidR="00B650E5" w:rsidRDefault="00B650E5">
      <w:pPr>
        <w:numPr>
          <w:ilvl w:val="0"/>
          <w:numId w:val="279"/>
        </w:numPr>
        <w:spacing w:before="120" w:after="120"/>
        <w:ind w:left="425" w:hanging="425"/>
        <w:jc w:val="both"/>
      </w:pPr>
      <w:r>
        <w:rPr>
          <w:szCs w:val="22"/>
          <w:lang w:eastAsia="en-US"/>
        </w:rPr>
        <w:t xml:space="preserve">Postupy pri implementácii projektov, vrátane postupov pri zmene projektu upraví CKO v metodickom pokyne. </w:t>
      </w:r>
    </w:p>
    <w:p w14:paraId="2F1061A8" w14:textId="59A90E6B" w:rsidR="00B650E5" w:rsidRDefault="00B650E5">
      <w:pPr>
        <w:pStyle w:val="SRK3"/>
      </w:pPr>
      <w:bookmarkStart w:id="263" w:name="_Toc453234011"/>
      <w:bookmarkStart w:id="264" w:name="_Toc495649370"/>
      <w:r>
        <w:lastRenderedPageBreak/>
        <w:t>3.3.1 Príprava zmluvy o </w:t>
      </w:r>
      <w:bookmarkEnd w:id="262"/>
      <w:bookmarkEnd w:id="263"/>
      <w:r>
        <w:t>NFP</w:t>
      </w:r>
      <w:bookmarkEnd w:id="264"/>
      <w:r>
        <w:t xml:space="preserve"> </w:t>
      </w:r>
    </w:p>
    <w:p w14:paraId="227F3C01" w14:textId="46B43278" w:rsidR="00B650E5" w:rsidRDefault="00B650E5">
      <w:pPr>
        <w:numPr>
          <w:ilvl w:val="0"/>
          <w:numId w:val="280"/>
        </w:numPr>
        <w:spacing w:before="120" w:after="120"/>
        <w:ind w:left="426" w:hanging="426"/>
        <w:jc w:val="both"/>
        <w:rPr>
          <w:szCs w:val="22"/>
          <w:lang w:eastAsia="en-US"/>
        </w:rPr>
      </w:pPr>
      <w:bookmarkStart w:id="265" w:name="_Toc378947505"/>
      <w:r>
        <w:rPr>
          <w:szCs w:val="22"/>
          <w:lang w:eastAsia="en-US"/>
        </w:rPr>
        <w:t>Vzor</w:t>
      </w:r>
      <w:r>
        <w:rPr>
          <w:rStyle w:val="Odkaznapoznmkupodiarou"/>
          <w:szCs w:val="22"/>
          <w:lang w:eastAsia="en-US"/>
        </w:rPr>
        <w:footnoteReference w:id="55"/>
      </w:r>
      <w:r>
        <w:rPr>
          <w:szCs w:val="22"/>
          <w:lang w:eastAsia="en-US"/>
        </w:rPr>
        <w:t xml:space="preserve"> zmluvy o  NFP vydáva CKO s cieľom zjednotenia, zjednodušenia a zefektívnenia implementácie pomoci z EŠIF. Zmluva o NFP predstavuje základný právny rámec pre</w:t>
      </w:r>
      <w:r w:rsidR="00D7547F">
        <w:rPr>
          <w:szCs w:val="22"/>
          <w:lang w:eastAsia="en-US"/>
        </w:rPr>
        <w:t> </w:t>
      </w:r>
      <w:r>
        <w:rPr>
          <w:szCs w:val="22"/>
          <w:lang w:eastAsia="en-US"/>
        </w:rPr>
        <w:t>poskytovanie príspevku prijímateľovi.</w:t>
      </w:r>
    </w:p>
    <w:p w14:paraId="062DC144" w14:textId="77777777" w:rsidR="00B650E5" w:rsidRDefault="00B650E5">
      <w:pPr>
        <w:numPr>
          <w:ilvl w:val="0"/>
          <w:numId w:val="280"/>
        </w:numPr>
        <w:spacing w:before="120" w:after="120"/>
        <w:ind w:left="426" w:hanging="426"/>
        <w:jc w:val="both"/>
        <w:rPr>
          <w:szCs w:val="22"/>
          <w:lang w:eastAsia="en-US"/>
        </w:rPr>
      </w:pPr>
      <w:r>
        <w:rPr>
          <w:szCs w:val="22"/>
          <w:lang w:eastAsia="en-US"/>
        </w:rPr>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14:paraId="245C0B72" w14:textId="0A010B93" w:rsidR="00B650E5" w:rsidRDefault="00B650E5">
      <w:pPr>
        <w:numPr>
          <w:ilvl w:val="0"/>
          <w:numId w:val="280"/>
        </w:numPr>
        <w:spacing w:before="120" w:after="120"/>
        <w:ind w:left="426" w:hanging="426"/>
        <w:jc w:val="both"/>
        <w:rPr>
          <w:szCs w:val="22"/>
          <w:lang w:eastAsia="en-US"/>
        </w:rPr>
      </w:pPr>
      <w:r>
        <w:rPr>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systému riadenia a</w:t>
      </w:r>
      <w:r w:rsidR="006F3B93">
        <w:rPr>
          <w:szCs w:val="22"/>
          <w:lang w:eastAsia="en-US"/>
        </w:rPr>
        <w:t> </w:t>
      </w:r>
      <w:r>
        <w:rPr>
          <w:szCs w:val="22"/>
          <w:lang w:eastAsia="en-US"/>
        </w:rPr>
        <w:t>kontroly</w:t>
      </w:r>
      <w:r w:rsidR="006F3B93">
        <w:rPr>
          <w:szCs w:val="22"/>
          <w:lang w:eastAsia="en-US"/>
        </w:rPr>
        <w:t>,</w:t>
      </w:r>
      <w:r>
        <w:rPr>
          <w:szCs w:val="22"/>
          <w:lang w:eastAsia="en-US"/>
        </w:rPr>
        <w:t xml:space="preserve"> ako aj na základe potrieb z implementačnej praxe.</w:t>
      </w:r>
    </w:p>
    <w:p w14:paraId="7A2FE1A9" w14:textId="74921050" w:rsidR="00B650E5" w:rsidRDefault="00B650E5">
      <w:pPr>
        <w:numPr>
          <w:ilvl w:val="0"/>
          <w:numId w:val="280"/>
        </w:numPr>
        <w:spacing w:before="120" w:after="120"/>
        <w:ind w:left="426" w:hanging="426"/>
        <w:jc w:val="both"/>
        <w:rPr>
          <w:szCs w:val="22"/>
          <w:lang w:eastAsia="en-US"/>
        </w:rPr>
      </w:pPr>
      <w:r>
        <w:rPr>
          <w:szCs w:val="22"/>
          <w:lang w:eastAsia="en-US"/>
        </w:rPr>
        <w:t>RO sú oprávnené v súvislosti so špecifikami jednotlivých OP vzor zmluvy o NFP modifikovať, resp. dopĺňať.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p>
    <w:p w14:paraId="19F11B04" w14:textId="7112CB3E" w:rsidR="00B650E5" w:rsidRDefault="00B650E5">
      <w:pPr>
        <w:numPr>
          <w:ilvl w:val="0"/>
          <w:numId w:val="280"/>
        </w:numPr>
        <w:spacing w:before="120" w:after="120"/>
        <w:ind w:left="426" w:hanging="426"/>
        <w:jc w:val="both"/>
        <w:rPr>
          <w:szCs w:val="22"/>
          <w:lang w:eastAsia="en-US"/>
        </w:rPr>
      </w:pPr>
      <w:r>
        <w:rPr>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w:t>
      </w:r>
      <w:r w:rsidR="00D7547F">
        <w:rPr>
          <w:szCs w:val="22"/>
          <w:lang w:eastAsia="en-US"/>
        </w:rPr>
        <w:t> </w:t>
      </w:r>
      <w:r>
        <w:rPr>
          <w:szCs w:val="22"/>
          <w:lang w:eastAsia="en-US"/>
        </w:rPr>
        <w:t>predkladanie projektových zámerov/výzvy. V prípade rozhodnutia RO je možné zmluvu o NFP zaradiť medzi prílohy výzvy.</w:t>
      </w:r>
    </w:p>
    <w:p w14:paraId="51A61D6D" w14:textId="77777777" w:rsidR="00B650E5" w:rsidRDefault="00B650E5">
      <w:pPr>
        <w:numPr>
          <w:ilvl w:val="0"/>
          <w:numId w:val="280"/>
        </w:numPr>
        <w:spacing w:before="120" w:after="120"/>
        <w:ind w:left="426" w:hanging="426"/>
        <w:jc w:val="both"/>
        <w:rPr>
          <w:szCs w:val="22"/>
          <w:lang w:eastAsia="en-US"/>
        </w:rPr>
      </w:pPr>
      <w:r>
        <w:rPr>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14:paraId="6CC3C88B" w14:textId="790C0959" w:rsidR="00B650E5" w:rsidRDefault="00B650E5">
      <w:pPr>
        <w:pStyle w:val="SRK3"/>
      </w:pPr>
      <w:bookmarkStart w:id="266" w:name="_Toc453234012"/>
      <w:bookmarkStart w:id="267" w:name="_Toc495649371"/>
      <w:r>
        <w:t>3.3.2 Uzavretie zmluvy o </w:t>
      </w:r>
      <w:bookmarkEnd w:id="265"/>
      <w:bookmarkEnd w:id="266"/>
      <w:r>
        <w:t>NFP</w:t>
      </w:r>
      <w:bookmarkEnd w:id="267"/>
    </w:p>
    <w:p w14:paraId="2DF1768E" w14:textId="55F62B59" w:rsidR="00B650E5" w:rsidRDefault="00B650E5">
      <w:pPr>
        <w:numPr>
          <w:ilvl w:val="0"/>
          <w:numId w:val="282"/>
        </w:numPr>
        <w:spacing w:before="120" w:after="120"/>
        <w:ind w:left="426" w:hanging="426"/>
        <w:jc w:val="both"/>
        <w:rPr>
          <w:szCs w:val="22"/>
          <w:lang w:eastAsia="en-US"/>
        </w:rPr>
      </w:pPr>
      <w:bookmarkStart w:id="268" w:name="_Toc378947506"/>
      <w:r>
        <w:rPr>
          <w:szCs w:val="22"/>
          <w:lang w:eastAsia="en-US"/>
        </w:rPr>
        <w:t>V súlade s § 25 ods. 1 zákona o príspevku z EŠIF sa príspevok poskytuje prijímateľovi na</w:t>
      </w:r>
      <w:r w:rsidR="00D7547F">
        <w:rPr>
          <w:szCs w:val="22"/>
          <w:lang w:eastAsia="en-US"/>
        </w:rPr>
        <w:t> </w:t>
      </w:r>
      <w:r>
        <w:rPr>
          <w:szCs w:val="22"/>
          <w:lang w:eastAsia="en-US"/>
        </w:rPr>
        <w:t>základe a v súlade so zmluvou o NFP uzavretou podľa § 269 ods. 2 Obchodného zákonníka. Ak je prijímateľ a RO tá istá osoba, zmluva o NFP sa neuzatvára a práva povinnosti sú upravené v rozhodnutí o schválení. Vzor</w:t>
      </w:r>
      <w:r>
        <w:rPr>
          <w:rStyle w:val="Odkaznapoznmkupodiarou"/>
          <w:szCs w:val="22"/>
          <w:lang w:eastAsia="en-US"/>
        </w:rPr>
        <w:footnoteReference w:id="56"/>
      </w:r>
      <w:r>
        <w:rPr>
          <w:szCs w:val="22"/>
          <w:lang w:eastAsia="en-US"/>
        </w:rPr>
        <w:t xml:space="preserve"> rozhodnutia o schválení vydá CKO.</w:t>
      </w:r>
    </w:p>
    <w:p w14:paraId="235DFB62"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Cieľom procesu uzavretia zmluvy o NFP je vytvorenie právneho základu pre čerpanie účelovo viazaného NFP z verejných zdrojov, pri dodržaní podmienok správneho finančného riadenia. </w:t>
      </w:r>
    </w:p>
    <w:p w14:paraId="67819140"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14:paraId="70AE3C5B" w14:textId="77777777" w:rsidR="00B650E5" w:rsidRDefault="00B650E5">
      <w:pPr>
        <w:numPr>
          <w:ilvl w:val="0"/>
          <w:numId w:val="282"/>
        </w:numPr>
        <w:spacing w:before="120" w:after="120"/>
        <w:ind w:left="426" w:hanging="426"/>
        <w:jc w:val="both"/>
        <w:rPr>
          <w:szCs w:val="22"/>
          <w:lang w:eastAsia="en-US"/>
        </w:rPr>
      </w:pPr>
      <w:r>
        <w:rPr>
          <w:szCs w:val="22"/>
          <w:lang w:eastAsia="en-US"/>
        </w:rPr>
        <w:lastRenderedPageBreak/>
        <w:t xml:space="preserve">Zmluva o NFP upravuje práva a povinnosti prijímateľa a RO pri realizácii projektu a počas obdobia udržateľnosti projektu. Ak je účastníkom zmluvného vzťahu partner, zmluva upravuje aj práva a povinnosti partnera. </w:t>
      </w:r>
    </w:p>
    <w:p w14:paraId="674E75C7" w14:textId="77777777" w:rsidR="00B650E5" w:rsidRDefault="00B650E5">
      <w:pPr>
        <w:numPr>
          <w:ilvl w:val="0"/>
          <w:numId w:val="282"/>
        </w:numPr>
        <w:spacing w:before="120" w:after="120"/>
        <w:ind w:left="426" w:hanging="426"/>
        <w:jc w:val="both"/>
        <w:rPr>
          <w:szCs w:val="22"/>
          <w:lang w:eastAsia="en-US"/>
        </w:rPr>
      </w:pPr>
      <w:r>
        <w:rPr>
          <w:szCs w:val="22"/>
          <w:lang w:eastAsia="en-US"/>
        </w:rPr>
        <w:t>Žiadateľ je v súlade s § 25 ods. 4 zákona o príspevku z EŠIF povinný poskytnúť pred uzavretím zmluvy o NFP RO súčinnosť v rozsahu potrebnom na uzavretie zmluvy o NFP.</w:t>
      </w:r>
    </w:p>
    <w:p w14:paraId="480943E9" w14:textId="5FE9CB20" w:rsidR="00B650E5" w:rsidRDefault="00B650E5">
      <w:pPr>
        <w:numPr>
          <w:ilvl w:val="0"/>
          <w:numId w:val="282"/>
        </w:numPr>
        <w:spacing w:before="120" w:after="120"/>
        <w:ind w:left="426" w:hanging="426"/>
        <w:jc w:val="both"/>
        <w:rPr>
          <w:szCs w:val="22"/>
          <w:lang w:eastAsia="en-US"/>
        </w:rPr>
      </w:pPr>
      <w:r>
        <w:rPr>
          <w:szCs w:val="22"/>
          <w:lang w:eastAsia="en-US"/>
        </w:rPr>
        <w:t>RO zasiela písomný návrh na uzavretie zmluvy o NFP a určí lehotu na prijatie návrhu žiadateľovi:</w:t>
      </w:r>
    </w:p>
    <w:p w14:paraId="267F1BB6"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ktorému rozhodnutie o schválení nadobudlo právoplatnosť, </w:t>
      </w:r>
    </w:p>
    <w:p w14:paraId="7556D554"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ktorý splnil podmienky určené vo výroku rozhodnutia podľa § 19 ods. 11 zákona o príspevku z EŠIF, ak boli podmienky vo výroku rozhodnutia určené a, </w:t>
      </w:r>
    </w:p>
    <w:p w14:paraId="1F42EAE8"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ktorý poskytol potrebnú súčinnosť.</w:t>
      </w:r>
    </w:p>
    <w:p w14:paraId="653A95A1" w14:textId="77777777" w:rsidR="00B650E5" w:rsidRDefault="00B650E5">
      <w:pPr>
        <w:numPr>
          <w:ilvl w:val="0"/>
          <w:numId w:val="282"/>
        </w:numPr>
        <w:spacing w:before="120" w:after="120"/>
        <w:ind w:left="426" w:hanging="426"/>
        <w:jc w:val="both"/>
        <w:rPr>
          <w:szCs w:val="22"/>
          <w:lang w:eastAsia="en-US"/>
        </w:rPr>
      </w:pPr>
      <w:r>
        <w:rPr>
          <w:szCs w:val="22"/>
          <w:lang w:eastAsia="en-US"/>
        </w:rPr>
        <w:t>RO zabezpečí zaslanie návrhu na uzavretie zmluvy o NFP podpísanej štatutárnym orgánom RO, resp. jeho oprávneným zástupcom v minimálne troch rovnopisoch doporučenou poštou, alebo iným vhodným spôsobom v termíne do 10  pracovných dní od splnenia všetkých podmienok uvedených v odseku 6. RO v procese prípravy návrhu na uzavretie zmluvy o NFP uplatňuje pravidlo štyroch očí. Ak žiadateľ neposkytol potrebnú súčinnosť nevyhnutnú k príprave návrhu zmluvy o NFP v primeranej lehote stanovenej RO, RO nezašle návrh na uzavretie zmluvy o NFP žiadateľovi.</w:t>
      </w:r>
    </w:p>
    <w:p w14:paraId="138B290B" w14:textId="6D555C53" w:rsidR="00B650E5" w:rsidRDefault="00B650E5">
      <w:pPr>
        <w:numPr>
          <w:ilvl w:val="0"/>
          <w:numId w:val="282"/>
        </w:numPr>
        <w:spacing w:before="120" w:after="120"/>
        <w:ind w:left="426" w:hanging="426"/>
        <w:jc w:val="both"/>
        <w:rPr>
          <w:szCs w:val="22"/>
          <w:lang w:eastAsia="en-US"/>
        </w:rPr>
      </w:pPr>
      <w:r>
        <w:rPr>
          <w:szCs w:val="22"/>
          <w:lang w:eastAsia="en-US"/>
        </w:rPr>
        <w:t>RO poskytne žiadateľovi lehotu na prijatie návrhu na uzavretie zmluvy o NFP, ktorá nesmie byť kratšia ako 5 pracovných dní. V prípade, že rovnopisy zmluvy o NFP sú podpísané splnomocneným zástupcom štatutárneho orgánu žiadateľa, RO zabezpečí overenie tohto splnomocnenia (napr. vyznačením tejto skutočnosti do zmluvy o NFP). RO je oprávnený rozhodnúť, že návrh na uzavretie zmluvy o NFP bude odovzdaný žiadateľovi po dohode s ním na</w:t>
      </w:r>
      <w:r w:rsidR="00333F4F">
        <w:rPr>
          <w:szCs w:val="22"/>
          <w:lang w:eastAsia="en-US"/>
        </w:rPr>
        <w:t> </w:t>
      </w:r>
      <w:r>
        <w:rPr>
          <w:szCs w:val="22"/>
          <w:lang w:eastAsia="en-US"/>
        </w:rPr>
        <w:t>pracovisku RO. Žiadateľ je zároveň oprávnený rozhodnúť o nevyužití poskytnutej minimálnej lehoty 5 pracovných dní na prijatie návrhu a o následnom prijatí, resp. odmietnutí návrhu na</w:t>
      </w:r>
      <w:r w:rsidR="00333F4F">
        <w:rPr>
          <w:szCs w:val="22"/>
          <w:lang w:eastAsia="en-US"/>
        </w:rPr>
        <w:t> </w:t>
      </w:r>
      <w:r>
        <w:rPr>
          <w:szCs w:val="22"/>
          <w:lang w:eastAsia="en-US"/>
        </w:rPr>
        <w:t xml:space="preserve">uzavretie zmluvy o NFP. </w:t>
      </w:r>
    </w:p>
    <w:p w14:paraId="5CB23F85" w14:textId="3623B7D8" w:rsidR="00B650E5" w:rsidRDefault="00B650E5">
      <w:pPr>
        <w:numPr>
          <w:ilvl w:val="0"/>
          <w:numId w:val="282"/>
        </w:numPr>
        <w:spacing w:before="120" w:after="120"/>
        <w:ind w:left="426" w:hanging="426"/>
        <w:jc w:val="both"/>
        <w:rPr>
          <w:szCs w:val="22"/>
          <w:lang w:eastAsia="en-US"/>
        </w:rPr>
      </w:pPr>
      <w:r>
        <w:rPr>
          <w:szCs w:val="22"/>
          <w:lang w:eastAsia="en-US"/>
        </w:rPr>
        <w:t>Návrh na uzavretie zmluvy o NFP zaniká dňom uplynutia lehoty, ktorá bola v návrhu na</w:t>
      </w:r>
      <w:r w:rsidR="00333F4F">
        <w:rPr>
          <w:szCs w:val="22"/>
          <w:lang w:eastAsia="en-US"/>
        </w:rPr>
        <w:t> </w:t>
      </w:r>
      <w:r>
        <w:rPr>
          <w:szCs w:val="22"/>
          <w:lang w:eastAsia="en-US"/>
        </w:rPr>
        <w:t>uzavretie zmluvy o NFP určená na jeho prijatie alebo doručením písomného prejavu žiadateľa o odmietnutí návrhu na uzavretie zmluvy RO. Zánik návrhu na uzavretie zmluvy o NFP nezakladá dôvod na zmenu rozhodnutia o schválení ŽoNFP.</w:t>
      </w:r>
    </w:p>
    <w:p w14:paraId="3D3BB7D2"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RO zabezpečí, aby žiadateľ doručil RO minimálne dva rovnopisy prijatého návrhu na uzavretie zmluvy o NFP. Po prijatí návrhu na uzavretie zmluvy o NFP žiadateľom, RO založí pre každý projekt, k podpore ktorého bola uzavretá zmluva o NFP, projektový spis v súlade s príslušnými pravidlami pre uchovávanie dokumentov. </w:t>
      </w:r>
    </w:p>
    <w:p w14:paraId="3707B959" w14:textId="1350B39C" w:rsidR="00B650E5" w:rsidRDefault="00B650E5">
      <w:pPr>
        <w:numPr>
          <w:ilvl w:val="0"/>
          <w:numId w:val="282"/>
        </w:numPr>
        <w:spacing w:before="120" w:after="120"/>
        <w:ind w:left="426" w:hanging="426"/>
        <w:jc w:val="both"/>
        <w:rPr>
          <w:szCs w:val="22"/>
          <w:lang w:eastAsia="en-US"/>
        </w:rPr>
      </w:pPr>
      <w:r>
        <w:rPr>
          <w:szCs w:val="22"/>
          <w:lang w:eastAsia="en-US"/>
        </w:rPr>
        <w:t>RO zabezpečí v súlade s ustanoveniami zákona o slobode informácií zverejnenie zmluvy o NFP v</w:t>
      </w:r>
      <w:r w:rsidR="00333F4F">
        <w:rPr>
          <w:szCs w:val="22"/>
          <w:lang w:eastAsia="en-US"/>
        </w:rPr>
        <w:t> </w:t>
      </w:r>
      <w:r>
        <w:rPr>
          <w:szCs w:val="22"/>
          <w:lang w:eastAsia="en-US"/>
        </w:rPr>
        <w:t xml:space="preserve">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p>
    <w:p w14:paraId="3E5E5ECD" w14:textId="77777777" w:rsidR="00B650E5" w:rsidRDefault="00B650E5">
      <w:pPr>
        <w:pStyle w:val="SRK3"/>
      </w:pPr>
      <w:bookmarkStart w:id="269" w:name="_Toc453234013"/>
      <w:bookmarkStart w:id="270" w:name="_Toc495649372"/>
      <w:bookmarkStart w:id="271" w:name="kapitola_333"/>
      <w:r>
        <w:t xml:space="preserve">3.3.3 Zabezpečenie pohľadávky </w:t>
      </w:r>
      <w:bookmarkEnd w:id="268"/>
      <w:r>
        <w:t>RO</w:t>
      </w:r>
      <w:bookmarkEnd w:id="269"/>
      <w:bookmarkEnd w:id="270"/>
    </w:p>
    <w:p w14:paraId="4567C5A6" w14:textId="77777777" w:rsidR="00B650E5" w:rsidRDefault="00B650E5">
      <w:pPr>
        <w:pStyle w:val="Odsekzoznamu"/>
        <w:numPr>
          <w:ilvl w:val="0"/>
          <w:numId w:val="283"/>
        </w:numPr>
        <w:spacing w:before="120" w:after="120"/>
        <w:ind w:left="426" w:hanging="426"/>
        <w:contextualSpacing w:val="0"/>
        <w:jc w:val="both"/>
        <w:rPr>
          <w:szCs w:val="22"/>
          <w:lang w:eastAsia="en-US"/>
        </w:rPr>
      </w:pPr>
      <w:bookmarkStart w:id="272" w:name="_Toc378947507"/>
      <w:bookmarkEnd w:id="271"/>
      <w:r>
        <w:rPr>
          <w:szCs w:val="22"/>
          <w:lang w:eastAsia="en-US"/>
        </w:rPr>
        <w:t xml:space="preserve">RO pri zabezpečení pohľadávky pri uzavretých zmluvách o NFP vyberie vhodný spôsob zabezpečenia pohľadávky najmä na základe posúdenia nasledujúcich faktorov: </w:t>
      </w:r>
    </w:p>
    <w:p w14:paraId="39164FB7" w14:textId="77777777" w:rsidR="00B650E5" w:rsidRDefault="00B650E5">
      <w:pPr>
        <w:numPr>
          <w:ilvl w:val="0"/>
          <w:numId w:val="284"/>
        </w:numPr>
        <w:spacing w:before="120" w:after="120"/>
        <w:ind w:left="851" w:hanging="425"/>
        <w:jc w:val="both"/>
        <w:rPr>
          <w:szCs w:val="22"/>
          <w:lang w:eastAsia="en-US"/>
        </w:rPr>
      </w:pPr>
      <w:r>
        <w:rPr>
          <w:b/>
          <w:szCs w:val="22"/>
          <w:lang w:eastAsia="en-US"/>
        </w:rPr>
        <w:lastRenderedPageBreak/>
        <w:t>charakter výstupov projektu</w:t>
      </w:r>
      <w:r>
        <w:rPr>
          <w:szCs w:val="22"/>
          <w:lang w:eastAsia="en-US"/>
        </w:rPr>
        <w:t xml:space="preserve"> – uvedený aspekt zohľadňuje, či výstupom projektu sú hnuteľné/nehnuteľné veci, ktoré sú spôsobilé byť predmetom obchodovania, alebo výstup je nehmotného charakteru, </w:t>
      </w:r>
    </w:p>
    <w:p w14:paraId="27FCF43A" w14:textId="1A072EDB" w:rsidR="00B650E5" w:rsidRDefault="00B650E5">
      <w:pPr>
        <w:numPr>
          <w:ilvl w:val="0"/>
          <w:numId w:val="284"/>
        </w:numPr>
        <w:spacing w:before="120" w:after="120"/>
        <w:ind w:left="851" w:hanging="425"/>
        <w:jc w:val="both"/>
        <w:rPr>
          <w:szCs w:val="22"/>
          <w:lang w:eastAsia="en-US"/>
        </w:rPr>
      </w:pPr>
      <w:r>
        <w:rPr>
          <w:b/>
          <w:szCs w:val="22"/>
          <w:lang w:eastAsia="en-US"/>
        </w:rPr>
        <w:t>charakter prijímateľa</w:t>
      </w:r>
      <w:r>
        <w:rPr>
          <w:szCs w:val="22"/>
          <w:lang w:eastAsia="en-US"/>
        </w:rPr>
        <w:t xml:space="preserve"> – aspekt zohľadňuje jednak rizikovosť subjektu (napr. nový podnikateľský subjekt bez podstatnejšieho vlastného majetku), ale aj z pohľadu spôsobu vymáhania pohľadávky od subjektu,</w:t>
      </w:r>
    </w:p>
    <w:p w14:paraId="2E321942" w14:textId="77777777" w:rsidR="00B650E5" w:rsidRDefault="00B650E5">
      <w:pPr>
        <w:numPr>
          <w:ilvl w:val="0"/>
          <w:numId w:val="284"/>
        </w:numPr>
        <w:spacing w:before="120" w:after="120"/>
        <w:ind w:left="851" w:hanging="425"/>
        <w:jc w:val="both"/>
        <w:rPr>
          <w:szCs w:val="22"/>
          <w:lang w:eastAsia="en-US"/>
        </w:rPr>
      </w:pPr>
      <w:r>
        <w:rPr>
          <w:b/>
          <w:szCs w:val="22"/>
          <w:lang w:eastAsia="en-US"/>
        </w:rPr>
        <w:t xml:space="preserve">dĺžka trvania realizácie projektu a výška poskytovaného príspevku </w:t>
      </w:r>
      <w:r>
        <w:rPr>
          <w:szCs w:val="22"/>
          <w:lang w:eastAsia="en-US"/>
        </w:rPr>
        <w:t xml:space="preserve">– aspekt priamo ovplyvňujúci potrebu zvýšeného zabezpečenia pohľadávky, </w:t>
      </w:r>
      <w:r w:rsidR="00C93F30">
        <w:rPr>
          <w:szCs w:val="22"/>
          <w:lang w:eastAsia="en-US"/>
        </w:rPr>
        <w:t>keďže</w:t>
      </w:r>
      <w:r>
        <w:rPr>
          <w:szCs w:val="22"/>
          <w:lang w:eastAsia="en-US"/>
        </w:rPr>
        <w:t xml:space="preserve"> čím je projekt náročnejší na realizáciu z hľadiska plánovanej dĺžky trvania a čím je finančne náročnejší, tým je riziko vzniku finančnej straty pre RO vyššie,</w:t>
      </w:r>
    </w:p>
    <w:p w14:paraId="52FFB7B1" w14:textId="77777777" w:rsidR="00B650E5" w:rsidRDefault="00B650E5">
      <w:pPr>
        <w:numPr>
          <w:ilvl w:val="0"/>
          <w:numId w:val="284"/>
        </w:numPr>
        <w:spacing w:before="120" w:after="120"/>
        <w:ind w:left="851" w:hanging="425"/>
        <w:jc w:val="both"/>
        <w:rPr>
          <w:szCs w:val="22"/>
          <w:lang w:eastAsia="en-US"/>
        </w:rPr>
      </w:pPr>
      <w:r>
        <w:rPr>
          <w:b/>
          <w:szCs w:val="22"/>
          <w:lang w:eastAsia="en-US"/>
        </w:rPr>
        <w:t>vhodný typ zabezpečenia pohľadávky</w:t>
      </w:r>
      <w:r>
        <w:rPr>
          <w:b/>
          <w:i/>
          <w:szCs w:val="22"/>
          <w:lang w:eastAsia="en-US"/>
        </w:rPr>
        <w:t xml:space="preserve"> – </w:t>
      </w:r>
      <w:r>
        <w:rPr>
          <w:szCs w:val="22"/>
          <w:lang w:eastAsia="en-US"/>
        </w:rPr>
        <w:t>v závislosti od posúdenia vyššie uvedených faktorov RO vyberie jeden z vhodných spôsobov zabezpečenia pohľadávok, ktorý poskytuje právna úprava v SR rešpektujúc prípadné obmedzenia vyplývajúce zo všeobecne záväzných právnych predpisov (napr. zákon o správe majetku štátu, zákon o rozpočtových pravidlách, zákon o rozpočtových pravidlách územnej samosprávy).</w:t>
      </w:r>
    </w:p>
    <w:p w14:paraId="3736DC6A" w14:textId="77777777" w:rsidR="00B650E5" w:rsidRDefault="00B650E5">
      <w:pPr>
        <w:pStyle w:val="Odsekzoznamu"/>
        <w:numPr>
          <w:ilvl w:val="0"/>
          <w:numId w:val="283"/>
        </w:numPr>
        <w:spacing w:before="120" w:after="120"/>
        <w:ind w:left="426" w:hanging="426"/>
        <w:contextualSpacing w:val="0"/>
        <w:jc w:val="both"/>
        <w:rPr>
          <w:szCs w:val="22"/>
          <w:lang w:eastAsia="en-US"/>
        </w:rPr>
      </w:pPr>
      <w:r>
        <w:rPr>
          <w:szCs w:val="22"/>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r>
        <w:rPr>
          <w:rStyle w:val="Odkaznapoznmkupodiarou"/>
          <w:szCs w:val="22"/>
          <w:lang w:eastAsia="en-US"/>
        </w:rPr>
        <w:footnoteReference w:id="57"/>
      </w:r>
      <w:r>
        <w:rPr>
          <w:szCs w:val="22"/>
          <w:lang w:eastAsia="en-US"/>
        </w:rPr>
        <w:t>.</w:t>
      </w:r>
    </w:p>
    <w:p w14:paraId="4EB2A38D" w14:textId="77777777" w:rsidR="00B650E5" w:rsidRDefault="00B650E5">
      <w:pPr>
        <w:pStyle w:val="SRK3"/>
      </w:pPr>
      <w:bookmarkStart w:id="273" w:name="_Toc453234014"/>
      <w:bookmarkStart w:id="274" w:name="_Toc495649373"/>
      <w:r>
        <w:t>3.3.4 Základné princípy realizácie projektov</w:t>
      </w:r>
      <w:bookmarkEnd w:id="272"/>
      <w:bookmarkEnd w:id="273"/>
      <w:bookmarkEnd w:id="274"/>
    </w:p>
    <w:p w14:paraId="36393848" w14:textId="77777777" w:rsidR="00B650E5" w:rsidRDefault="00B650E5" w:rsidP="0045286B">
      <w:pPr>
        <w:pStyle w:val="SRK4"/>
      </w:pPr>
      <w:bookmarkStart w:id="275" w:name="_Toc453234015"/>
      <w:bookmarkStart w:id="276" w:name="_Toc495649374"/>
      <w:r>
        <w:t>3.3.4.1 Monitorovanie projektov</w:t>
      </w:r>
      <w:bookmarkEnd w:id="275"/>
      <w:bookmarkEnd w:id="276"/>
    </w:p>
    <w:p w14:paraId="4C30F6C0"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14:paraId="0D77005D"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na úrovni projektu pozostáva z nasledujúcich častí:</w:t>
      </w:r>
    </w:p>
    <w:p w14:paraId="2955B6BE" w14:textId="66C3EA1F" w:rsidR="00B650E5" w:rsidRDefault="00B650E5">
      <w:pPr>
        <w:numPr>
          <w:ilvl w:val="0"/>
          <w:numId w:val="286"/>
        </w:numPr>
        <w:spacing w:before="120" w:after="120"/>
        <w:ind w:left="851" w:hanging="425"/>
        <w:jc w:val="both"/>
        <w:rPr>
          <w:szCs w:val="22"/>
          <w:lang w:eastAsia="en-US"/>
        </w:rPr>
      </w:pPr>
      <w:r>
        <w:rPr>
          <w:b/>
          <w:szCs w:val="22"/>
          <w:u w:val="single"/>
          <w:lang w:eastAsia="en-US"/>
        </w:rPr>
        <w:t xml:space="preserve">Monitorovanie počas realizácie projektu </w:t>
      </w:r>
      <w:r>
        <w:rPr>
          <w:szCs w:val="22"/>
          <w:u w:val="single"/>
          <w:lang w:eastAsia="en-US"/>
        </w:rPr>
        <w:t>je rozdelené na dve časti</w:t>
      </w:r>
      <w:r w:rsidR="00332581">
        <w:rPr>
          <w:rStyle w:val="Odkaznapoznmkupodiarou"/>
          <w:szCs w:val="22"/>
          <w:u w:val="single"/>
          <w:lang w:eastAsia="en-US"/>
        </w:rPr>
        <w:footnoteReference w:id="58"/>
      </w:r>
      <w:r w:rsidRPr="00997CB0">
        <w:rPr>
          <w:szCs w:val="22"/>
          <w:lang w:eastAsia="en-US"/>
        </w:rPr>
        <w:t xml:space="preserve">. </w:t>
      </w:r>
      <w:r>
        <w:rPr>
          <w:szCs w:val="22"/>
          <w:lang w:eastAsia="en-US"/>
        </w:rPr>
        <w:t>Kľúčové informácie o postupe realizácie projektu sú prijímateľom poskytované a viazané na požadované financovanie a predkladané v prílohe ŽoP. Vzor</w:t>
      </w:r>
      <w:r>
        <w:rPr>
          <w:rStyle w:val="Odkaznapoznmkupodiarou"/>
          <w:szCs w:val="22"/>
          <w:lang w:eastAsia="en-US"/>
        </w:rPr>
        <w:footnoteReference w:id="59"/>
      </w:r>
      <w:r>
        <w:rPr>
          <w:szCs w:val="22"/>
          <w:lang w:eastAsia="en-US"/>
        </w:rPr>
        <w:t xml:space="preserve"> prílohy vydáva CKO. Uvedeným sa zabezpečí, že pri posudzovaní oprávnenosti výdavkov a ich preplácaní budú poskytnuté relevantné informácie z hľadiska toho, čo bolo za relevantné výdavky dosiahnuté 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 spolufinancovaných z ESF, zber údajov </w:t>
      </w:r>
      <w:r>
        <w:rPr>
          <w:szCs w:val="22"/>
          <w:lang w:eastAsia="en-US"/>
        </w:rPr>
        <w:lastRenderedPageBreak/>
        <w:t xml:space="preserve">potrebných pre vyhodnocovanie </w:t>
      </w:r>
      <w:r w:rsidRPr="009078F6">
        <w:rPr>
          <w:szCs w:val="22"/>
          <w:lang w:eastAsia="en-US"/>
        </w:rPr>
        <w:t>príspevku k napĺňaniu HP</w:t>
      </w:r>
      <w:r>
        <w:rPr>
          <w:szCs w:val="22"/>
          <w:lang w:eastAsia="en-US"/>
        </w:rPr>
        <w:t xml:space="preserve"> a ďalších informácií potrebných pre RO z hľadiska zamerania projektov. Rovnako je cieľom získať informácie o fyzickom pokroku realizácie projektu bez duplicitného poskytovania informácií vo vzťahu k údajom uvedeným v rámci prílohy k ŽoP. </w:t>
      </w:r>
    </w:p>
    <w:p w14:paraId="58507163" w14:textId="77777777" w:rsidR="00B650E5" w:rsidRDefault="00B650E5">
      <w:pPr>
        <w:numPr>
          <w:ilvl w:val="0"/>
          <w:numId w:val="286"/>
        </w:numPr>
        <w:spacing w:before="120" w:after="120"/>
        <w:ind w:left="851" w:hanging="425"/>
        <w:jc w:val="both"/>
        <w:rPr>
          <w:szCs w:val="22"/>
          <w:lang w:eastAsia="en-US"/>
        </w:rPr>
      </w:pPr>
      <w:r>
        <w:rPr>
          <w:b/>
          <w:szCs w:val="22"/>
          <w:u w:val="single"/>
          <w:lang w:eastAsia="en-US"/>
        </w:rPr>
        <w:t>Monitorovanie pri ukončení realizácie projektu</w:t>
      </w:r>
      <w:r>
        <w:rPr>
          <w:szCs w:val="22"/>
          <w:lang w:eastAsia="en-US"/>
        </w:rPr>
        <w:t>: pri ukončení realizácie aktivít projektu prijímateľ predkladá v súlade s podmienkami zmluvy o NFP záverečnú monitorovaciu správu, ktorej vzor</w:t>
      </w:r>
      <w:r>
        <w:rPr>
          <w:rStyle w:val="Odkaznapoznmkupodiarou"/>
          <w:szCs w:val="22"/>
          <w:lang w:eastAsia="en-US"/>
        </w:rPr>
        <w:footnoteReference w:id="60"/>
      </w:r>
      <w:r>
        <w:rPr>
          <w:szCs w:val="22"/>
          <w:lang w:eastAsia="en-US"/>
        </w:rPr>
        <w:t xml:space="preserve"> vydáva CKO. </w:t>
      </w:r>
    </w:p>
    <w:p w14:paraId="211ABF0E" w14:textId="77777777" w:rsidR="00B650E5" w:rsidRDefault="00B650E5">
      <w:pPr>
        <w:numPr>
          <w:ilvl w:val="0"/>
          <w:numId w:val="286"/>
        </w:numPr>
        <w:spacing w:before="120" w:after="120"/>
        <w:ind w:left="851" w:hanging="425"/>
        <w:jc w:val="both"/>
      </w:pPr>
      <w:r>
        <w:rPr>
          <w:b/>
          <w:szCs w:val="22"/>
          <w:u w:val="single"/>
          <w:lang w:eastAsia="en-US"/>
        </w:rPr>
        <w:t>Monitorovanie počas obdobia udržateľnosti projektu</w:t>
      </w:r>
      <w:r>
        <w:rPr>
          <w:szCs w:val="22"/>
          <w:lang w:eastAsia="en-US"/>
        </w:rPr>
        <w:t xml:space="preserve"> je zabezpečené predkladaním následných monitorovacích správ na ročnej báze. Vzor</w:t>
      </w:r>
      <w:r>
        <w:rPr>
          <w:rStyle w:val="Odkaznapoznmkupodiarou"/>
          <w:szCs w:val="22"/>
          <w:lang w:eastAsia="en-US"/>
        </w:rPr>
        <w:footnoteReference w:id="61"/>
      </w:r>
      <w:r>
        <w:rPr>
          <w:szCs w:val="22"/>
          <w:lang w:eastAsia="en-US"/>
        </w:rPr>
        <w:t xml:space="preserve"> následnej monitorovacej správy vydáva CKO.</w:t>
      </w:r>
    </w:p>
    <w:p w14:paraId="1A2038A1" w14:textId="77777777" w:rsidR="00B650E5" w:rsidRDefault="00B650E5">
      <w:pPr>
        <w:pStyle w:val="Odsekzoznamu"/>
        <w:numPr>
          <w:ilvl w:val="0"/>
          <w:numId w:val="285"/>
        </w:numPr>
        <w:spacing w:before="120" w:after="120"/>
        <w:ind w:left="426" w:hanging="426"/>
        <w:contextualSpacing w:val="0"/>
        <w:jc w:val="both"/>
      </w:pPr>
      <w:r>
        <w:t>Bližšie podrobnosti týkajúce sa postupov pri monitorovaní projektov upraví CKO v metodickom pokyne</w:t>
      </w:r>
      <w:r>
        <w:rPr>
          <w:rStyle w:val="Odkaznapoznmkupodiarou"/>
        </w:rPr>
        <w:footnoteReference w:id="62"/>
      </w:r>
      <w:r>
        <w:t>.</w:t>
      </w:r>
    </w:p>
    <w:p w14:paraId="61294956" w14:textId="77777777" w:rsidR="00B650E5" w:rsidRDefault="00B650E5" w:rsidP="0045286B">
      <w:pPr>
        <w:pStyle w:val="SRK4"/>
      </w:pPr>
      <w:bookmarkStart w:id="277" w:name="_Toc453234016"/>
      <w:bookmarkStart w:id="278" w:name="_Toc495649375"/>
      <w:r>
        <w:t>3.3.4.2 Udržateľnosť projektov</w:t>
      </w:r>
      <w:bookmarkEnd w:id="277"/>
      <w:bookmarkEnd w:id="278"/>
    </w:p>
    <w:p w14:paraId="07EF41B6" w14:textId="04F98E38" w:rsidR="00B650E5" w:rsidRDefault="00B650E5">
      <w:pPr>
        <w:pStyle w:val="Odsekzoznamu"/>
        <w:numPr>
          <w:ilvl w:val="0"/>
          <w:numId w:val="287"/>
        </w:numPr>
        <w:spacing w:before="120" w:after="120"/>
        <w:ind w:left="426" w:hanging="426"/>
        <w:contextualSpacing w:val="0"/>
        <w:jc w:val="both"/>
      </w:pPr>
      <w:bookmarkStart w:id="279" w:name="_Toc378947508"/>
      <w:r>
        <w:t xml:space="preserve">V nadväznosti na povinnosť týkajúcu sa dĺžky trvania operácií je RO povinný sledovať minimálne počas doby 5 rokov od záverečnej platby poskytnutej prijímateľovi , </w:t>
      </w:r>
      <w:r w:rsidR="00C93F30">
        <w:t xml:space="preserve">t. j. </w:t>
      </w:r>
      <w:r>
        <w:t>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14:paraId="00B891F4" w14:textId="77777777" w:rsidR="00B650E5" w:rsidRDefault="00B650E5">
      <w:pPr>
        <w:pStyle w:val="Odsekzoznamu"/>
        <w:numPr>
          <w:ilvl w:val="0"/>
          <w:numId w:val="288"/>
        </w:numPr>
        <w:spacing w:before="120" w:after="120"/>
        <w:ind w:left="851" w:hanging="425"/>
        <w:contextualSpacing w:val="0"/>
        <w:jc w:val="both"/>
      </w:pPr>
      <w:r>
        <w:t>prevodu alebo prechodu majetku nadobudnutého z NFP,</w:t>
      </w:r>
    </w:p>
    <w:p w14:paraId="43C3DEE9" w14:textId="77777777" w:rsidR="00B650E5" w:rsidRDefault="00B650E5">
      <w:pPr>
        <w:pStyle w:val="Odsekzoznamu"/>
        <w:numPr>
          <w:ilvl w:val="0"/>
          <w:numId w:val="288"/>
        </w:numPr>
        <w:spacing w:before="120" w:after="120"/>
        <w:ind w:left="851" w:hanging="425"/>
        <w:contextualSpacing w:val="0"/>
        <w:jc w:val="both"/>
      </w:pPr>
      <w:r>
        <w:t>zachovania účelu poskytovanej pomoci,</w:t>
      </w:r>
    </w:p>
    <w:p w14:paraId="4C4B5CFF" w14:textId="77777777" w:rsidR="00B650E5" w:rsidRDefault="00B650E5">
      <w:pPr>
        <w:pStyle w:val="Odsekzoznamu"/>
        <w:numPr>
          <w:ilvl w:val="0"/>
          <w:numId w:val="288"/>
        </w:numPr>
        <w:spacing w:before="120" w:after="120"/>
        <w:ind w:left="851" w:hanging="425"/>
        <w:contextualSpacing w:val="0"/>
        <w:jc w:val="both"/>
      </w:pPr>
      <w:r>
        <w:t>postupov pre overenie dodržania podmienok udržateľnosti projektov.</w:t>
      </w:r>
    </w:p>
    <w:p w14:paraId="023B8B77" w14:textId="77777777" w:rsidR="00B650E5" w:rsidRDefault="00B650E5">
      <w:pPr>
        <w:pStyle w:val="Odsekzoznamu"/>
        <w:numPr>
          <w:ilvl w:val="0"/>
          <w:numId w:val="287"/>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vydanom CKO.</w:t>
      </w:r>
    </w:p>
    <w:p w14:paraId="41620C21" w14:textId="77777777" w:rsidR="00B650E5" w:rsidRDefault="00B650E5">
      <w:pPr>
        <w:pStyle w:val="Odsekzoznamu"/>
        <w:numPr>
          <w:ilvl w:val="0"/>
          <w:numId w:val="287"/>
        </w:numPr>
        <w:spacing w:before="120" w:after="120"/>
        <w:ind w:left="426" w:hanging="426"/>
        <w:contextualSpacing w:val="0"/>
        <w:jc w:val="both"/>
      </w:pPr>
      <w:r>
        <w:t>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upraví metodický pokyn</w:t>
      </w:r>
      <w:r w:rsidR="006E488A">
        <w:rPr>
          <w:rStyle w:val="Odkaznapoznmkupodiarou"/>
        </w:rPr>
        <w:footnoteReference w:id="63"/>
      </w:r>
      <w:r>
        <w:t>.</w:t>
      </w:r>
    </w:p>
    <w:p w14:paraId="697814CC" w14:textId="77777777" w:rsidR="00B650E5" w:rsidRDefault="00B650E5">
      <w:pPr>
        <w:pStyle w:val="SRK3"/>
      </w:pPr>
      <w:bookmarkStart w:id="280" w:name="_Toc453234017"/>
      <w:bookmarkStart w:id="281" w:name="_Toc495649376"/>
      <w:r>
        <w:t>3.3.5 Zmenové konanie</w:t>
      </w:r>
      <w:bookmarkEnd w:id="279"/>
      <w:bookmarkEnd w:id="280"/>
      <w:bookmarkEnd w:id="281"/>
      <w:r>
        <w:t xml:space="preserve"> </w:t>
      </w:r>
    </w:p>
    <w:p w14:paraId="3EC2B98A" w14:textId="77777777" w:rsidR="00B650E5" w:rsidRDefault="00B650E5">
      <w:pPr>
        <w:pStyle w:val="Odsekzoznamu"/>
        <w:numPr>
          <w:ilvl w:val="0"/>
          <w:numId w:val="289"/>
        </w:numPr>
        <w:spacing w:before="120" w:after="120"/>
        <w:ind w:left="426" w:hanging="426"/>
        <w:contextualSpacing w:val="0"/>
        <w:jc w:val="both"/>
      </w:pPr>
      <w:r>
        <w:t>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realizácie projektu. Základné zásady, ktoré RO zohľadňuje pri nastavovaní zmenového konania sú najmä:</w:t>
      </w:r>
    </w:p>
    <w:p w14:paraId="4F54BE65" w14:textId="77777777" w:rsidR="00B650E5" w:rsidRDefault="00B650E5">
      <w:pPr>
        <w:numPr>
          <w:ilvl w:val="0"/>
          <w:numId w:val="290"/>
        </w:numPr>
        <w:spacing w:before="120" w:after="120"/>
        <w:ind w:left="851" w:hanging="425"/>
        <w:jc w:val="both"/>
        <w:rPr>
          <w:szCs w:val="22"/>
          <w:lang w:eastAsia="en-US"/>
        </w:rPr>
      </w:pPr>
      <w:r>
        <w:rPr>
          <w:szCs w:val="22"/>
          <w:lang w:eastAsia="en-US"/>
        </w:rPr>
        <w:t>efektívnosť a flexibilita pri reakciách na potreby realizovaných projektov,</w:t>
      </w:r>
    </w:p>
    <w:p w14:paraId="01190BAD" w14:textId="426AD345" w:rsidR="00B650E5" w:rsidRDefault="00B650E5">
      <w:pPr>
        <w:numPr>
          <w:ilvl w:val="0"/>
          <w:numId w:val="290"/>
        </w:numPr>
        <w:spacing w:before="120" w:after="120"/>
        <w:ind w:left="851" w:hanging="425"/>
        <w:jc w:val="both"/>
        <w:rPr>
          <w:szCs w:val="22"/>
          <w:lang w:eastAsia="en-US"/>
        </w:rPr>
      </w:pPr>
      <w:r>
        <w:rPr>
          <w:szCs w:val="22"/>
          <w:lang w:eastAsia="en-US"/>
        </w:rPr>
        <w:lastRenderedPageBreak/>
        <w:t>zabezpečenie dodržania zásady rovnakého prístupu, nediskriminácie a transparentnosti pri</w:t>
      </w:r>
      <w:r w:rsidR="00AF2804">
        <w:rPr>
          <w:szCs w:val="22"/>
          <w:lang w:eastAsia="en-US"/>
        </w:rPr>
        <w:t> </w:t>
      </w:r>
      <w:r>
        <w:rPr>
          <w:szCs w:val="22"/>
          <w:lang w:eastAsia="en-US"/>
        </w:rPr>
        <w:t>posudzovaní zmien,</w:t>
      </w:r>
    </w:p>
    <w:p w14:paraId="38E19D4D" w14:textId="77777777" w:rsidR="00B650E5" w:rsidRDefault="00B650E5">
      <w:pPr>
        <w:numPr>
          <w:ilvl w:val="0"/>
          <w:numId w:val="290"/>
        </w:numPr>
        <w:spacing w:before="120" w:after="120"/>
        <w:ind w:left="851" w:hanging="425"/>
        <w:jc w:val="both"/>
        <w:rPr>
          <w:szCs w:val="22"/>
          <w:lang w:eastAsia="en-US"/>
        </w:rPr>
      </w:pPr>
      <w:r>
        <w:rPr>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14:paraId="425C6851" w14:textId="1737D97B" w:rsidR="00B650E5" w:rsidRDefault="00B650E5" w:rsidP="00DE5D89">
      <w:pPr>
        <w:pStyle w:val="Odsekzoznamu"/>
        <w:numPr>
          <w:ilvl w:val="0"/>
          <w:numId w:val="289"/>
        </w:numPr>
        <w:spacing w:before="120" w:after="120"/>
        <w:ind w:left="425" w:hanging="425"/>
        <w:contextualSpacing w:val="0"/>
        <w:jc w:val="both"/>
      </w:pPr>
      <w:r>
        <w:t>Každá zmena v projekte v porovnaní s prvotným plánom predstavuje zvýšené finančné riziko pre</w:t>
      </w:r>
      <w:r w:rsidR="00AF2804">
        <w:t> </w:t>
      </w:r>
      <w:r>
        <w:t xml:space="preserve">RO spojené s tým, že projekt nebude zrealizovaný riadne a včas. Charakter a rozsah poskytovanej podpory však automaticky predpokladá, že potreba vykonania zmien v projekte je bežnou súčasťou realizácie väčšiny takýchto projektov. Z hľadiska zmien v projektoch je základné </w:t>
      </w:r>
      <w:r w:rsidRPr="009078F6">
        <w:t>delenie zmien upravené</w:t>
      </w:r>
      <w:r>
        <w:t xml:space="preserve"> v Zmluve o NFP.</w:t>
      </w:r>
    </w:p>
    <w:p w14:paraId="6E1ACC75" w14:textId="549F0E3C" w:rsidR="00B650E5" w:rsidRDefault="00B650E5" w:rsidP="00DE5D89">
      <w:pPr>
        <w:pStyle w:val="Odsekzoznamu"/>
        <w:numPr>
          <w:ilvl w:val="0"/>
          <w:numId w:val="289"/>
        </w:numPr>
        <w:spacing w:before="120" w:after="120"/>
        <w:ind w:left="425" w:hanging="425"/>
        <w:contextualSpacing w:val="0"/>
        <w:jc w:val="both"/>
      </w:pPr>
      <w:bookmarkStart w:id="282" w:name="_Toc378947509"/>
      <w:r>
        <w:rPr>
          <w:szCs w:val="22"/>
          <w:lang w:eastAsia="en-US"/>
        </w:rPr>
        <w:t>S ohľadom na charakter zmien RO zadefinuje pravidlá pre proces posúdenia a schvaľovanie zmien v projektoch rešpektujúc základné spoločné rámce stanovené Systémom riadenia EŠIF a metodickým pokynom vydaným CKO.</w:t>
      </w:r>
    </w:p>
    <w:p w14:paraId="152286F6" w14:textId="77777777" w:rsidR="00B650E5" w:rsidRDefault="00B650E5" w:rsidP="00DE5D89">
      <w:pPr>
        <w:pStyle w:val="Odsekzoznamu"/>
        <w:spacing w:before="120" w:after="120"/>
        <w:ind w:left="426"/>
        <w:jc w:val="both"/>
      </w:pPr>
      <w:r w:rsidRPr="009078F6">
        <w:rPr>
          <w:szCs w:val="22"/>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p>
    <w:p w14:paraId="68A058EA" w14:textId="77777777" w:rsidR="00B650E5" w:rsidRDefault="00B650E5">
      <w:pPr>
        <w:pStyle w:val="SRK3"/>
      </w:pPr>
      <w:bookmarkStart w:id="283" w:name="_Toc453234018"/>
      <w:bookmarkStart w:id="284" w:name="_Toc495649377"/>
      <w:bookmarkStart w:id="285" w:name="kapitola_336"/>
      <w:r>
        <w:t>3.3.6 Kontrola projektu</w:t>
      </w:r>
      <w:bookmarkEnd w:id="282"/>
      <w:bookmarkEnd w:id="283"/>
      <w:bookmarkEnd w:id="284"/>
    </w:p>
    <w:bookmarkEnd w:id="285"/>
    <w:p w14:paraId="6A80092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4CEB4E6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74 ods. 1 a ods. 2, čl. 125 ods. 4 až ods. 7 a čl. 132 všeobecného nariadenia </w:t>
      </w:r>
    </w:p>
    <w:p w14:paraId="7A2C3C6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E15497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finančnej kontrole </w:t>
      </w:r>
    </w:p>
    <w:p w14:paraId="61AFB67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19 a nasl. zákona o príspevku EŠIF</w:t>
      </w:r>
    </w:p>
    <w:p w14:paraId="2CF8C0F6" w14:textId="77777777" w:rsidR="00B650E5" w:rsidRDefault="00B650E5" w:rsidP="0045286B">
      <w:pPr>
        <w:pStyle w:val="SRK4"/>
      </w:pPr>
      <w:bookmarkStart w:id="286" w:name="_Toc453234019"/>
      <w:bookmarkStart w:id="287" w:name="_Toc495649378"/>
      <w:r>
        <w:t>3.3.6.1 Všeobecné ustanovenia o kontrole projektu</w:t>
      </w:r>
      <w:bookmarkEnd w:id="286"/>
      <w:bookmarkEnd w:id="287"/>
      <w:r>
        <w:t xml:space="preserve"> </w:t>
      </w:r>
    </w:p>
    <w:p w14:paraId="5E0F7841" w14:textId="77777777" w:rsidR="00B650E5" w:rsidRDefault="00B650E5">
      <w:pPr>
        <w:pStyle w:val="Odsekzoznamu"/>
        <w:numPr>
          <w:ilvl w:val="0"/>
          <w:numId w:val="27"/>
        </w:numPr>
        <w:spacing w:before="120" w:after="120"/>
        <w:ind w:left="426" w:hanging="426"/>
        <w:contextualSpacing w:val="0"/>
        <w:jc w:val="both"/>
      </w:pPr>
      <w:r>
        <w:t xml:space="preserve">Povinnosť vykonávania kontroly projektu vychádza najmä z článku 125, ods. 4 až  7 a článku 74 ods. 1 a 2 všeobecného nariadenia. Legislatívnym rámcom pre výkon kontroly projektu na národnej úrovni je zákon o finančnej kontrole. RO je povinný riadiť sa pri výkone kontroly aj Systémom riadenia EŠIF a metodickými usmerneniami CKO.  </w:t>
      </w:r>
    </w:p>
    <w:p w14:paraId="12853C1E" w14:textId="77777777" w:rsidR="00B650E5" w:rsidRDefault="00B650E5">
      <w:pPr>
        <w:pStyle w:val="Odsekzoznamu"/>
        <w:numPr>
          <w:ilvl w:val="0"/>
          <w:numId w:val="27"/>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14:paraId="1C6010F5" w14:textId="77777777" w:rsidR="00B650E5" w:rsidRDefault="00B650E5">
      <w:pPr>
        <w:pStyle w:val="Odsekzoznamu"/>
        <w:numPr>
          <w:ilvl w:val="0"/>
          <w:numId w:val="27"/>
        </w:numPr>
        <w:spacing w:before="120" w:after="120"/>
        <w:ind w:left="426" w:hanging="426"/>
        <w:contextualSpacing w:val="0"/>
        <w:jc w:val="both"/>
      </w:pPr>
      <w:r>
        <w:t xml:space="preserve">Kontrolou projektu sa rozumie súhrn činností RO a ním prizvaných osôb,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14:paraId="2C775A7A" w14:textId="77777777" w:rsidR="00B650E5" w:rsidRDefault="00B650E5" w:rsidP="00B771DE">
      <w:pPr>
        <w:pStyle w:val="Odsekzoznamu"/>
        <w:numPr>
          <w:ilvl w:val="0"/>
          <w:numId w:val="27"/>
        </w:numPr>
        <w:spacing w:before="120" w:after="120"/>
        <w:ind w:left="426" w:hanging="426"/>
        <w:contextualSpacing w:val="0"/>
        <w:jc w:val="both"/>
      </w:pPr>
      <w:r>
        <w:t>Povinnou osobou</w:t>
      </w:r>
      <w:r w:rsidR="00825EC8">
        <w:rPr>
          <w:rStyle w:val="Odkaznapoznmkupodiarou"/>
        </w:rPr>
        <w:footnoteReference w:id="64"/>
      </w:r>
      <w:r>
        <w:t xml:space="preserve"> (</w:t>
      </w:r>
      <w:r w:rsidR="00825EC8">
        <w:t>ďalej len „</w:t>
      </w:r>
      <w:r>
        <w:t>k</w:t>
      </w:r>
      <w:r w:rsidRPr="00064717">
        <w:t xml:space="preserve">ontrolovanou </w:t>
      </w:r>
      <w:r w:rsidRPr="00A14FAA">
        <w:t>osobou</w:t>
      </w:r>
      <w:r w:rsidR="00825EC8">
        <w:t>“</w:t>
      </w:r>
      <w:r>
        <w:t>)</w:t>
      </w:r>
      <w:r w:rsidRPr="00A14FAA">
        <w:t xml:space="preserve">  je osoba</w:t>
      </w:r>
      <w:r w:rsidR="00D726B2">
        <w:t>,</w:t>
      </w:r>
      <w:r w:rsidRPr="00A14FAA">
        <w:t xml:space="preserve"> u ktorej </w:t>
      </w:r>
      <w:r w:rsidRPr="003D4388">
        <w:t xml:space="preserve">sa vykonáva </w:t>
      </w:r>
      <w:r w:rsidRPr="003120E4">
        <w:t xml:space="preserve">kontrola </w:t>
      </w:r>
      <w:r w:rsidRPr="00064717">
        <w:t>over</w:t>
      </w:r>
      <w:r w:rsidRPr="003120E4">
        <w:t>ovaných</w:t>
      </w:r>
      <w:r w:rsidRPr="00A14FAA">
        <w:t xml:space="preserve"> skutočností podľa zákona o</w:t>
      </w:r>
      <w:r w:rsidRPr="00064717">
        <w:t xml:space="preserve"> príspevku EŠIF a finančná kontrola </w:t>
      </w:r>
      <w:r>
        <w:t xml:space="preserve">alebo audit </w:t>
      </w:r>
      <w:r w:rsidRPr="00064717">
        <w:t xml:space="preserve">podľa zákona o finančnej kontrole. Vo vzťahu k aplikácii </w:t>
      </w:r>
      <w:r w:rsidRPr="003120E4">
        <w:t>uvedených zákonov </w:t>
      </w:r>
      <w:r w:rsidRPr="00A14FAA">
        <w:t xml:space="preserve"> sa</w:t>
      </w:r>
      <w:r>
        <w:t xml:space="preserve"> vždy (s výnimkou výkonu vládneho auditu) vykonáva kontrola prijímateľa, alebo osoby</w:t>
      </w:r>
      <w:r w:rsidRPr="007E4476">
        <w:t xml:space="preserve">, </w:t>
      </w:r>
      <w:r w:rsidRPr="003425F6">
        <w:t>ktorá požiada o vykonanie</w:t>
      </w:r>
      <w:r w:rsidRPr="007E4476">
        <w:t xml:space="preserve">  </w:t>
      </w:r>
      <w:r w:rsidRPr="007E4476">
        <w:lastRenderedPageBreak/>
        <w:t>kontroly (budúci</w:t>
      </w:r>
      <w:r>
        <w:t xml:space="preserve"> žiadateľ v zmysle § 26 - § 28 zákona o príspevku z EŠIF). Kontrola ostatných osôb podieľajúcich sa na implementácii projektu sa vykonáva vždy cez kontrolu prijímateľa, t. j. napr. kontrola partnera, užívateľa alebo inej právnickej a/alebo fyzickej osoby, ktorá má k prijímateľovi alebo partnerovi vzťah dodávateľa výkonov, tovaru, poskytnutia služby alebo vykonania prác, alebo akejkoľvek inej právnickej alebo fyzickej osoby, ktorá má informácie, doklady alebo iné podklady, ktoré sú potrebné na výkon kontroly projektu (ďalej len „tretia osoba“). Na výkon vládneho auditu sa tento odsek nevzťahuje.</w:t>
      </w:r>
    </w:p>
    <w:p w14:paraId="79D6BB21" w14:textId="77777777" w:rsidR="00B650E5" w:rsidRDefault="00B650E5" w:rsidP="009D6DF9">
      <w:pPr>
        <w:pStyle w:val="Odsekzoznamu"/>
        <w:numPr>
          <w:ilvl w:val="0"/>
          <w:numId w:val="27"/>
        </w:numPr>
        <w:spacing w:before="120" w:after="120"/>
        <w:ind w:left="425" w:hanging="425"/>
        <w:contextualSpacing w:val="0"/>
        <w:jc w:val="both"/>
      </w:pPr>
      <w:r>
        <w:t xml:space="preserve">Kontrola projektu môže byť vykonávaná formou administratívnej finančnej kontroly a finančnej kontroly na mieste, pričom sa súbežne vykonáva aj základná finančná kontrola pripravovanej/prebiehajúcej finančnej operácie, resp. vymáhania už poskytnutého plnenia, ak sa finančná operácia alebo jej časť už vykonala. Právnym titulom na výkon kontroly projektu je účinná zmluva o NFP a legislatíva EÚ a SR, najmä zákon o finančnej kontrole. </w:t>
      </w:r>
    </w:p>
    <w:p w14:paraId="3DD5E5C3" w14:textId="77777777" w:rsidR="00B650E5" w:rsidRDefault="00B650E5" w:rsidP="009D6DF9">
      <w:pPr>
        <w:pStyle w:val="Odsekzoznamu"/>
        <w:numPr>
          <w:ilvl w:val="0"/>
          <w:numId w:val="27"/>
        </w:numPr>
        <w:spacing w:before="120" w:after="120"/>
        <w:ind w:left="426" w:hanging="426"/>
        <w:contextualSpacing w:val="0"/>
        <w:jc w:val="both"/>
      </w:pPr>
      <w:r>
        <w:t>Zákon o finančnej kontrole pozná v súvislosti s finančnou kontrolou tri základné formy kontroly</w:t>
      </w:r>
      <w:r w:rsidR="007324D5">
        <w:t>,</w:t>
      </w:r>
      <w:r>
        <w:t xml:space="preserve"> a to základnú finančnú kontrolu, administratívnu finančnú kontrolu a finančnú  kontrolu na </w:t>
      </w:r>
      <w:r w:rsidRPr="007E4476">
        <w:t xml:space="preserve">mieste </w:t>
      </w:r>
      <w:r w:rsidRPr="002576AF">
        <w:t>(ďalej aj „finančná kontrola“)</w:t>
      </w:r>
      <w:r w:rsidRPr="007E4476">
        <w:t>.</w:t>
      </w:r>
      <w:r>
        <w:t xml:space="preserve"> </w:t>
      </w:r>
    </w:p>
    <w:p w14:paraId="51DC3E95" w14:textId="37FEDDF1" w:rsidR="00B650E5" w:rsidRDefault="00B650E5" w:rsidP="009D6DF9">
      <w:pPr>
        <w:pStyle w:val="Odsekzoznamu"/>
        <w:numPr>
          <w:ilvl w:val="1"/>
          <w:numId w:val="27"/>
        </w:numPr>
        <w:spacing w:before="120" w:after="120"/>
        <w:ind w:left="851" w:hanging="425"/>
        <w:contextualSpacing w:val="0"/>
        <w:jc w:val="both"/>
      </w:pPr>
      <w:r w:rsidRPr="0037016C">
        <w:rPr>
          <w:i/>
        </w:rPr>
        <w:t>Základná finančná kontrola</w:t>
      </w:r>
      <w:r>
        <w:t xml:space="preserve"> – ide o výkon kontroly  v rámci orgánu verejnej správy v zmysle § 7 zákona o finančnej kontrole. Touto kontrolu je RO povinný vždy overiť, či každá finančná operácia alebo jej časť je v súlade so skutočnosťami uvedenými v § 6 ods. 4 zákona o finančnej kontrole (napr. s výzvou, so zmluvou o NFP, s vydanými rozhodnutiami). Základnú finančnú kontrolu potvrdzujú oprávnení zamestnanci uvedení v § 7  ods. 2 zákona o finančnej kontrole na doklade súvisiacom s finančnou operáciou alebo jej časťou uvedením mena a priezviska, podpisom, uvedením dátumu jej vykonania a vyjadrením či je možné finančnú operáciu vykonať, v nej pokračovať alebo je potrebné vymáhať poskytnuté plnenie. Vykonanie základnej finančnej kontroly sa spravidla zachytáva v kontrolných zoznamoch, ku ktorým CKO vydáva vzory. Uvedené skutočnosti sa však overujú aj </w:t>
      </w:r>
      <w:r w:rsidR="00D726B2">
        <w:t>v</w:t>
      </w:r>
      <w:r w:rsidR="00003538">
        <w:t xml:space="preserve"> </w:t>
      </w:r>
      <w:r>
        <w:t>prípadoch, kde sa bežne kontrolné zoznamy nevyhotovujú napr. pred vydaním konkrétneho rozhodnutia, zmluvy o  NFP a pod. V týchto prípadoch sa základná finančná kontrola vykonáva v súlade s</w:t>
      </w:r>
      <w:r w:rsidR="00E367B6">
        <w:t> </w:t>
      </w:r>
      <w:r>
        <w:t xml:space="preserve">vnútornými predpismi RO.  </w:t>
      </w:r>
    </w:p>
    <w:p w14:paraId="0959C4AE" w14:textId="77777777" w:rsidR="00B650E5" w:rsidRDefault="00B650E5" w:rsidP="009D6DF9">
      <w:pPr>
        <w:pStyle w:val="Odsekzoznamu"/>
        <w:numPr>
          <w:ilvl w:val="1"/>
          <w:numId w:val="27"/>
        </w:numPr>
        <w:spacing w:before="120" w:after="120"/>
        <w:ind w:left="851" w:hanging="425"/>
        <w:contextualSpacing w:val="0"/>
        <w:jc w:val="both"/>
      </w:pPr>
      <w:r w:rsidRPr="002576AF">
        <w:rPr>
          <w:i/>
        </w:rPr>
        <w:t xml:space="preserve">Administratívna finančná kontrola  </w:t>
      </w:r>
      <w:r>
        <w:t xml:space="preserve">– legislatívnym rámcom na výkon tejto kontroly je § 8 zákona o finančnej </w:t>
      </w:r>
      <w:r w:rsidRPr="005700C0">
        <w:t xml:space="preserve">kontrole. </w:t>
      </w:r>
      <w:r w:rsidRPr="002576AF">
        <w:t>Na úrovni projektu je výkon tejto kontroly povinný najmä pri kontrole VO a kontrole ŽoP</w:t>
      </w:r>
      <w:r w:rsidR="007324D5">
        <w:t>,</w:t>
      </w:r>
      <w:r w:rsidRPr="002576AF">
        <w:t xml:space="preserve"> a to vo vzťahu ku všetkým prijatým ŽoP prijímateľa bez výnimky.</w:t>
      </w:r>
      <w:r w:rsidRPr="005700C0">
        <w:t xml:space="preserve"> Bližšie</w:t>
      </w:r>
      <w:r>
        <w:t xml:space="preserve"> ustanovenia o výkone kontroly ŽoP formou administratívnej finančnej kontroly sú uvedené v </w:t>
      </w:r>
      <w:hyperlink w:anchor="kapitola_33622" w:tooltip="kapitole 3.3.6.2.2" w:history="1">
        <w:r>
          <w:rPr>
            <w:rStyle w:val="Hypertextovprepojenie"/>
          </w:rPr>
          <w:t>kapitole 3.3.6.2.2</w:t>
        </w:r>
      </w:hyperlink>
      <w:r>
        <w:t xml:space="preserve">. </w:t>
      </w:r>
    </w:p>
    <w:p w14:paraId="53DB05ED" w14:textId="77777777" w:rsidR="00B650E5" w:rsidRDefault="00B650E5" w:rsidP="009D6DF9">
      <w:pPr>
        <w:pStyle w:val="Odsekzoznamu"/>
        <w:numPr>
          <w:ilvl w:val="1"/>
          <w:numId w:val="27"/>
        </w:numPr>
        <w:spacing w:before="120" w:after="120"/>
        <w:ind w:left="851" w:hanging="425"/>
        <w:contextualSpacing w:val="0"/>
        <w:jc w:val="both"/>
      </w:pPr>
      <w:r>
        <w:rPr>
          <w:i/>
        </w:rPr>
        <w:t>Finančná kontrola na mieste</w:t>
      </w:r>
      <w:r>
        <w:t xml:space="preserve"> – legislatívnym rámcom na výkon tejto kontroly je § 9 zákona o finančnej kontrole. Bližšie ustanovenia o výkone tejto formy kontroly sú uvedené v </w:t>
      </w:r>
      <w:hyperlink w:anchor="kapitola_33614" w:tooltip="kapitole 3.3.6.1.4" w:history="1">
        <w:r>
          <w:rPr>
            <w:rStyle w:val="Hypertextovprepojenie"/>
          </w:rPr>
          <w:t>kapitole 3.3.6.1.4</w:t>
        </w:r>
      </w:hyperlink>
      <w:r>
        <w:t xml:space="preserve">.  </w:t>
      </w:r>
    </w:p>
    <w:p w14:paraId="147F3037" w14:textId="77777777" w:rsidR="00B650E5" w:rsidRDefault="00B650E5" w:rsidP="00E3686E">
      <w:pPr>
        <w:pStyle w:val="Odsekzoznamu"/>
        <w:numPr>
          <w:ilvl w:val="0"/>
          <w:numId w:val="27"/>
        </w:numPr>
        <w:spacing w:before="120" w:after="120"/>
        <w:ind w:left="426" w:hanging="426"/>
        <w:contextualSpacing w:val="0"/>
        <w:jc w:val="both"/>
      </w:pPr>
      <w:r>
        <w:t xml:space="preserve">Cieľom kontroly projektu je najmä zabezpečenie hospodárneho, efektívneho, účinného a účelného poskytnutia NFP pri dodržiavaní legislatívy EÚ a SR a podmienok poskytnutia NFP stanovených zmluvou o NFP, predchádzanie podvodom a nezrovnalostiam, ich odhaľovanie, náprava a s nimi súvisiace nápravné opatrenia, primerané riadenie rizík súvisiacich so zákonnosťou, oprávnenosťou  a správnosťou finančných operácií, spoľahlivosť výkazníctva, ochrana majetku a informácií. RO v rámci kontroly overí taktiež súlad ŽoP prijímateľa a podpornej dokumentácie s legislatívou EÚ a SR najmä s ohľadom na zásadu riadneho finančného hospodárenia,  správnosti nárokovaných výdavkov a ostatných povinností vyplývajúcich prijímateľovi zo zmluvy o NFP a z legislatívy EÚ a SR. </w:t>
      </w:r>
    </w:p>
    <w:p w14:paraId="6E695CA9" w14:textId="47953813" w:rsidR="00B650E5" w:rsidRDefault="00B650E5">
      <w:pPr>
        <w:pStyle w:val="Odsekzoznamu"/>
        <w:numPr>
          <w:ilvl w:val="0"/>
          <w:numId w:val="27"/>
        </w:numPr>
        <w:spacing w:before="120" w:after="120"/>
        <w:ind w:left="426" w:hanging="426"/>
        <w:contextualSpacing w:val="0"/>
        <w:jc w:val="both"/>
      </w:pPr>
      <w:r>
        <w:t xml:space="preserve">Ak je kontrola vykonávaná na mieste, jej hlavným cieľom je najmä overenie skutočného dodania tovarov, poskytnutia služieb a vykonania prác v rámci projektu, ktoré sú deklarované </w:t>
      </w:r>
      <w:r>
        <w:lastRenderedPageBreak/>
        <w:t>v účtovných dokladoch a v podpornej dokumentácii k projektu vo vzťahu k predloženým deklarovaným výdavkom a ostatných skutočností uvedených v ŽoP, k legislatíve EÚ a SR, k zmluve o</w:t>
      </w:r>
      <w:r w:rsidR="006F3B93">
        <w:t> </w:t>
      </w:r>
      <w:r>
        <w:t>NFP</w:t>
      </w:r>
      <w:r w:rsidR="006F3B93">
        <w:t>,</w:t>
      </w:r>
      <w:r>
        <w:t xml:space="preserve"> ako aj overenie ďalších skutočností súvisiacich s implementáciou projektu a plnením podmienok vyplývajúcich zo zmluvy o NFP (napr. účtovníctvo prijímateľa, archivácia </w:t>
      </w:r>
      <w:r w:rsidRPr="009078F6">
        <w:t>dokumentácie, súlad s HP), v</w:t>
      </w:r>
      <w:r>
        <w:t xml:space="preserve"> závislosti  od  predmetu  kontroly. </w:t>
      </w:r>
    </w:p>
    <w:p w14:paraId="5B149F74" w14:textId="77777777" w:rsidR="00B650E5" w:rsidRDefault="00B650E5">
      <w:pPr>
        <w:pStyle w:val="Odsekzoznamu"/>
        <w:numPr>
          <w:ilvl w:val="0"/>
          <w:numId w:val="27"/>
        </w:numPr>
        <w:spacing w:before="120" w:after="120"/>
        <w:ind w:left="426" w:hanging="426"/>
        <w:contextualSpacing w:val="0"/>
        <w:jc w:val="both"/>
      </w:pPr>
      <w:r>
        <w:t xml:space="preserve">Základnou požiadavkou na proces kontroly projektu je vytvárať také účinné kontrolné mechanizmy, ktoré by pri porovnávaní plánovaného a reálneho stavu zabezpečili identifikáciu a nápravu možného nepriaznivého stavu pri plnení zmluvy o NFP. RO prostredníctvom zmluvy o NFP zabezpečí informovanie prijímateľa o jeho povinnostiach týkajúcich sa kontroly projektu, vyplývajúcich z legislatívy EÚ a SR. </w:t>
      </w:r>
    </w:p>
    <w:p w14:paraId="4135F9E3" w14:textId="77777777" w:rsidR="00B650E5" w:rsidRDefault="00B650E5">
      <w:pPr>
        <w:pStyle w:val="Odsekzoznamu"/>
        <w:numPr>
          <w:ilvl w:val="0"/>
          <w:numId w:val="27"/>
        </w:numPr>
        <w:spacing w:before="120" w:after="120"/>
        <w:ind w:left="426" w:hanging="426"/>
        <w:contextualSpacing w:val="0"/>
        <w:jc w:val="both"/>
      </w:pPr>
      <w:bookmarkStart w:id="288" w:name="kapitola_3361_ods_10"/>
      <w:r>
        <w:t>V nadväznosti na aplikáciu článku 125 všeobecného nariadenia by sa mal RO pri kontrole projektu zamerať najmä na kontrolu týchto skutočností:</w:t>
      </w:r>
    </w:p>
    <w:bookmarkEnd w:id="288"/>
    <w:p w14:paraId="4EC03DA6" w14:textId="77777777" w:rsidR="00B650E5" w:rsidRDefault="00B650E5">
      <w:pPr>
        <w:pStyle w:val="Odsekzoznamu"/>
        <w:numPr>
          <w:ilvl w:val="2"/>
          <w:numId w:val="4"/>
        </w:numPr>
        <w:spacing w:before="120" w:after="120"/>
        <w:ind w:left="851" w:hanging="425"/>
        <w:contextualSpacing w:val="0"/>
        <w:jc w:val="both"/>
      </w:pPr>
      <w:r>
        <w:t xml:space="preserve">výdavky projektu vznikli počas obdobia oprávnenosti a došlo k ich vyplateniu; </w:t>
      </w:r>
    </w:p>
    <w:p w14:paraId="4009EE62" w14:textId="77777777" w:rsidR="00B650E5" w:rsidRDefault="00B650E5">
      <w:pPr>
        <w:pStyle w:val="Odsekzoznamu"/>
        <w:numPr>
          <w:ilvl w:val="2"/>
          <w:numId w:val="4"/>
        </w:numPr>
        <w:spacing w:before="120" w:after="120"/>
        <w:ind w:left="851" w:hanging="425"/>
        <w:contextualSpacing w:val="0"/>
        <w:jc w:val="both"/>
      </w:pPr>
      <w:r>
        <w:t>výdavky projektu sú v súlade so schváleným projektom;</w:t>
      </w:r>
    </w:p>
    <w:p w14:paraId="580B00B7" w14:textId="77777777" w:rsidR="00B650E5" w:rsidRDefault="00B650E5">
      <w:pPr>
        <w:pStyle w:val="Odsekzoznamu"/>
        <w:numPr>
          <w:ilvl w:val="2"/>
          <w:numId w:val="4"/>
        </w:numPr>
        <w:spacing w:before="120" w:after="120"/>
        <w:ind w:left="851" w:hanging="425"/>
        <w:contextualSpacing w:val="0"/>
        <w:jc w:val="both"/>
      </w:pPr>
      <w:r>
        <w:t>súlad s pravidlami stanovenými v projekte vrátane súladu so schválenou mierou spolufinancovania;</w:t>
      </w:r>
    </w:p>
    <w:p w14:paraId="39274186" w14:textId="77777777" w:rsidR="00B650E5" w:rsidRDefault="00B650E5">
      <w:pPr>
        <w:pStyle w:val="Odsekzoznamu"/>
        <w:numPr>
          <w:ilvl w:val="2"/>
          <w:numId w:val="4"/>
        </w:numPr>
        <w:spacing w:before="120" w:after="120"/>
        <w:ind w:left="851" w:hanging="425"/>
        <w:contextualSpacing w:val="0"/>
        <w:jc w:val="both"/>
      </w:pPr>
      <w:r>
        <w:t>súlad s pravidlami oprávnenosti výdavkov na národnej úrovni aj na úrovni EÚ;</w:t>
      </w:r>
    </w:p>
    <w:p w14:paraId="320991BD" w14:textId="77777777" w:rsidR="00B650E5" w:rsidRDefault="00B650E5">
      <w:pPr>
        <w:pStyle w:val="Odsekzoznamu"/>
        <w:numPr>
          <w:ilvl w:val="2"/>
          <w:numId w:val="4"/>
        </w:numPr>
        <w:spacing w:before="120" w:after="120"/>
        <w:ind w:left="851" w:hanging="425"/>
        <w:contextualSpacing w:val="0"/>
        <w:jc w:val="both"/>
      </w:pPr>
      <w:r>
        <w:t>adekvátnosť a overiteľnosť podporných dokumentov;</w:t>
      </w:r>
    </w:p>
    <w:p w14:paraId="3428D441" w14:textId="77777777" w:rsidR="00B650E5" w:rsidRDefault="00B650E5">
      <w:pPr>
        <w:pStyle w:val="Odsekzoznamu"/>
        <w:numPr>
          <w:ilvl w:val="2"/>
          <w:numId w:val="4"/>
        </w:numPr>
        <w:spacing w:before="120" w:after="120"/>
        <w:ind w:left="851" w:hanging="425"/>
        <w:contextualSpacing w:val="0"/>
        <w:jc w:val="both"/>
      </w:pPr>
      <w:r>
        <w:t>súlad s podmienkami štátnej pomoci/pomoci de minimis a požiadavka na udržateľný rozvoj, rovnosť príležitostí a nediskrimináciu;</w:t>
      </w:r>
    </w:p>
    <w:p w14:paraId="1D639E3A" w14:textId="77777777" w:rsidR="00B650E5" w:rsidRDefault="00B650E5">
      <w:pPr>
        <w:pStyle w:val="Odsekzoznamu"/>
        <w:numPr>
          <w:ilvl w:val="2"/>
          <w:numId w:val="4"/>
        </w:numPr>
        <w:spacing w:before="120" w:after="120"/>
        <w:ind w:left="851" w:hanging="425"/>
        <w:contextualSpacing w:val="0"/>
        <w:jc w:val="both"/>
      </w:pPr>
      <w:r>
        <w:t>súlad s pravidlami VO na národnej úrovni aj na úrovni EÚ;</w:t>
      </w:r>
    </w:p>
    <w:p w14:paraId="11B9DE08" w14:textId="77777777" w:rsidR="00B650E5" w:rsidRDefault="00B650E5">
      <w:pPr>
        <w:pStyle w:val="Odsekzoznamu"/>
        <w:numPr>
          <w:ilvl w:val="2"/>
          <w:numId w:val="4"/>
        </w:numPr>
        <w:spacing w:before="120" w:after="120"/>
        <w:ind w:left="851" w:hanging="425"/>
        <w:contextualSpacing w:val="0"/>
        <w:jc w:val="both"/>
      </w:pPr>
      <w:r>
        <w:t>súlad s pravidlami publicity na národnej úrovni aj na úrovni EÚ;</w:t>
      </w:r>
    </w:p>
    <w:p w14:paraId="22878CE9" w14:textId="77777777" w:rsidR="00B650E5" w:rsidRDefault="00B650E5">
      <w:pPr>
        <w:pStyle w:val="Odsekzoznamu"/>
        <w:numPr>
          <w:ilvl w:val="2"/>
          <w:numId w:val="4"/>
        </w:numPr>
        <w:spacing w:before="120" w:after="120"/>
        <w:ind w:left="851" w:hanging="425"/>
        <w:contextualSpacing w:val="0"/>
        <w:jc w:val="both"/>
      </w:pPr>
      <w:r>
        <w:t>v prípade využitia zjednodušených foriem vykazovania výdavkov súlad vykazovania s nastavenými pravidlami;</w:t>
      </w:r>
    </w:p>
    <w:p w14:paraId="45357C5E" w14:textId="77777777" w:rsidR="00B650E5" w:rsidRDefault="00B650E5">
      <w:pPr>
        <w:pStyle w:val="Odsekzoznamu"/>
        <w:numPr>
          <w:ilvl w:val="2"/>
          <w:numId w:val="4"/>
        </w:numPr>
        <w:spacing w:before="120" w:after="120"/>
        <w:ind w:left="851" w:hanging="425"/>
        <w:contextualSpacing w:val="0"/>
        <w:jc w:val="both"/>
      </w:pPr>
      <w:r>
        <w:t>fyzický pokrok projektu vo vzťahu k merateľným ukazovateľom projektu a  dátam, ktoré sú povinne poskytované na úrovni projektu;</w:t>
      </w:r>
    </w:p>
    <w:p w14:paraId="2FF1050E" w14:textId="77777777" w:rsidR="00B650E5" w:rsidRDefault="00B650E5">
      <w:pPr>
        <w:pStyle w:val="Odsekzoznamu"/>
        <w:numPr>
          <w:ilvl w:val="2"/>
          <w:numId w:val="4"/>
        </w:numPr>
        <w:spacing w:before="120" w:after="120"/>
        <w:ind w:left="851" w:hanging="425"/>
        <w:contextualSpacing w:val="0"/>
        <w:jc w:val="both"/>
      </w:pPr>
      <w:r>
        <w:t xml:space="preserve">dodržiavanie článku 61 všeobecného nariadenia (operácie vytvárajúce čistý príjem po dokončení). </w:t>
      </w:r>
    </w:p>
    <w:p w14:paraId="4C5BBAEF" w14:textId="77777777" w:rsidR="00B650E5" w:rsidRDefault="00B650E5">
      <w:pPr>
        <w:pStyle w:val="Odsekzoznamu"/>
        <w:numPr>
          <w:ilvl w:val="0"/>
          <w:numId w:val="27"/>
        </w:numPr>
        <w:spacing w:before="120" w:after="120"/>
        <w:ind w:left="426" w:hanging="426"/>
        <w:contextualSpacing w:val="0"/>
        <w:jc w:val="both"/>
      </w:pPr>
      <w:r>
        <w:t xml:space="preserve">V súlade s čl. 125 ods. 4 písm. d) všeobecného nariadenia RO stanoví postupy na zabezpečenie toho, aby sa uchovávali všetky doklady týkajúce sa výdavkov a auditov, ktoré sú potrebné na účely adekvátneho audit trailu.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 používané počítačové systémy musia spĺňať uznávané bezpečnostné štandardy, ktoré zabezpečia, že uchovávané dokumenty spĺňajú vnútroštátne zákonné požiadavky a sú spoľahlivé pre účely auditu. </w:t>
      </w:r>
    </w:p>
    <w:p w14:paraId="761F3C49" w14:textId="77777777" w:rsidR="00B650E5" w:rsidRDefault="0053588C">
      <w:pPr>
        <w:pStyle w:val="Odsekzoznamu"/>
        <w:spacing w:before="120" w:after="120"/>
        <w:ind w:left="426"/>
        <w:jc w:val="both"/>
      </w:pPr>
      <w:r>
        <w:rPr>
          <w:noProof/>
        </w:rPr>
        <w:lastRenderedPageBreak/>
        <w:drawing>
          <wp:inline distT="0" distB="0" distL="0" distR="0" wp14:anchorId="589F9B49" wp14:editId="7E15184E">
            <wp:extent cx="5476875" cy="3435350"/>
            <wp:effectExtent l="19050" t="57150" r="9525" b="31750"/>
            <wp:docPr id="15" name="Diagram 113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6" r:lo="rId167" r:qs="rId168" r:cs="rId169"/>
              </a:graphicData>
            </a:graphic>
          </wp:inline>
        </w:drawing>
      </w:r>
    </w:p>
    <w:p w14:paraId="2758B814" w14:textId="77777777" w:rsidR="00B650E5" w:rsidRDefault="00B650E5" w:rsidP="00D11AFB">
      <w:pPr>
        <w:spacing w:before="120" w:after="120"/>
        <w:jc w:val="both"/>
      </w:pPr>
    </w:p>
    <w:p w14:paraId="119A9EFA" w14:textId="77777777" w:rsidR="00B650E5" w:rsidRPr="00D11AFB" w:rsidRDefault="00B650E5" w:rsidP="00D11AFB">
      <w:pPr>
        <w:spacing w:before="120" w:after="120"/>
        <w:jc w:val="both"/>
        <w:rPr>
          <w:b/>
        </w:rPr>
      </w:pPr>
      <w:r w:rsidRPr="00D11AFB">
        <w:rPr>
          <w:b/>
        </w:rPr>
        <w:t>Tabuľka výsledkov kontroly:</w:t>
      </w:r>
    </w:p>
    <w:tbl>
      <w:tblPr>
        <w:tblW w:w="10491" w:type="dxa"/>
        <w:tblInd w:w="-356" w:type="dxa"/>
        <w:tblCellMar>
          <w:left w:w="70" w:type="dxa"/>
          <w:right w:w="70" w:type="dxa"/>
        </w:tblCellMar>
        <w:tblLook w:val="00A0" w:firstRow="1" w:lastRow="0" w:firstColumn="1" w:lastColumn="0" w:noHBand="0" w:noVBand="0"/>
      </w:tblPr>
      <w:tblGrid>
        <w:gridCol w:w="3403"/>
        <w:gridCol w:w="993"/>
        <w:gridCol w:w="1920"/>
        <w:gridCol w:w="1008"/>
        <w:gridCol w:w="3167"/>
      </w:tblGrid>
      <w:tr w:rsidR="00B650E5" w:rsidRPr="00A30C60" w14:paraId="4489EEB5" w14:textId="77777777" w:rsidTr="00D11AFB">
        <w:trPr>
          <w:trHeight w:val="600"/>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73D189C6"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Výsledok kontroly</w:t>
            </w:r>
          </w:p>
        </w:tc>
        <w:tc>
          <w:tcPr>
            <w:tcW w:w="993" w:type="dxa"/>
            <w:tcBorders>
              <w:top w:val="single" w:sz="4" w:space="0" w:color="auto"/>
              <w:left w:val="nil"/>
              <w:bottom w:val="single" w:sz="4" w:space="0" w:color="auto"/>
              <w:right w:val="single" w:sz="4" w:space="0" w:color="auto"/>
            </w:tcBorders>
            <w:shd w:val="clear" w:color="000000" w:fill="D9D9D9"/>
            <w:vAlign w:val="center"/>
          </w:tcPr>
          <w:p w14:paraId="489F7088"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Predmet kontroly</w:t>
            </w:r>
          </w:p>
        </w:tc>
        <w:tc>
          <w:tcPr>
            <w:tcW w:w="1920" w:type="dxa"/>
            <w:tcBorders>
              <w:top w:val="single" w:sz="4" w:space="0" w:color="auto"/>
              <w:left w:val="nil"/>
              <w:bottom w:val="single" w:sz="4" w:space="0" w:color="auto"/>
              <w:right w:val="single" w:sz="4" w:space="0" w:color="auto"/>
            </w:tcBorders>
            <w:shd w:val="clear" w:color="000000" w:fill="D9D9D9"/>
            <w:noWrap/>
            <w:vAlign w:val="center"/>
          </w:tcPr>
          <w:p w14:paraId="27ACF822"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Druh kontroly</w:t>
            </w:r>
          </w:p>
        </w:tc>
        <w:tc>
          <w:tcPr>
            <w:tcW w:w="1008" w:type="dxa"/>
            <w:tcBorders>
              <w:top w:val="single" w:sz="4" w:space="0" w:color="auto"/>
              <w:left w:val="nil"/>
              <w:bottom w:val="single" w:sz="4" w:space="0" w:color="auto"/>
              <w:right w:val="single" w:sz="4" w:space="0" w:color="auto"/>
            </w:tcBorders>
            <w:shd w:val="clear" w:color="000000" w:fill="D9D9D9"/>
            <w:noWrap/>
            <w:vAlign w:val="center"/>
          </w:tcPr>
          <w:p w14:paraId="31B80B51"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Farba</w:t>
            </w:r>
          </w:p>
        </w:tc>
        <w:tc>
          <w:tcPr>
            <w:tcW w:w="3167" w:type="dxa"/>
            <w:tcBorders>
              <w:top w:val="single" w:sz="4" w:space="0" w:color="auto"/>
              <w:left w:val="nil"/>
              <w:bottom w:val="single" w:sz="4" w:space="0" w:color="auto"/>
              <w:right w:val="single" w:sz="4" w:space="0" w:color="auto"/>
            </w:tcBorders>
            <w:shd w:val="clear" w:color="000000" w:fill="D9D9D9"/>
            <w:noWrap/>
            <w:vAlign w:val="center"/>
          </w:tcPr>
          <w:p w14:paraId="7C96E988"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Popis</w:t>
            </w:r>
          </w:p>
        </w:tc>
      </w:tr>
      <w:tr w:rsidR="00B650E5" w:rsidRPr="00A30C60" w14:paraId="69759C9D" w14:textId="77777777" w:rsidTr="00D11AFB">
        <w:trPr>
          <w:trHeight w:val="600"/>
        </w:trPr>
        <w:tc>
          <w:tcPr>
            <w:tcW w:w="3403" w:type="dxa"/>
            <w:tcBorders>
              <w:top w:val="nil"/>
              <w:left w:val="single" w:sz="4" w:space="0" w:color="auto"/>
              <w:bottom w:val="single" w:sz="4" w:space="0" w:color="auto"/>
              <w:right w:val="single" w:sz="4" w:space="0" w:color="auto"/>
            </w:tcBorders>
            <w:shd w:val="clear" w:color="000000" w:fill="92D050"/>
            <w:vAlign w:val="center"/>
          </w:tcPr>
          <w:p w14:paraId="7A976998"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Prvá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 Odsúhlasenie dokumentácie zo strany RO</w:t>
            </w:r>
          </w:p>
        </w:tc>
        <w:tc>
          <w:tcPr>
            <w:tcW w:w="993" w:type="dxa"/>
            <w:tcBorders>
              <w:top w:val="nil"/>
              <w:left w:val="nil"/>
              <w:bottom w:val="single" w:sz="4" w:space="0" w:color="auto"/>
              <w:right w:val="single" w:sz="4" w:space="0" w:color="auto"/>
            </w:tcBorders>
            <w:shd w:val="clear" w:color="000000" w:fill="92D050"/>
            <w:noWrap/>
            <w:vAlign w:val="center"/>
          </w:tcPr>
          <w:p w14:paraId="1DBAF63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28854C1E"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1CC5D91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6D26180D"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1. ex ante; doklady predbežne schválené, prijímateľ môže vyhlásiť verejné obstarávanie</w:t>
            </w:r>
          </w:p>
        </w:tc>
      </w:tr>
      <w:tr w:rsidR="00B650E5" w:rsidRPr="00A30C60" w14:paraId="67D6EBE3" w14:textId="77777777" w:rsidTr="00D11AFB">
        <w:trPr>
          <w:trHeight w:val="1275"/>
        </w:trPr>
        <w:tc>
          <w:tcPr>
            <w:tcW w:w="3403" w:type="dxa"/>
            <w:tcBorders>
              <w:top w:val="nil"/>
              <w:left w:val="single" w:sz="4" w:space="0" w:color="auto"/>
              <w:bottom w:val="single" w:sz="4" w:space="0" w:color="auto"/>
              <w:right w:val="single" w:sz="4" w:space="0" w:color="auto"/>
            </w:tcBorders>
            <w:shd w:val="clear" w:color="000000" w:fill="FF0000"/>
            <w:vAlign w:val="center"/>
          </w:tcPr>
          <w:p w14:paraId="60061078" w14:textId="77777777" w:rsidR="00B650E5" w:rsidRPr="000E286B" w:rsidRDefault="00B650E5" w:rsidP="00AE547C">
            <w:pPr>
              <w:rPr>
                <w:rFonts w:ascii="Calibri" w:hAnsi="Calibri" w:cs="Arial"/>
                <w:color w:val="000000"/>
              </w:rPr>
            </w:pPr>
            <w:r w:rsidRPr="000E286B">
              <w:rPr>
                <w:rFonts w:ascii="Calibri" w:hAnsi="Calibri" w:cs="Arial"/>
                <w:color w:val="000000"/>
                <w:sz w:val="22"/>
                <w:szCs w:val="22"/>
              </w:rPr>
              <w:t xml:space="preserve">Prvá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 Zistené nedostatky</w:t>
            </w:r>
          </w:p>
        </w:tc>
        <w:tc>
          <w:tcPr>
            <w:tcW w:w="993" w:type="dxa"/>
            <w:tcBorders>
              <w:top w:val="nil"/>
              <w:left w:val="nil"/>
              <w:bottom w:val="single" w:sz="4" w:space="0" w:color="auto"/>
              <w:right w:val="single" w:sz="4" w:space="0" w:color="auto"/>
            </w:tcBorders>
            <w:shd w:val="clear" w:color="000000" w:fill="FF0000"/>
            <w:noWrap/>
            <w:vAlign w:val="center"/>
          </w:tcPr>
          <w:p w14:paraId="63B2B8D6"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5A69E380"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2B4985B6"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3E9B5349"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1. ex ante; uloženie opatrení na odstránenie zistených nedostatkov, prijímateľ po druhej výzve RO nezabezpečil uspokojivú úpravu kontrolovanej dokumentácie, ukončenie kontroly zaslaním správy, v ktorej RO konštatuje nezapracovanie pripomienok</w:t>
            </w:r>
          </w:p>
        </w:tc>
      </w:tr>
      <w:tr w:rsidR="00B650E5" w:rsidRPr="00A30C60" w14:paraId="7E12F8FE" w14:textId="77777777" w:rsidTr="00D11AFB">
        <w:trPr>
          <w:trHeight w:val="900"/>
        </w:trPr>
        <w:tc>
          <w:tcPr>
            <w:tcW w:w="3403" w:type="dxa"/>
            <w:tcBorders>
              <w:top w:val="nil"/>
              <w:left w:val="single" w:sz="4" w:space="0" w:color="auto"/>
              <w:bottom w:val="single" w:sz="4" w:space="0" w:color="auto"/>
              <w:right w:val="single" w:sz="4" w:space="0" w:color="auto"/>
            </w:tcBorders>
            <w:shd w:val="clear" w:color="000000" w:fill="92D050"/>
            <w:vAlign w:val="center"/>
          </w:tcPr>
          <w:p w14:paraId="3B245189"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Druhá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 Súhlas s podpísaním zmluvy verejného obstarávateľa/obstarávateľa s úspešným uchádzačom</w:t>
            </w:r>
          </w:p>
        </w:tc>
        <w:tc>
          <w:tcPr>
            <w:tcW w:w="993" w:type="dxa"/>
            <w:tcBorders>
              <w:top w:val="nil"/>
              <w:left w:val="nil"/>
              <w:bottom w:val="single" w:sz="4" w:space="0" w:color="auto"/>
              <w:right w:val="single" w:sz="4" w:space="0" w:color="auto"/>
            </w:tcBorders>
            <w:shd w:val="clear" w:color="000000" w:fill="92D050"/>
            <w:noWrap/>
            <w:vAlign w:val="center"/>
          </w:tcPr>
          <w:p w14:paraId="7B58C816"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1800F399"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778DF4F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1BFAC2E1"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2. ex ante; bez zistení, prijímateľ je oprávnený podpísať zmluvu s úspešným uchádzačom</w:t>
            </w:r>
          </w:p>
        </w:tc>
      </w:tr>
      <w:tr w:rsidR="00B650E5" w:rsidRPr="00A30C60" w14:paraId="3A25D201" w14:textId="77777777" w:rsidTr="00D11AFB">
        <w:trPr>
          <w:trHeight w:val="900"/>
        </w:trPr>
        <w:tc>
          <w:tcPr>
            <w:tcW w:w="3403" w:type="dxa"/>
            <w:tcBorders>
              <w:top w:val="nil"/>
              <w:left w:val="single" w:sz="4" w:space="0" w:color="auto"/>
              <w:bottom w:val="single" w:sz="4" w:space="0" w:color="auto"/>
              <w:right w:val="single" w:sz="4" w:space="0" w:color="auto"/>
            </w:tcBorders>
            <w:shd w:val="clear" w:color="000000" w:fill="F79646"/>
            <w:vAlign w:val="center"/>
          </w:tcPr>
          <w:p w14:paraId="38E71E83"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Druhá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Súhlas s podpísaním zmluvy verejného obstarávateľa/obstarávateľa s úspešným uchádzačom</w:t>
            </w:r>
          </w:p>
        </w:tc>
        <w:tc>
          <w:tcPr>
            <w:tcW w:w="993" w:type="dxa"/>
            <w:tcBorders>
              <w:top w:val="nil"/>
              <w:left w:val="nil"/>
              <w:bottom w:val="single" w:sz="4" w:space="0" w:color="auto"/>
              <w:right w:val="single" w:sz="4" w:space="0" w:color="auto"/>
            </w:tcBorders>
            <w:shd w:val="clear" w:color="000000" w:fill="F79646"/>
            <w:noWrap/>
            <w:vAlign w:val="center"/>
          </w:tcPr>
          <w:p w14:paraId="158A535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79646"/>
            <w:noWrap/>
            <w:vAlign w:val="center"/>
          </w:tcPr>
          <w:p w14:paraId="76AC22F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79646"/>
            <w:noWrap/>
            <w:vAlign w:val="center"/>
          </w:tcPr>
          <w:p w14:paraId="44C57ECC"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679E2CB4" w14:textId="77777777" w:rsidR="00B650E5" w:rsidRPr="000E286B" w:rsidRDefault="00B650E5" w:rsidP="00806AEE">
            <w:pPr>
              <w:rPr>
                <w:rFonts w:ascii="Calibri" w:hAnsi="Calibri" w:cs="Arial"/>
                <w:color w:val="000000"/>
                <w:sz w:val="20"/>
                <w:szCs w:val="20"/>
              </w:rPr>
            </w:pPr>
            <w:r w:rsidRPr="000E286B">
              <w:rPr>
                <w:rFonts w:ascii="Calibri" w:hAnsi="Calibri" w:cs="Arial"/>
                <w:color w:val="000000"/>
                <w:sz w:val="20"/>
                <w:szCs w:val="20"/>
              </w:rPr>
              <w:t>2. ex ante; zistenia, ktoré nemali ani nemohli mať vplyv na výsledok VO, prijímateľ je oprávnený podpísať zmluvu s úspešným uchádzačom alebo zistenia, ktoré mali alebo mohli mať vplyv na výsledok verejného obstarávania, ale je možné ich odstrániť (napr. opätovným vyhodnotením ponúk), po odstránení protiprávneho stavu je prijímateľ oprávnený podpísať zmluvu s úspešným uchádzačom</w:t>
            </w:r>
          </w:p>
        </w:tc>
      </w:tr>
      <w:tr w:rsidR="00B650E5" w:rsidRPr="00A30C60" w14:paraId="098AFABA" w14:textId="77777777" w:rsidTr="00D11AFB">
        <w:trPr>
          <w:trHeight w:val="900"/>
        </w:trPr>
        <w:tc>
          <w:tcPr>
            <w:tcW w:w="3403" w:type="dxa"/>
            <w:tcBorders>
              <w:top w:val="nil"/>
              <w:left w:val="single" w:sz="4" w:space="0" w:color="auto"/>
              <w:bottom w:val="single" w:sz="4" w:space="0" w:color="auto"/>
              <w:right w:val="single" w:sz="4" w:space="0" w:color="auto"/>
            </w:tcBorders>
            <w:shd w:val="clear" w:color="000000" w:fill="FF0000"/>
            <w:vAlign w:val="center"/>
          </w:tcPr>
          <w:p w14:paraId="57F63752"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lastRenderedPageBreak/>
              <w:t xml:space="preserve">Druhá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 Výzva na opakovanie procesu VO/nesúhlas s podpisom zmluvy verejného obstarávateľa/obstarávateľa s úspešným uchádzačom</w:t>
            </w:r>
            <w:r>
              <w:rPr>
                <w:rFonts w:ascii="Calibri" w:hAnsi="Calibri" w:cs="Arial"/>
                <w:color w:val="000000"/>
                <w:sz w:val="22"/>
                <w:szCs w:val="22"/>
              </w:rPr>
              <w:t xml:space="preserve"> alebo nepripustenie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1BB51F2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0E78F742"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51B25B8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426DCE2A" w14:textId="68A20586" w:rsidR="00B650E5" w:rsidRPr="000E286B" w:rsidRDefault="00B650E5" w:rsidP="00533EB0">
            <w:pPr>
              <w:rPr>
                <w:rFonts w:ascii="Calibri" w:hAnsi="Calibri" w:cs="Arial"/>
                <w:color w:val="000000"/>
                <w:sz w:val="20"/>
                <w:szCs w:val="20"/>
              </w:rPr>
            </w:pPr>
            <w:r w:rsidRPr="000E286B">
              <w:rPr>
                <w:rFonts w:ascii="Calibri" w:hAnsi="Calibri" w:cs="Arial"/>
                <w:color w:val="000000"/>
                <w:sz w:val="20"/>
                <w:szCs w:val="20"/>
              </w:rPr>
              <w:t xml:space="preserve">2. ex ante; zistenia, ktoré mali </w:t>
            </w:r>
            <w:r w:rsidRPr="000E286B">
              <w:rPr>
                <w:rFonts w:ascii="Calibri" w:hAnsi="Calibri" w:cs="Arial"/>
                <w:sz w:val="20"/>
                <w:szCs w:val="20"/>
              </w:rPr>
              <w:t xml:space="preserve">alebo mohli mať vplyv na výsledok </w:t>
            </w:r>
            <w:r w:rsidRPr="000E286B">
              <w:rPr>
                <w:rFonts w:ascii="Calibri" w:hAnsi="Calibri"/>
                <w:sz w:val="20"/>
              </w:rPr>
              <w:t>VO</w:t>
            </w:r>
            <w:r>
              <w:rPr>
                <w:rFonts w:ascii="Calibri" w:hAnsi="Calibri"/>
                <w:sz w:val="20"/>
              </w:rPr>
              <w:t>,</w:t>
            </w:r>
            <w:r w:rsidRPr="000E286B">
              <w:rPr>
                <w:rFonts w:ascii="Calibri" w:hAnsi="Calibri"/>
                <w:sz w:val="20"/>
              </w:rPr>
              <w:t xml:space="preserve"> </w:t>
            </w:r>
            <w:r w:rsidRPr="00533EB0">
              <w:rPr>
                <w:rFonts w:ascii="Calibri" w:hAnsi="Calibri"/>
                <w:sz w:val="20"/>
              </w:rPr>
              <w:t>RO kvalifikuje výdavky z verejného obstarávania ako oprávnené vo výške menej ako 100</w:t>
            </w:r>
            <w:r w:rsidR="00C93F30">
              <w:rPr>
                <w:rFonts w:ascii="Calibri" w:hAnsi="Calibri"/>
                <w:sz w:val="20"/>
              </w:rPr>
              <w:t xml:space="preserve"> </w:t>
            </w:r>
            <w:r w:rsidRPr="00533EB0">
              <w:rPr>
                <w:rFonts w:ascii="Calibri" w:hAnsi="Calibri"/>
                <w:sz w:val="20"/>
              </w:rPr>
              <w:t>% z hodnoty zmluvy o NFP</w:t>
            </w:r>
            <w:r w:rsidRPr="000E286B">
              <w:rPr>
                <w:rFonts w:ascii="Calibri" w:hAnsi="Calibri"/>
                <w:sz w:val="20"/>
              </w:rPr>
              <w:t>,</w:t>
            </w:r>
            <w:r>
              <w:rPr>
                <w:rFonts w:ascii="Calibri" w:hAnsi="Calibri"/>
                <w:sz w:val="20"/>
              </w:rPr>
              <w:t xml:space="preserve"> prijímateľ nie je oprávnený podpísať zmluvu v prípade nepripustenia výdavkov do financovania alebo je oprávnený podpísať zmluvu, ak bola uplatnená </w:t>
            </w:r>
            <w:r w:rsidR="00FB1D18">
              <w:rPr>
                <w:rFonts w:ascii="Calibri" w:hAnsi="Calibri"/>
                <w:sz w:val="20"/>
              </w:rPr>
              <w:t>ex ante</w:t>
            </w:r>
            <w:r>
              <w:rPr>
                <w:rFonts w:ascii="Calibri" w:hAnsi="Calibri"/>
                <w:sz w:val="20"/>
              </w:rPr>
              <w:t xml:space="preserve"> finančná oprava</w:t>
            </w:r>
            <w:r w:rsidRPr="000E286B">
              <w:rPr>
                <w:rFonts w:ascii="Calibri" w:hAnsi="Calibri"/>
                <w:sz w:val="20"/>
              </w:rPr>
              <w:t xml:space="preserve"> </w:t>
            </w:r>
            <w:r w:rsidRPr="000E286B">
              <w:rPr>
                <w:rFonts w:ascii="Calibri" w:hAnsi="Calibri" w:cs="Arial"/>
                <w:sz w:val="20"/>
                <w:szCs w:val="20"/>
              </w:rPr>
              <w:t>alebo ÚVO rozhodnutím zrušil použitý postup zadávania zákazky</w:t>
            </w:r>
            <w:r>
              <w:rPr>
                <w:rFonts w:ascii="Calibri" w:hAnsi="Calibri" w:cs="Arial"/>
                <w:sz w:val="20"/>
                <w:szCs w:val="20"/>
              </w:rPr>
              <w:t xml:space="preserve"> a</w:t>
            </w:r>
            <w:r w:rsidRPr="000E286B">
              <w:rPr>
                <w:rFonts w:ascii="Calibri" w:hAnsi="Calibri" w:cs="Arial"/>
                <w:sz w:val="20"/>
                <w:szCs w:val="20"/>
              </w:rPr>
              <w:t xml:space="preserve"> prijímateľ nie je oprávnený podpísať zmluvu s úspešným uchádzačom</w:t>
            </w:r>
          </w:p>
        </w:tc>
      </w:tr>
      <w:tr w:rsidR="00B650E5" w:rsidRPr="00A30C60" w14:paraId="7EFF1CFC"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33C16067"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Štandardná </w:t>
            </w:r>
            <w:r w:rsidR="00FB1D18">
              <w:rPr>
                <w:rFonts w:ascii="Calibri" w:hAnsi="Calibri" w:cs="Arial"/>
                <w:color w:val="000000"/>
                <w:sz w:val="22"/>
                <w:szCs w:val="22"/>
              </w:rPr>
              <w:t>ex post</w:t>
            </w:r>
            <w:r w:rsidRPr="000E286B">
              <w:rPr>
                <w:rFonts w:ascii="Calibri" w:hAnsi="Calibri" w:cs="Arial"/>
                <w:color w:val="000000"/>
                <w:sz w:val="22"/>
                <w:szCs w:val="22"/>
              </w:rPr>
              <w:t xml:space="preserve"> kontrola VO - Pripustenie výdavkov súvisiacich s VO do financovania</w:t>
            </w:r>
          </w:p>
        </w:tc>
        <w:tc>
          <w:tcPr>
            <w:tcW w:w="993" w:type="dxa"/>
            <w:tcBorders>
              <w:top w:val="nil"/>
              <w:left w:val="nil"/>
              <w:bottom w:val="single" w:sz="4" w:space="0" w:color="auto"/>
              <w:right w:val="single" w:sz="4" w:space="0" w:color="auto"/>
            </w:tcBorders>
            <w:shd w:val="clear" w:color="000000" w:fill="92D050"/>
            <w:noWrap/>
            <w:vAlign w:val="center"/>
          </w:tcPr>
          <w:p w14:paraId="1C9C170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2B2D1A1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7C4E2842"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5D6B789E"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štandar</w:t>
            </w:r>
            <w:r w:rsidR="00E367B6">
              <w:rPr>
                <w:rFonts w:ascii="Calibri" w:hAnsi="Calibri" w:cs="Arial"/>
                <w:color w:val="000000"/>
                <w:sz w:val="20"/>
                <w:szCs w:val="20"/>
              </w:rPr>
              <w:t>d</w:t>
            </w:r>
            <w:r w:rsidRPr="000E286B">
              <w:rPr>
                <w:rFonts w:ascii="Calibri" w:hAnsi="Calibri" w:cs="Arial"/>
                <w:color w:val="000000"/>
                <w:sz w:val="20"/>
                <w:szCs w:val="20"/>
              </w:rPr>
              <w:t>ná ex post; bez zistení/so zisteniami, ktoré nemali ani nemohli mať vplyv na výsledok VO, RO kvalifikuje výdavky z verejného obstarávania ako oprávnené vo výške 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22EDF481"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1C07FCB7"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Štandardná </w:t>
            </w:r>
            <w:r w:rsidR="00FB1D18">
              <w:rPr>
                <w:rFonts w:ascii="Calibri" w:hAnsi="Calibri" w:cs="Arial"/>
                <w:color w:val="000000"/>
                <w:sz w:val="22"/>
                <w:szCs w:val="22"/>
              </w:rPr>
              <w:t>ex post</w:t>
            </w:r>
            <w:r w:rsidRPr="000E286B">
              <w:rPr>
                <w:rFonts w:ascii="Calibri" w:hAnsi="Calibri" w:cs="Arial"/>
                <w:color w:val="000000"/>
                <w:sz w:val="22"/>
                <w:szCs w:val="22"/>
              </w:rPr>
              <w:t xml:space="preserve"> kontrola VO - Nepripustenie výdavkov alebo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7976B40C"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59E619B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6B751D9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06FC9507"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štandar</w:t>
            </w:r>
            <w:r w:rsidR="00E367B6">
              <w:rPr>
                <w:rFonts w:ascii="Calibri" w:hAnsi="Calibri" w:cs="Arial"/>
                <w:color w:val="000000"/>
                <w:sz w:val="20"/>
                <w:szCs w:val="20"/>
              </w:rPr>
              <w:t>d</w:t>
            </w:r>
            <w:r w:rsidRPr="000E286B">
              <w:rPr>
                <w:rFonts w:ascii="Calibri" w:hAnsi="Calibri" w:cs="Arial"/>
                <w:color w:val="000000"/>
                <w:sz w:val="20"/>
                <w:szCs w:val="20"/>
              </w:rPr>
              <w:t>ná ex post; zistenia, ktoré mali alebo mohli mať vplyv na výsledok VO, RO kvalifikuje výdavky z verejného obstarávania ako oprávnené vo výške menej ako</w:t>
            </w:r>
            <w:r w:rsidR="00C93F30">
              <w:rPr>
                <w:rFonts w:ascii="Calibri" w:hAnsi="Calibri" w:cs="Arial"/>
                <w:color w:val="000000"/>
                <w:sz w:val="20"/>
                <w:szCs w:val="20"/>
              </w:rPr>
              <w:t xml:space="preserve">             </w:t>
            </w:r>
            <w:r w:rsidRPr="000E286B">
              <w:rPr>
                <w:rFonts w:ascii="Calibri" w:hAnsi="Calibri" w:cs="Arial"/>
                <w:color w:val="000000"/>
                <w:sz w:val="20"/>
                <w:szCs w:val="20"/>
              </w:rPr>
              <w:t xml:space="preserve"> 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408E39E5"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1DC9ACDE"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Následná </w:t>
            </w:r>
            <w:r w:rsidR="00FB1D18">
              <w:rPr>
                <w:rFonts w:ascii="Calibri" w:hAnsi="Calibri" w:cs="Arial"/>
                <w:color w:val="000000"/>
                <w:sz w:val="22"/>
                <w:szCs w:val="22"/>
              </w:rPr>
              <w:t>ex post</w:t>
            </w:r>
            <w:r w:rsidRPr="000E286B">
              <w:rPr>
                <w:rFonts w:ascii="Calibri" w:hAnsi="Calibri" w:cs="Arial"/>
                <w:color w:val="000000"/>
                <w:sz w:val="22"/>
                <w:szCs w:val="22"/>
              </w:rPr>
              <w:t xml:space="preserve"> kontrola VO - Výdavky vyplývajúce z VO sú oprávnené</w:t>
            </w:r>
          </w:p>
        </w:tc>
        <w:tc>
          <w:tcPr>
            <w:tcW w:w="993" w:type="dxa"/>
            <w:tcBorders>
              <w:top w:val="nil"/>
              <w:left w:val="nil"/>
              <w:bottom w:val="single" w:sz="4" w:space="0" w:color="auto"/>
              <w:right w:val="single" w:sz="4" w:space="0" w:color="auto"/>
            </w:tcBorders>
            <w:shd w:val="clear" w:color="000000" w:fill="92D050"/>
            <w:noWrap/>
            <w:vAlign w:val="center"/>
          </w:tcPr>
          <w:p w14:paraId="5CF9765F"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693EFD6A"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308CC2B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316E64F"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následná ex post; bez zistení/ so zisteniami, ktoré nemali ani nemohli mať vplyv na výsledok VO, RO kvalifikuje výdavky z verejného obstarávania ako oprávnené vo výške 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33359A18"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2B4FCDD3"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Následná </w:t>
            </w:r>
            <w:r w:rsidR="00FB1D18">
              <w:rPr>
                <w:rFonts w:ascii="Calibri" w:hAnsi="Calibri" w:cs="Arial"/>
                <w:color w:val="000000"/>
                <w:sz w:val="22"/>
                <w:szCs w:val="22"/>
              </w:rPr>
              <w:t>ex post</w:t>
            </w:r>
            <w:r w:rsidRPr="000E286B">
              <w:rPr>
                <w:rFonts w:ascii="Calibri" w:hAnsi="Calibri" w:cs="Arial"/>
                <w:color w:val="000000"/>
                <w:sz w:val="22"/>
                <w:szCs w:val="22"/>
              </w:rPr>
              <w:t xml:space="preserve"> kontrola VO  - Výdavky alebo ich časť vyplývajúce z VO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2F97E40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7112D7B9"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7AEABA7B"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A00FEA4"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následná ex post; zistenia, ktoré mali alebo mohli mať vplyv na výsledok VO, RO kvalifikuje výdavky z verejného obstarávania ako oprávnené vo výške menej ako </w:t>
            </w:r>
            <w:r w:rsidR="00C93F30">
              <w:rPr>
                <w:rFonts w:ascii="Calibri" w:hAnsi="Calibri" w:cs="Arial"/>
                <w:color w:val="000000"/>
                <w:sz w:val="20"/>
                <w:szCs w:val="20"/>
              </w:rPr>
              <w:t xml:space="preserve">         </w:t>
            </w:r>
            <w:r w:rsidRPr="000E286B">
              <w:rPr>
                <w:rFonts w:ascii="Calibri" w:hAnsi="Calibri" w:cs="Arial"/>
                <w:color w:val="000000"/>
                <w:sz w:val="20"/>
                <w:szCs w:val="20"/>
              </w:rPr>
              <w:t>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4709C97D"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2A654D42"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dodatkov pred podpisom (VO) - Súhlas s podpisom Dodatku k Zmluve  s dodávateľom</w:t>
            </w:r>
          </w:p>
        </w:tc>
        <w:tc>
          <w:tcPr>
            <w:tcW w:w="993" w:type="dxa"/>
            <w:tcBorders>
              <w:top w:val="nil"/>
              <w:left w:val="nil"/>
              <w:bottom w:val="single" w:sz="4" w:space="0" w:color="auto"/>
              <w:right w:val="single" w:sz="4" w:space="0" w:color="auto"/>
            </w:tcBorders>
            <w:shd w:val="clear" w:color="000000" w:fill="92D050"/>
            <w:noWrap/>
            <w:vAlign w:val="center"/>
          </w:tcPr>
          <w:p w14:paraId="0B519BD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4D4702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74DF7B5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3C8B4CB0"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dodatkov pred podpisom; bez zistení/so zisteniami, ktoré nemali ani nemohli mať vplyv na postup vedúci k uzavretiu dodatku, prijímateľ je oprávnený podpísať dodatok s dodávateľom</w:t>
            </w:r>
          </w:p>
        </w:tc>
      </w:tr>
      <w:tr w:rsidR="00B650E5" w:rsidRPr="00A30C60" w14:paraId="64927F59" w14:textId="77777777" w:rsidTr="00D11AFB">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5D839A2C"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dodatkov pred podpisom (VO) - Nesúhlas s podpisom Dodatku k zmluve s dodávateľom</w:t>
            </w:r>
          </w:p>
        </w:tc>
        <w:tc>
          <w:tcPr>
            <w:tcW w:w="993" w:type="dxa"/>
            <w:tcBorders>
              <w:top w:val="nil"/>
              <w:left w:val="nil"/>
              <w:bottom w:val="single" w:sz="4" w:space="0" w:color="auto"/>
              <w:right w:val="single" w:sz="4" w:space="0" w:color="auto"/>
            </w:tcBorders>
            <w:shd w:val="clear" w:color="000000" w:fill="FF0000"/>
            <w:noWrap/>
            <w:vAlign w:val="center"/>
          </w:tcPr>
          <w:p w14:paraId="1CBE7B0E"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52837F3B"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19B4EEA6"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4D342594" w14:textId="2ABAD70C" w:rsidR="00B650E5" w:rsidRPr="000E286B" w:rsidRDefault="00B650E5" w:rsidP="00D058BF">
            <w:pPr>
              <w:rPr>
                <w:rFonts w:ascii="Calibri" w:hAnsi="Calibri" w:cs="Arial"/>
                <w:color w:val="000000"/>
                <w:sz w:val="20"/>
                <w:szCs w:val="20"/>
              </w:rPr>
            </w:pPr>
            <w:r w:rsidRPr="000E286B">
              <w:rPr>
                <w:rFonts w:ascii="Calibri" w:hAnsi="Calibri" w:cs="Arial"/>
                <w:color w:val="000000"/>
                <w:sz w:val="20"/>
                <w:szCs w:val="20"/>
              </w:rPr>
              <w:t>kontrola dodatkov pred podpisom; zistenia, ktoré mali alebo mohli mať vplyv na uzavretie dodatku, prijímateľ nie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r>
              <w:rPr>
                <w:rFonts w:ascii="Calibri" w:hAnsi="Calibri" w:cs="Arial"/>
                <w:color w:val="000000"/>
                <w:sz w:val="20"/>
                <w:szCs w:val="20"/>
              </w:rPr>
              <w:t xml:space="preserve"> alebo </w:t>
            </w:r>
            <w:r w:rsidRPr="00D058BF">
              <w:rPr>
                <w:rFonts w:ascii="Calibri" w:hAnsi="Calibri" w:cs="Arial"/>
                <w:color w:val="000000"/>
                <w:sz w:val="20"/>
                <w:szCs w:val="20"/>
              </w:rPr>
              <w:t xml:space="preserve">RO kvalifikuje výdavky z dodatku ako oprávnené vo výške menej ako </w:t>
            </w:r>
            <w:r w:rsidR="00C93F30">
              <w:rPr>
                <w:rFonts w:ascii="Calibri" w:hAnsi="Calibri" w:cs="Arial"/>
                <w:color w:val="000000"/>
                <w:sz w:val="20"/>
                <w:szCs w:val="20"/>
              </w:rPr>
              <w:t xml:space="preserve">              </w:t>
            </w:r>
            <w:r w:rsidRPr="00D058BF">
              <w:rPr>
                <w:rFonts w:ascii="Calibri" w:hAnsi="Calibri" w:cs="Arial"/>
                <w:color w:val="000000"/>
                <w:sz w:val="20"/>
                <w:szCs w:val="20"/>
              </w:rPr>
              <w:t>100</w:t>
            </w:r>
            <w:r w:rsidR="00C93F30">
              <w:rPr>
                <w:rFonts w:ascii="Calibri" w:hAnsi="Calibri" w:cs="Arial"/>
                <w:color w:val="000000"/>
                <w:sz w:val="20"/>
                <w:szCs w:val="20"/>
              </w:rPr>
              <w:t xml:space="preserve"> </w:t>
            </w:r>
            <w:r w:rsidRPr="00D058BF">
              <w:rPr>
                <w:rFonts w:ascii="Calibri" w:hAnsi="Calibri" w:cs="Arial"/>
                <w:color w:val="000000"/>
                <w:sz w:val="20"/>
                <w:szCs w:val="20"/>
              </w:rPr>
              <w:t>% z hodnoty zmluvy o NFP</w:t>
            </w:r>
          </w:p>
        </w:tc>
      </w:tr>
      <w:tr w:rsidR="00B650E5" w:rsidRPr="00A30C60" w14:paraId="71F14D48"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632C5857"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lastRenderedPageBreak/>
              <w:t>Kontrola dodatkov po podpise (VO)- Výdavky zo zmluvy s dodávateľom v znení dodatku sú oprávnené</w:t>
            </w:r>
          </w:p>
        </w:tc>
        <w:tc>
          <w:tcPr>
            <w:tcW w:w="993" w:type="dxa"/>
            <w:tcBorders>
              <w:top w:val="nil"/>
              <w:left w:val="nil"/>
              <w:bottom w:val="single" w:sz="4" w:space="0" w:color="auto"/>
              <w:right w:val="single" w:sz="4" w:space="0" w:color="auto"/>
            </w:tcBorders>
            <w:shd w:val="clear" w:color="000000" w:fill="92D050"/>
            <w:noWrap/>
            <w:vAlign w:val="center"/>
          </w:tcPr>
          <w:p w14:paraId="3745E7BC"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0FD7E0E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67DAD973"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51D4F614"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dodatkov po podpise; bez zistení/ so zisteniami, ktoré nemali ani nemohli mať vplyv na postup vedúci k uzavretiu dodatku, RO kvalifikuje výdavky z dodatku ako oprávnené vo výške 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4B6E4D58"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512EB233"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dodatkov po podpise - Výdavky alebo ich časť zo zmluvy s dodávateľom v znení dodatku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07772FD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0273E2E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32D401BF"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0A53C9B8"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kontrola dodatkov po podpise; zistenia, ktoré mali alebo mohli mať vplyv na uzavretie dodatku, RO kvalifikuje výdavky z dodatku ako oprávnené vo výške menej ako </w:t>
            </w:r>
            <w:r w:rsidR="00C93F30">
              <w:rPr>
                <w:rFonts w:ascii="Calibri" w:hAnsi="Calibri" w:cs="Arial"/>
                <w:color w:val="000000"/>
                <w:sz w:val="20"/>
                <w:szCs w:val="20"/>
              </w:rPr>
              <w:t xml:space="preserve">             </w:t>
            </w:r>
            <w:r w:rsidRPr="000E286B">
              <w:rPr>
                <w:rFonts w:ascii="Calibri" w:hAnsi="Calibri" w:cs="Arial"/>
                <w:color w:val="000000"/>
                <w:sz w:val="20"/>
                <w:szCs w:val="20"/>
              </w:rPr>
              <w:t>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1B95476D" w14:textId="77777777" w:rsidTr="00D11AFB">
        <w:trPr>
          <w:trHeight w:val="300"/>
        </w:trPr>
        <w:tc>
          <w:tcPr>
            <w:tcW w:w="3403" w:type="dxa"/>
            <w:tcBorders>
              <w:top w:val="nil"/>
              <w:left w:val="single" w:sz="4" w:space="0" w:color="auto"/>
              <w:bottom w:val="single" w:sz="4" w:space="0" w:color="auto"/>
              <w:right w:val="single" w:sz="4" w:space="0" w:color="auto"/>
            </w:tcBorders>
            <w:shd w:val="clear" w:color="000000" w:fill="92D050"/>
            <w:vAlign w:val="center"/>
          </w:tcPr>
          <w:p w14:paraId="6199F6F8"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Administratívna finančná kontrola - ŽOP Schválená </w:t>
            </w:r>
          </w:p>
        </w:tc>
        <w:tc>
          <w:tcPr>
            <w:tcW w:w="993" w:type="dxa"/>
            <w:tcBorders>
              <w:top w:val="nil"/>
              <w:left w:val="nil"/>
              <w:bottom w:val="single" w:sz="4" w:space="0" w:color="auto"/>
              <w:right w:val="single" w:sz="4" w:space="0" w:color="auto"/>
            </w:tcBorders>
            <w:shd w:val="clear" w:color="000000" w:fill="92D050"/>
            <w:noWrap/>
            <w:vAlign w:val="center"/>
          </w:tcPr>
          <w:p w14:paraId="6AA4654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92D050"/>
            <w:noWrap/>
            <w:vAlign w:val="center"/>
          </w:tcPr>
          <w:p w14:paraId="3FCF39A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92D050"/>
            <w:noWrap/>
            <w:vAlign w:val="center"/>
          </w:tcPr>
          <w:p w14:paraId="0BE4819C"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584CF664"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administratívna finančná kontrola; ŽOP schválená bez zistení, </w:t>
            </w:r>
          </w:p>
        </w:tc>
      </w:tr>
      <w:tr w:rsidR="00B650E5" w:rsidRPr="00A30C60" w14:paraId="05F3F838" w14:textId="77777777" w:rsidTr="00D11AFB">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48E1E60E"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Administratívna finančná kontrola - ŽOP schválená v zníženej sume</w:t>
            </w:r>
          </w:p>
        </w:tc>
        <w:tc>
          <w:tcPr>
            <w:tcW w:w="993" w:type="dxa"/>
            <w:tcBorders>
              <w:top w:val="nil"/>
              <w:left w:val="nil"/>
              <w:bottom w:val="single" w:sz="4" w:space="0" w:color="auto"/>
              <w:right w:val="single" w:sz="4" w:space="0" w:color="auto"/>
            </w:tcBorders>
            <w:shd w:val="clear" w:color="000000" w:fill="F79646"/>
            <w:noWrap/>
            <w:vAlign w:val="center"/>
          </w:tcPr>
          <w:p w14:paraId="1D438F8A"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F79646"/>
            <w:noWrap/>
            <w:vAlign w:val="center"/>
          </w:tcPr>
          <w:p w14:paraId="43E65C8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F79646"/>
            <w:noWrap/>
            <w:vAlign w:val="center"/>
          </w:tcPr>
          <w:p w14:paraId="777968A2"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07AFFFC6"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administratívna finančná kontrola; RO navrhuje schváliť nárokované finančné prostriedky/deklarované výdavky prijímateľa v zníženej sume o výšku neoprávnených výdavkov, resp. o sumu, ktorá prekračuje maximálnu výšku zálohovej platby.</w:t>
            </w:r>
          </w:p>
        </w:tc>
      </w:tr>
      <w:tr w:rsidR="00B650E5" w:rsidRPr="00A30C60" w14:paraId="42E9FF99" w14:textId="77777777" w:rsidTr="00D11AFB">
        <w:trPr>
          <w:trHeight w:val="1275"/>
        </w:trPr>
        <w:tc>
          <w:tcPr>
            <w:tcW w:w="3403" w:type="dxa"/>
            <w:tcBorders>
              <w:top w:val="nil"/>
              <w:left w:val="single" w:sz="4" w:space="0" w:color="auto"/>
              <w:bottom w:val="single" w:sz="4" w:space="0" w:color="auto"/>
              <w:right w:val="single" w:sz="4" w:space="0" w:color="auto"/>
            </w:tcBorders>
            <w:shd w:val="clear" w:color="000000" w:fill="F79646"/>
            <w:vAlign w:val="center"/>
          </w:tcPr>
          <w:p w14:paraId="7B86330A"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Administratívna finančná kontrola - ŽOP Schválená  s vyňatím výdavkov</w:t>
            </w:r>
          </w:p>
        </w:tc>
        <w:tc>
          <w:tcPr>
            <w:tcW w:w="993" w:type="dxa"/>
            <w:tcBorders>
              <w:top w:val="nil"/>
              <w:left w:val="nil"/>
              <w:bottom w:val="single" w:sz="4" w:space="0" w:color="auto"/>
              <w:right w:val="single" w:sz="4" w:space="0" w:color="auto"/>
            </w:tcBorders>
            <w:shd w:val="clear" w:color="000000" w:fill="F79646"/>
            <w:noWrap/>
            <w:vAlign w:val="center"/>
          </w:tcPr>
          <w:p w14:paraId="6660F766"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F79646"/>
            <w:noWrap/>
            <w:vAlign w:val="center"/>
          </w:tcPr>
          <w:p w14:paraId="30FFEC22"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F79646"/>
            <w:noWrap/>
            <w:vAlign w:val="center"/>
          </w:tcPr>
          <w:p w14:paraId="6512934A"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14A96DE7"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administratívna finančná kontrola; RO navrhuje schváliť nárokované finančné prostriedky/deklarované výdavky bez výdavkov, pri ktorých počas kontroly rozhodol, že budú predmetom samostatnej kontroly z dôvodu doplnenia/zmeny/overenia skutočností na mieste a pod. </w:t>
            </w:r>
          </w:p>
        </w:tc>
      </w:tr>
      <w:tr w:rsidR="00B650E5" w:rsidRPr="00A30C60" w14:paraId="158C2791" w14:textId="77777777" w:rsidTr="00D11AFB">
        <w:trPr>
          <w:trHeight w:val="1365"/>
        </w:trPr>
        <w:tc>
          <w:tcPr>
            <w:tcW w:w="3403" w:type="dxa"/>
            <w:tcBorders>
              <w:top w:val="nil"/>
              <w:left w:val="single" w:sz="4" w:space="0" w:color="auto"/>
              <w:bottom w:val="single" w:sz="4" w:space="0" w:color="auto"/>
              <w:right w:val="single" w:sz="4" w:space="0" w:color="auto"/>
            </w:tcBorders>
            <w:shd w:val="clear" w:color="000000" w:fill="FF0000"/>
            <w:vAlign w:val="center"/>
          </w:tcPr>
          <w:p w14:paraId="25FF71C4"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Administratívna finančná kontrola - ŽOP zamietnutá</w:t>
            </w:r>
          </w:p>
        </w:tc>
        <w:tc>
          <w:tcPr>
            <w:tcW w:w="993" w:type="dxa"/>
            <w:tcBorders>
              <w:top w:val="nil"/>
              <w:left w:val="nil"/>
              <w:bottom w:val="single" w:sz="4" w:space="0" w:color="auto"/>
              <w:right w:val="single" w:sz="4" w:space="0" w:color="auto"/>
            </w:tcBorders>
            <w:shd w:val="clear" w:color="000000" w:fill="FF0000"/>
            <w:noWrap/>
            <w:vAlign w:val="center"/>
          </w:tcPr>
          <w:p w14:paraId="53BC363B"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FF0000"/>
            <w:noWrap/>
            <w:vAlign w:val="center"/>
          </w:tcPr>
          <w:p w14:paraId="767960F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FF0000"/>
            <w:noWrap/>
            <w:vAlign w:val="center"/>
          </w:tcPr>
          <w:p w14:paraId="2989639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6BE172F"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administratívna finančná kontrola; Neschválená ŽoP. RO neschvaľuje všetky nárokované finančné prostriedky/deklarované výdavky.</w:t>
            </w:r>
          </w:p>
        </w:tc>
      </w:tr>
      <w:tr w:rsidR="00B650E5" w:rsidRPr="00A30C60" w14:paraId="25AD73E7"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3CD68FB6"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projektu bez zistení</w:t>
            </w:r>
          </w:p>
        </w:tc>
        <w:tc>
          <w:tcPr>
            <w:tcW w:w="993" w:type="dxa"/>
            <w:tcBorders>
              <w:top w:val="nil"/>
              <w:left w:val="nil"/>
              <w:bottom w:val="single" w:sz="4" w:space="0" w:color="auto"/>
              <w:right w:val="single" w:sz="4" w:space="0" w:color="auto"/>
            </w:tcBorders>
            <w:shd w:val="clear" w:color="000000" w:fill="92D050"/>
            <w:noWrap/>
            <w:vAlign w:val="center"/>
          </w:tcPr>
          <w:p w14:paraId="0E540F23"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92D050"/>
            <w:noWrap/>
            <w:vAlign w:val="center"/>
          </w:tcPr>
          <w:p w14:paraId="49D5794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92D050"/>
            <w:noWrap/>
            <w:vAlign w:val="center"/>
          </w:tcPr>
          <w:p w14:paraId="1D9A37D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405C080B"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základná finančná kontrola/administratívna finančná kontrola/finančná kontrola na mieste; Kontrola bez zistení</w:t>
            </w:r>
          </w:p>
        </w:tc>
      </w:tr>
      <w:tr w:rsidR="00B650E5" w:rsidRPr="00A30C60" w14:paraId="0EA14EE8" w14:textId="77777777" w:rsidTr="00D11AFB">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0A441999"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projektu so zisteniami - nezávažnými</w:t>
            </w:r>
          </w:p>
        </w:tc>
        <w:tc>
          <w:tcPr>
            <w:tcW w:w="993" w:type="dxa"/>
            <w:tcBorders>
              <w:top w:val="nil"/>
              <w:left w:val="nil"/>
              <w:bottom w:val="single" w:sz="4" w:space="0" w:color="auto"/>
              <w:right w:val="single" w:sz="4" w:space="0" w:color="auto"/>
            </w:tcBorders>
            <w:shd w:val="clear" w:color="000000" w:fill="F79646"/>
            <w:noWrap/>
            <w:vAlign w:val="center"/>
          </w:tcPr>
          <w:p w14:paraId="7196AA4B"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3C0FE36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4894A0E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Oranžové</w:t>
            </w:r>
          </w:p>
        </w:tc>
        <w:tc>
          <w:tcPr>
            <w:tcW w:w="3167" w:type="dxa"/>
            <w:tcBorders>
              <w:top w:val="nil"/>
              <w:left w:val="nil"/>
              <w:bottom w:val="single" w:sz="4" w:space="0" w:color="auto"/>
              <w:right w:val="single" w:sz="4" w:space="0" w:color="auto"/>
            </w:tcBorders>
            <w:shd w:val="clear" w:color="000000" w:fill="F79646"/>
            <w:vAlign w:val="bottom"/>
          </w:tcPr>
          <w:p w14:paraId="08ED31EF"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základná finančná kontrola/administratívna finančná kontrola/finančná kontrola na mieste; Zistené neoprávnené výdavky, nepodstatné porušenie zmluvy a pod.</w:t>
            </w:r>
          </w:p>
        </w:tc>
      </w:tr>
      <w:tr w:rsidR="00B650E5" w:rsidRPr="00A30C60" w14:paraId="620B83D2" w14:textId="77777777" w:rsidTr="00D11AFB">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5D5CCCC8"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projektu so zisteniami - závažnými</w:t>
            </w:r>
          </w:p>
        </w:tc>
        <w:tc>
          <w:tcPr>
            <w:tcW w:w="993" w:type="dxa"/>
            <w:tcBorders>
              <w:top w:val="nil"/>
              <w:left w:val="nil"/>
              <w:bottom w:val="single" w:sz="4" w:space="0" w:color="auto"/>
              <w:right w:val="single" w:sz="4" w:space="0" w:color="auto"/>
            </w:tcBorders>
            <w:shd w:val="clear" w:color="000000" w:fill="FF0000"/>
            <w:noWrap/>
            <w:vAlign w:val="center"/>
          </w:tcPr>
          <w:p w14:paraId="4C28FED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F0000"/>
            <w:noWrap/>
            <w:vAlign w:val="center"/>
          </w:tcPr>
          <w:p w14:paraId="5BC4F39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F0000"/>
            <w:noWrap/>
            <w:vAlign w:val="center"/>
          </w:tcPr>
          <w:p w14:paraId="2DC2BDC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22F66849"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základná finančná kontrola/administratívna finančná kontrola/finančná kontrola na mieste; Zistené podstatné porušenie zmluvy</w:t>
            </w:r>
          </w:p>
        </w:tc>
      </w:tr>
      <w:tr w:rsidR="00B650E5" w:rsidRPr="00A30C60" w14:paraId="3D3DC578" w14:textId="77777777" w:rsidTr="00D11AFB">
        <w:trPr>
          <w:trHeight w:val="765"/>
        </w:trPr>
        <w:tc>
          <w:tcPr>
            <w:tcW w:w="3403" w:type="dxa"/>
            <w:tcBorders>
              <w:top w:val="nil"/>
              <w:left w:val="single" w:sz="4" w:space="0" w:color="auto"/>
              <w:bottom w:val="single" w:sz="4" w:space="0" w:color="auto"/>
              <w:right w:val="single" w:sz="4" w:space="0" w:color="auto"/>
            </w:tcBorders>
            <w:shd w:val="clear" w:color="000000" w:fill="F79646"/>
            <w:vAlign w:val="center"/>
          </w:tcPr>
          <w:p w14:paraId="6ECCFE2E"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projektu ukončená z dôvodu pozastavenia realizácie projektu</w:t>
            </w:r>
          </w:p>
        </w:tc>
        <w:tc>
          <w:tcPr>
            <w:tcW w:w="993" w:type="dxa"/>
            <w:tcBorders>
              <w:top w:val="nil"/>
              <w:left w:val="nil"/>
              <w:bottom w:val="single" w:sz="4" w:space="0" w:color="auto"/>
              <w:right w:val="single" w:sz="4" w:space="0" w:color="auto"/>
            </w:tcBorders>
            <w:shd w:val="clear" w:color="000000" w:fill="F79646"/>
            <w:noWrap/>
            <w:vAlign w:val="center"/>
          </w:tcPr>
          <w:p w14:paraId="49402452"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3CBE3023"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67497A17" w14:textId="77777777" w:rsidR="00B650E5" w:rsidRPr="000E286B" w:rsidRDefault="00B650E5" w:rsidP="00D11AFB">
            <w:pPr>
              <w:jc w:val="center"/>
              <w:rPr>
                <w:rFonts w:ascii="Calibri" w:hAnsi="Calibri" w:cs="Arial"/>
                <w:color w:val="000000"/>
                <w:sz w:val="20"/>
                <w:szCs w:val="20"/>
              </w:rPr>
            </w:pPr>
            <w:r w:rsidRPr="000E286B">
              <w:rPr>
                <w:rFonts w:ascii="Calibri" w:hAnsi="Calibri" w:cs="Arial"/>
                <w:color w:val="000000"/>
                <w:sz w:val="20"/>
                <w:szCs w:val="20"/>
              </w:rPr>
              <w:t>Oranžová</w:t>
            </w:r>
          </w:p>
        </w:tc>
        <w:tc>
          <w:tcPr>
            <w:tcW w:w="3167" w:type="dxa"/>
            <w:tcBorders>
              <w:top w:val="nil"/>
              <w:left w:val="nil"/>
              <w:bottom w:val="single" w:sz="4" w:space="0" w:color="auto"/>
              <w:right w:val="single" w:sz="4" w:space="0" w:color="auto"/>
            </w:tcBorders>
            <w:shd w:val="clear" w:color="000000" w:fill="F79646"/>
            <w:vAlign w:val="bottom"/>
          </w:tcPr>
          <w:p w14:paraId="08DDBA39"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základná finančná kontrola/administratívna finančná kontrola/finančná kontrola na mieste; RO aplikuje v prípade pozastavenia realizácie projektu. </w:t>
            </w:r>
          </w:p>
        </w:tc>
      </w:tr>
      <w:tr w:rsidR="00B650E5" w:rsidRPr="00A30C60" w14:paraId="3BD636C0"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05CD5F3E"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lastRenderedPageBreak/>
              <w:t>Kontrola DP bez zistení</w:t>
            </w:r>
          </w:p>
        </w:tc>
        <w:tc>
          <w:tcPr>
            <w:tcW w:w="993" w:type="dxa"/>
            <w:tcBorders>
              <w:top w:val="nil"/>
              <w:left w:val="nil"/>
              <w:bottom w:val="single" w:sz="4" w:space="0" w:color="auto"/>
              <w:right w:val="single" w:sz="4" w:space="0" w:color="auto"/>
            </w:tcBorders>
            <w:shd w:val="clear" w:color="000000" w:fill="92D050"/>
            <w:noWrap/>
            <w:vAlign w:val="center"/>
          </w:tcPr>
          <w:p w14:paraId="32CB8E6A"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92D050"/>
            <w:noWrap/>
            <w:vAlign w:val="center"/>
          </w:tcPr>
          <w:p w14:paraId="46233786"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DP</w:t>
            </w:r>
          </w:p>
        </w:tc>
        <w:tc>
          <w:tcPr>
            <w:tcW w:w="1008" w:type="dxa"/>
            <w:tcBorders>
              <w:top w:val="nil"/>
              <w:left w:val="nil"/>
              <w:bottom w:val="single" w:sz="4" w:space="0" w:color="auto"/>
              <w:right w:val="single" w:sz="4" w:space="0" w:color="auto"/>
            </w:tcBorders>
            <w:shd w:val="clear" w:color="000000" w:fill="92D050"/>
            <w:noWrap/>
            <w:vAlign w:val="center"/>
          </w:tcPr>
          <w:p w14:paraId="5015E04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24AD4E5"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finančná kontrola na mieste; Kontrola delegovaných právomocí bez zistení</w:t>
            </w:r>
          </w:p>
        </w:tc>
      </w:tr>
      <w:tr w:rsidR="00B650E5" w:rsidRPr="00A30C60" w14:paraId="6F41F5D2"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23FF2A69"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DP so zisteniami - nezávažnými</w:t>
            </w:r>
          </w:p>
        </w:tc>
        <w:tc>
          <w:tcPr>
            <w:tcW w:w="993" w:type="dxa"/>
            <w:tcBorders>
              <w:top w:val="nil"/>
              <w:left w:val="nil"/>
              <w:bottom w:val="single" w:sz="4" w:space="0" w:color="auto"/>
              <w:right w:val="single" w:sz="4" w:space="0" w:color="auto"/>
            </w:tcBorders>
            <w:shd w:val="clear" w:color="000000" w:fill="F79646"/>
            <w:noWrap/>
            <w:vAlign w:val="center"/>
          </w:tcPr>
          <w:p w14:paraId="0F0ABCA3"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29F37F6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DP</w:t>
            </w:r>
          </w:p>
        </w:tc>
        <w:tc>
          <w:tcPr>
            <w:tcW w:w="1008" w:type="dxa"/>
            <w:tcBorders>
              <w:top w:val="nil"/>
              <w:left w:val="nil"/>
              <w:bottom w:val="single" w:sz="4" w:space="0" w:color="auto"/>
              <w:right w:val="single" w:sz="4" w:space="0" w:color="auto"/>
            </w:tcBorders>
            <w:shd w:val="clear" w:color="000000" w:fill="F79646"/>
            <w:noWrap/>
            <w:vAlign w:val="center"/>
          </w:tcPr>
          <w:p w14:paraId="7D6C33A3" w14:textId="77777777" w:rsidR="00B650E5" w:rsidRPr="000E286B" w:rsidRDefault="00B650E5" w:rsidP="00D11AFB">
            <w:pPr>
              <w:jc w:val="center"/>
              <w:rPr>
                <w:rFonts w:ascii="Calibri" w:hAnsi="Calibri" w:cs="Arial"/>
                <w:color w:val="000000"/>
                <w:sz w:val="20"/>
                <w:szCs w:val="20"/>
              </w:rPr>
            </w:pPr>
            <w:r w:rsidRPr="000E286B">
              <w:rPr>
                <w:rFonts w:ascii="Calibri" w:hAnsi="Calibri" w:cs="Arial"/>
                <w:color w:val="000000"/>
                <w:sz w:val="20"/>
                <w:szCs w:val="20"/>
              </w:rPr>
              <w:t>Oranžové</w:t>
            </w:r>
          </w:p>
        </w:tc>
        <w:tc>
          <w:tcPr>
            <w:tcW w:w="3167" w:type="dxa"/>
            <w:tcBorders>
              <w:top w:val="nil"/>
              <w:left w:val="nil"/>
              <w:bottom w:val="single" w:sz="4" w:space="0" w:color="auto"/>
              <w:right w:val="single" w:sz="4" w:space="0" w:color="auto"/>
            </w:tcBorders>
            <w:shd w:val="clear" w:color="000000" w:fill="F79646"/>
            <w:vAlign w:val="bottom"/>
          </w:tcPr>
          <w:p w14:paraId="3B05F983"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finančná kontrola na mieste; Kontrola delegovaných právomocí s nezávažnými zisteniami</w:t>
            </w:r>
          </w:p>
        </w:tc>
      </w:tr>
      <w:tr w:rsidR="00B650E5" w:rsidRPr="00A30C60" w14:paraId="356770A1"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FF0000"/>
            <w:vAlign w:val="center"/>
          </w:tcPr>
          <w:p w14:paraId="50807452"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DP so zisteniami - závažnými</w:t>
            </w:r>
          </w:p>
        </w:tc>
        <w:tc>
          <w:tcPr>
            <w:tcW w:w="993" w:type="dxa"/>
            <w:tcBorders>
              <w:top w:val="nil"/>
              <w:left w:val="nil"/>
              <w:bottom w:val="single" w:sz="4" w:space="0" w:color="auto"/>
              <w:right w:val="single" w:sz="4" w:space="0" w:color="auto"/>
            </w:tcBorders>
            <w:shd w:val="clear" w:color="000000" w:fill="FF0000"/>
            <w:noWrap/>
            <w:vAlign w:val="center"/>
          </w:tcPr>
          <w:p w14:paraId="6AFB518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F0000"/>
            <w:noWrap/>
            <w:vAlign w:val="center"/>
          </w:tcPr>
          <w:p w14:paraId="46732C1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DP</w:t>
            </w:r>
          </w:p>
        </w:tc>
        <w:tc>
          <w:tcPr>
            <w:tcW w:w="1008" w:type="dxa"/>
            <w:tcBorders>
              <w:top w:val="nil"/>
              <w:left w:val="nil"/>
              <w:bottom w:val="single" w:sz="4" w:space="0" w:color="auto"/>
              <w:right w:val="single" w:sz="4" w:space="0" w:color="auto"/>
            </w:tcBorders>
            <w:shd w:val="clear" w:color="000000" w:fill="FF0000"/>
            <w:noWrap/>
            <w:vAlign w:val="center"/>
          </w:tcPr>
          <w:p w14:paraId="4B6F4100"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061D8441"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finančná kontrola na mieste; Kontrola delegovaných právomocí so závažnými zisteniami</w:t>
            </w:r>
          </w:p>
        </w:tc>
      </w:tr>
      <w:tr w:rsidR="00B650E5" w:rsidRPr="00A30C60" w14:paraId="487D2F47"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5C58A11C"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DP ukončená z dôvodu pozastavenia výkonu kompetencií</w:t>
            </w:r>
          </w:p>
        </w:tc>
        <w:tc>
          <w:tcPr>
            <w:tcW w:w="993" w:type="dxa"/>
            <w:tcBorders>
              <w:top w:val="nil"/>
              <w:left w:val="nil"/>
              <w:bottom w:val="single" w:sz="4" w:space="0" w:color="auto"/>
              <w:right w:val="single" w:sz="4" w:space="0" w:color="auto"/>
            </w:tcBorders>
            <w:shd w:val="clear" w:color="000000" w:fill="F79646"/>
            <w:noWrap/>
            <w:vAlign w:val="center"/>
          </w:tcPr>
          <w:p w14:paraId="4F299A1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0A096C47" w14:textId="77777777" w:rsidR="00B650E5" w:rsidRPr="000E286B" w:rsidRDefault="00B650E5" w:rsidP="00D11AFB">
            <w:pPr>
              <w:jc w:val="center"/>
              <w:rPr>
                <w:rFonts w:ascii="Calibri" w:hAnsi="Calibri" w:cs="Arial"/>
                <w:color w:val="000000"/>
                <w:sz w:val="20"/>
                <w:szCs w:val="20"/>
              </w:rPr>
            </w:pPr>
            <w:r w:rsidRPr="000E286B">
              <w:rPr>
                <w:rFonts w:ascii="Calibri" w:hAnsi="Calibri" w:cs="Arial"/>
                <w:color w:val="000000"/>
                <w:sz w:val="20"/>
                <w:szCs w:val="20"/>
              </w:rPr>
              <w:t>kontrola DP</w:t>
            </w:r>
          </w:p>
        </w:tc>
        <w:tc>
          <w:tcPr>
            <w:tcW w:w="1008" w:type="dxa"/>
            <w:tcBorders>
              <w:top w:val="nil"/>
              <w:left w:val="nil"/>
              <w:bottom w:val="single" w:sz="4" w:space="0" w:color="auto"/>
              <w:right w:val="single" w:sz="4" w:space="0" w:color="auto"/>
            </w:tcBorders>
            <w:shd w:val="clear" w:color="000000" w:fill="F79646"/>
            <w:noWrap/>
            <w:vAlign w:val="center"/>
          </w:tcPr>
          <w:p w14:paraId="268BA64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5677AEE3"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finančná kontrola na mieste; Kontrola delegovaných právomocí ukončená bez meritórneho rozhodnutia</w:t>
            </w:r>
          </w:p>
        </w:tc>
      </w:tr>
    </w:tbl>
    <w:p w14:paraId="058B9774" w14:textId="77777777" w:rsidR="00B650E5" w:rsidRDefault="00B650E5">
      <w:pPr>
        <w:pStyle w:val="SRK5"/>
      </w:pPr>
      <w:bookmarkStart w:id="289" w:name="_Toc453234020"/>
      <w:bookmarkStart w:id="290" w:name="_Toc495649379"/>
      <w:r>
        <w:t>3.3.6.1.1 Základné povinnosti a oprávnenia riadiaceho orgánu pri výkone kontroly projektu</w:t>
      </w:r>
      <w:bookmarkEnd w:id="289"/>
      <w:bookmarkEnd w:id="290"/>
      <w:r>
        <w:t xml:space="preserve">  </w:t>
      </w:r>
    </w:p>
    <w:p w14:paraId="573DFCC1" w14:textId="77777777" w:rsidR="00B650E5" w:rsidRDefault="00B650E5">
      <w:pPr>
        <w:pStyle w:val="Odsekzoznamu"/>
        <w:numPr>
          <w:ilvl w:val="0"/>
          <w:numId w:val="31"/>
        </w:numPr>
        <w:spacing w:before="120" w:after="120"/>
        <w:ind w:left="426" w:hanging="426"/>
        <w:contextualSpacing w:val="0"/>
        <w:jc w:val="both"/>
      </w:pPr>
      <w:r>
        <w:t xml:space="preserve">RO je povinný overiť, či prijímatelia vynakladajú finančné prostriedky v súlade so zásadami hospodárnosti, efektívnosti, účinnosti a účelnosti (zásada riadneho finančného hospodárenia). </w:t>
      </w:r>
    </w:p>
    <w:p w14:paraId="00165A20" w14:textId="5CD8BA61" w:rsidR="00B650E5" w:rsidRDefault="00B650E5">
      <w:pPr>
        <w:pStyle w:val="Odsekzoznamu"/>
        <w:numPr>
          <w:ilvl w:val="0"/>
          <w:numId w:val="30"/>
        </w:numPr>
        <w:spacing w:before="120" w:after="120"/>
        <w:ind w:left="851" w:hanging="425"/>
        <w:contextualSpacing w:val="0"/>
        <w:jc w:val="both"/>
      </w:pPr>
      <w:r>
        <w:rPr>
          <w:b/>
          <w:i/>
        </w:rPr>
        <w:t>Hospodárnosťou</w:t>
      </w:r>
      <w:r>
        <w:t xml:space="preserve"> sa rozumie vynaloženie verejných financií na vykonanie činnosti alebo obstaranie tovarov, prác a služieb v správnom čase, vo vhodnom množstve a kvalite za najlepšiu cenu</w:t>
      </w:r>
      <w:r w:rsidR="008F6E58">
        <w:t>.</w:t>
      </w:r>
      <w:r>
        <w:t xml:space="preserve">  Na úrovni projektu sa hospodárnosťou rozumie minimalizácia výdavkov nevyhnutných na realizáciu projektu pri rešpektovaní cieľov projektu pri zachovaní vyššie uvedených podmienok. </w:t>
      </w:r>
    </w:p>
    <w:p w14:paraId="748C2137" w14:textId="0172FEF9" w:rsidR="00B650E5" w:rsidRDefault="00B650E5">
      <w:pPr>
        <w:pStyle w:val="Odsekzoznamu"/>
        <w:numPr>
          <w:ilvl w:val="0"/>
          <w:numId w:val="30"/>
        </w:numPr>
        <w:spacing w:before="120" w:after="120"/>
        <w:ind w:left="851" w:hanging="425"/>
        <w:contextualSpacing w:val="0"/>
        <w:jc w:val="both"/>
      </w:pPr>
      <w:r>
        <w:rPr>
          <w:b/>
          <w:i/>
        </w:rPr>
        <w:t>Efektívnosťou</w:t>
      </w:r>
      <w:r>
        <w:t xml:space="preserve"> sa rozumie najvýhodnejší vzájomný pomer medzi použitými verejnými financiami a dosiahnutými výsledkami. Na úrovni projektu sa efektívnosťou rozumie maximálne dosahovanie cieľov vo vzťahu k poskytnutým finančným prostriedkom. </w:t>
      </w:r>
    </w:p>
    <w:p w14:paraId="3EE31F89" w14:textId="33AC40DE" w:rsidR="00B650E5" w:rsidRDefault="00B650E5">
      <w:pPr>
        <w:pStyle w:val="Odsekzoznamu"/>
        <w:numPr>
          <w:ilvl w:val="0"/>
          <w:numId w:val="30"/>
        </w:numPr>
        <w:spacing w:before="120" w:after="120"/>
        <w:ind w:left="851" w:hanging="425"/>
        <w:contextualSpacing w:val="0"/>
        <w:jc w:val="both"/>
      </w:pPr>
      <w:r>
        <w:rPr>
          <w:b/>
          <w:i/>
        </w:rPr>
        <w:t>Účinnosťou</w:t>
      </w:r>
      <w:r>
        <w:t xml:space="preserve"> sa rozumie plnenie určených cieľov a dosahovanie plánovaných výsledkov vzhľadom na použité verejné financie. Na úrovni projektu sa účinnosťou rozumie vzťah medzi plánovanými výstupmi projektu a skutočnými výstupmi projektu. </w:t>
      </w:r>
    </w:p>
    <w:p w14:paraId="2A3DA941" w14:textId="77777777" w:rsidR="00B650E5" w:rsidRDefault="00B650E5">
      <w:pPr>
        <w:pStyle w:val="Odsekzoznamu"/>
        <w:numPr>
          <w:ilvl w:val="0"/>
          <w:numId w:val="30"/>
        </w:numPr>
        <w:spacing w:before="120" w:after="120"/>
        <w:ind w:left="851" w:hanging="425"/>
        <w:contextualSpacing w:val="0"/>
        <w:jc w:val="both"/>
      </w:pPr>
      <w:r>
        <w:rPr>
          <w:b/>
          <w:i/>
        </w:rPr>
        <w:t>Účelnosťou</w:t>
      </w:r>
      <w:r>
        <w:t xml:space="preserve"> sa rozumie vzťah medzi určeným účelom použitia verejných financií a skutočným účelom ich použitia. Na úrovni projektu sa účelnosťou rozumie priamo väzba na projekt a nevyhnutnosť pre realizáciu projektu. </w:t>
      </w:r>
    </w:p>
    <w:p w14:paraId="1A92FE54" w14:textId="77777777" w:rsidR="00B650E5" w:rsidRDefault="00B650E5">
      <w:pPr>
        <w:pStyle w:val="Odsekzoznamu"/>
        <w:numPr>
          <w:ilvl w:val="0"/>
          <w:numId w:val="31"/>
        </w:numPr>
        <w:spacing w:before="120" w:after="120"/>
        <w:ind w:left="426" w:hanging="426"/>
        <w:contextualSpacing w:val="0"/>
        <w:jc w:val="both"/>
      </w:pPr>
      <w:r>
        <w:t xml:space="preserve">Dôležitou úlohou kontroly je nastaviť také účinné kontrolné mechanizmy, ktoré by pri porovnávaní plánovaného a reálneho stavu zabezpečili identifikáciu a nápravu možného nepriaznivého stavu pri plnení zmluvy o NFP a zároveň zabezpečili zákonnosť, oprávnenosť a správnosť vykázaných výdavkov.   </w:t>
      </w:r>
    </w:p>
    <w:p w14:paraId="14339C95" w14:textId="77777777" w:rsidR="00B650E5" w:rsidRDefault="00B650E5">
      <w:pPr>
        <w:pStyle w:val="Odsekzoznamu"/>
        <w:numPr>
          <w:ilvl w:val="0"/>
          <w:numId w:val="31"/>
        </w:numPr>
        <w:spacing w:before="120" w:after="120"/>
        <w:ind w:left="426" w:hanging="426"/>
        <w:contextualSpacing w:val="0"/>
        <w:jc w:val="both"/>
      </w:pP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p>
    <w:p w14:paraId="1B0ABF39" w14:textId="77777777" w:rsidR="00F72BC8" w:rsidRPr="006E78C3" w:rsidRDefault="00B650E5">
      <w:pPr>
        <w:pStyle w:val="Odsekzoznamu"/>
        <w:numPr>
          <w:ilvl w:val="0"/>
          <w:numId w:val="31"/>
        </w:numPr>
        <w:spacing w:before="120" w:after="120"/>
        <w:ind w:left="426" w:hanging="426"/>
        <w:contextualSpacing w:val="0"/>
        <w:jc w:val="both"/>
      </w:pPr>
      <w:r w:rsidRPr="001D1450">
        <w:t>RO je na vyžiadanie povinný poskytnúť informácie o vykonaných kontrolách vrátane ich záverov iným subjektom vykonávajúcim kontrolu v zmysle zmluvy o NFP a legislatívy EÚ a SR (najmä CO, OA, zástupcovia EK</w:t>
      </w:r>
      <w:r w:rsidRPr="002E3909">
        <w:t xml:space="preserve"> a EDA, NKÚ, osoby vykonávajúce vládny audit, ÚVA, CKO, OCKÚ OLAF a pod).</w:t>
      </w:r>
    </w:p>
    <w:p w14:paraId="06569EF0" w14:textId="729BCD23" w:rsidR="00B650E5" w:rsidRDefault="00F72BC8" w:rsidP="00997CB0">
      <w:pPr>
        <w:pStyle w:val="Odsekzoznamu"/>
        <w:numPr>
          <w:ilvl w:val="0"/>
          <w:numId w:val="31"/>
        </w:numPr>
        <w:spacing w:before="120" w:after="120"/>
        <w:ind w:left="426" w:hanging="426"/>
        <w:contextualSpacing w:val="0"/>
        <w:jc w:val="both"/>
      </w:pPr>
      <w:r>
        <w:t xml:space="preserve">Ak je to nevyhnutné </w:t>
      </w:r>
      <w:r w:rsidR="00AD73AC">
        <w:t>na</w:t>
      </w:r>
      <w:r>
        <w:t xml:space="preserve"> výkon kontroly projektu, RO je oprávnený požiadať iný subjekt  vykonávajúci kontrolu v zmysle legislatívy EÚ a SR (</w:t>
      </w:r>
      <w:r w:rsidR="001D1450">
        <w:t xml:space="preserve">najmä daňový poriadok, </w:t>
      </w:r>
      <w:r w:rsidR="001D1450" w:rsidRPr="001D1450">
        <w:t>stavebný zákon</w:t>
      </w:r>
      <w:r w:rsidR="00D853E2">
        <w:t>, zákon</w:t>
      </w:r>
      <w:r w:rsidR="001D1450">
        <w:t xml:space="preserve"> č. 125/2006 Z. z. o inšpekcii práce a o zmene a doplnení zákona č. 82/2005 Z. z. o</w:t>
      </w:r>
      <w:r w:rsidR="00471F4F">
        <w:t> </w:t>
      </w:r>
      <w:r w:rsidR="001D1450">
        <w:t xml:space="preserve">nelegálnej práci a nelegálnom zamestnávaní a o zmene a doplnení niektorých zákonov v znení </w:t>
      </w:r>
      <w:r w:rsidR="001D1450">
        <w:lastRenderedPageBreak/>
        <w:t xml:space="preserve">neskorších predpisov, </w:t>
      </w:r>
      <w:r w:rsidR="00D853E2">
        <w:t>zákon č. 525/2003 Z. z.</w:t>
      </w:r>
      <w:r w:rsidR="00D853E2" w:rsidRPr="00D853E2">
        <w:t xml:space="preserve"> </w:t>
      </w:r>
      <w:r w:rsidR="00D853E2">
        <w:t xml:space="preserve">o </w:t>
      </w:r>
      <w:r w:rsidR="00D853E2" w:rsidRPr="00D853E2">
        <w:t>štátnej správe starostlivosti o životné prostredie a o zmene a doplnení niektorých zákonov</w:t>
      </w:r>
      <w:r w:rsidR="00D853E2">
        <w:t xml:space="preserve"> v znení neskorších predpisov a pod.</w:t>
      </w:r>
      <w:r>
        <w:t>) o</w:t>
      </w:r>
      <w:r w:rsidR="00471F4F">
        <w:t> </w:t>
      </w:r>
      <w:r>
        <w:t>vykonanie kontroly</w:t>
      </w:r>
      <w:r w:rsidR="008A679A">
        <w:t>.</w:t>
      </w:r>
      <w:r w:rsidR="00B650E5">
        <w:t xml:space="preserve"> </w:t>
      </w:r>
      <w:r w:rsidR="00AA3F51">
        <w:t>Kontrolu</w:t>
      </w:r>
      <w:r w:rsidR="001541DD">
        <w:t xml:space="preserve"> RO</w:t>
      </w:r>
      <w:r w:rsidR="00F64BDD">
        <w:t>,</w:t>
      </w:r>
      <w:r w:rsidR="001541DD">
        <w:t xml:space="preserve"> resp.</w:t>
      </w:r>
      <w:r w:rsidR="00AA3F51">
        <w:t xml:space="preserve"> iného subjektu</w:t>
      </w:r>
      <w:r w:rsidR="00F64BDD">
        <w:t>,</w:t>
      </w:r>
      <w:r w:rsidR="00AA3F51">
        <w:t xml:space="preserve"> ako aj závery kontroly</w:t>
      </w:r>
      <w:r w:rsidR="002E6BFF">
        <w:t xml:space="preserve"> (návrh správy/správu, kontrolný zoznam a</w:t>
      </w:r>
      <w:r w:rsidR="008A679A">
        <w:t xml:space="preserve"> </w:t>
      </w:r>
      <w:r w:rsidR="002E6BFF">
        <w:t>pod.)</w:t>
      </w:r>
      <w:r w:rsidR="00AA3F51">
        <w:t xml:space="preserve"> eviduje </w:t>
      </w:r>
      <w:r w:rsidR="001541DD">
        <w:t xml:space="preserve">RO </w:t>
      </w:r>
      <w:r w:rsidR="008A679A">
        <w:t>v rámci</w:t>
      </w:r>
      <w:r w:rsidR="00AA3F51">
        <w:t xml:space="preserve"> projektového spisu</w:t>
      </w:r>
      <w:r w:rsidR="006F3B93">
        <w:t xml:space="preserve">, </w:t>
      </w:r>
      <w:r w:rsidR="00AA3F51">
        <w:t xml:space="preserve"> ako aj </w:t>
      </w:r>
      <w:r w:rsidR="00CC0751">
        <w:t>v</w:t>
      </w:r>
      <w:r w:rsidR="00AA3F51">
        <w:t xml:space="preserve"> ITMS</w:t>
      </w:r>
      <w:r w:rsidR="0023261D">
        <w:t xml:space="preserve"> </w:t>
      </w:r>
      <w:r w:rsidR="00AA3F51">
        <w:t xml:space="preserve">2014+. </w:t>
      </w:r>
    </w:p>
    <w:p w14:paraId="441C1DA0" w14:textId="77777777" w:rsidR="00B650E5" w:rsidRDefault="00B650E5">
      <w:pPr>
        <w:pStyle w:val="Odsekzoznamu"/>
        <w:numPr>
          <w:ilvl w:val="0"/>
          <w:numId w:val="31"/>
        </w:numPr>
        <w:spacing w:before="120" w:after="120"/>
        <w:ind w:left="426" w:hanging="426"/>
        <w:contextualSpacing w:val="0"/>
        <w:jc w:val="both"/>
      </w:pPr>
      <w:r>
        <w:t>RO je v súvislosti s výkonom kontroly projektu povinný zabezpečiť vykonávanie kontroly minimálne dvoma osobami (</w:t>
      </w:r>
      <w:r w:rsidR="00C93F30">
        <w:t xml:space="preserve">t. j. </w:t>
      </w:r>
      <w:r>
        <w:t xml:space="preserve"> dodržanie princípu štyroch očí). Týmto nie je dotknutá povinnosť vyplývajúca z § 7 ods. 2 zákona o finančnej kontrole, </w:t>
      </w:r>
      <w:r w:rsidR="00C93F30">
        <w:t xml:space="preserve">t. j. </w:t>
      </w:r>
      <w:r>
        <w:t xml:space="preserve"> v prípade, ak jednou z týchto dvoch osôb vykonávajúcich kontrolu nie je štatutárny orgán alebo ním určený vedúci zamestnanec, je potrebné vykonanie  tejto kontroly aj z úrovne štatutárneho orgánu alebo ním určeného vedúceho zamestnanca</w:t>
      </w:r>
      <w:r>
        <w:rPr>
          <w:rStyle w:val="Odkaznapoznmkupodiarou"/>
        </w:rPr>
        <w:footnoteReference w:id="65"/>
      </w:r>
      <w:r>
        <w:t xml:space="preserve">. </w:t>
      </w:r>
    </w:p>
    <w:p w14:paraId="05A9650F" w14:textId="515FC94A" w:rsidR="00B650E5" w:rsidRDefault="00B650E5">
      <w:pPr>
        <w:pStyle w:val="Odsekzoznamu"/>
        <w:numPr>
          <w:ilvl w:val="0"/>
          <w:numId w:val="31"/>
        </w:numPr>
        <w:spacing w:before="120" w:after="120"/>
        <w:ind w:left="426" w:hanging="426"/>
        <w:contextualSpacing w:val="0"/>
        <w:jc w:val="both"/>
      </w:pPr>
      <w:r>
        <w:t xml:space="preserve">RO je povinný v prípade akéhokoľvek podozrenia nasvedčujúceho počas alebo po vykonaní kontroly, že bol alebo mohol byť spáchaný trestný čin (napr. subvenčný podvod v súlade s § 225 Trestného zákona, poškodzovanie finančných záujmov </w:t>
      </w:r>
      <w:r w:rsidR="003D4A37">
        <w:t xml:space="preserve">Európskej únie </w:t>
      </w:r>
      <w:r>
        <w:t xml:space="preserve">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 </w:t>
      </w:r>
    </w:p>
    <w:p w14:paraId="4E96B36F" w14:textId="77777777" w:rsidR="00B650E5" w:rsidRDefault="00B650E5">
      <w:pPr>
        <w:pStyle w:val="Odsekzoznamu"/>
        <w:numPr>
          <w:ilvl w:val="0"/>
          <w:numId w:val="31"/>
        </w:numPr>
        <w:spacing w:before="120" w:after="120"/>
        <w:ind w:left="426" w:hanging="426"/>
        <w:contextualSpacing w:val="0"/>
        <w:jc w:val="both"/>
      </w:pPr>
      <w:r>
        <w:t>RO je povinný vypracovať z každej administratívnej finančnej kontroly a finančnej kontroly na mieste výstup, ktorým je návrh čiastkovej správy z kontroly</w:t>
      </w:r>
      <w:r>
        <w:rPr>
          <w:rStyle w:val="Odkaznapoznmkupodiarou"/>
        </w:rPr>
        <w:footnoteReference w:id="66"/>
      </w:r>
      <w:r>
        <w:t>/návrh správy z kontroly (v prípade zistenia nedostatkov) a čiastková správa z kontroly/správa z kontroly. Bližšie ustanovenia k návrhu čiastkovej správy z kontroly/návrhu správy z kontroly a k čiastkovej správe z kontroly/správe z kontroly sú uvedené v </w:t>
      </w:r>
      <w:hyperlink w:anchor="kapitola_33613" w:tooltip="kapitole 3.3.6.1.3" w:history="1">
        <w:r>
          <w:rPr>
            <w:rStyle w:val="Hypertextovprepojenie"/>
          </w:rPr>
          <w:t>kapitole 3.3.6.1.3</w:t>
        </w:r>
      </w:hyperlink>
      <w:r>
        <w:t xml:space="preserve">. </w:t>
      </w:r>
    </w:p>
    <w:p w14:paraId="066E9201" w14:textId="77777777" w:rsidR="00B650E5" w:rsidRDefault="00B650E5">
      <w:pPr>
        <w:pStyle w:val="Odsekzoznamu"/>
        <w:numPr>
          <w:ilvl w:val="0"/>
          <w:numId w:val="31"/>
        </w:numPr>
        <w:spacing w:before="120" w:after="120"/>
        <w:ind w:left="426" w:hanging="426"/>
        <w:contextualSpacing w:val="0"/>
        <w:jc w:val="both"/>
      </w:pPr>
      <w:r>
        <w:t>RO je pri výkone kontroly projektu povinný vypĺňať kontrolný zoznam v závislosti od zvoleného predmetu kontroly. V procese schvaľovania žiadosti o NFP sa vypracovávajú aj dokumenty uvedené v časti 3.1. Vzor</w:t>
      </w:r>
      <w:r>
        <w:rPr>
          <w:rStyle w:val="Odkaznapoznmkupodiarou"/>
        </w:rPr>
        <w:footnoteReference w:id="67"/>
      </w:r>
      <w:r>
        <w:t xml:space="preserve"> pre rozdelenie predmetov kontroly a minimálny rozsah kontrolných otázok k zvolenému predmetu kontroly vydá CKO. Všetky ostatné kontrolné zoznamy, ktoré nie sú definované vo vzore vydanom CKO si RO vytvorí podľa predmetu kontroly za predpokladu dodržania povinností stanovených v tejto časti pri zachovaní svojich vnútorných predpisov.     </w:t>
      </w:r>
    </w:p>
    <w:p w14:paraId="5AE3DA52" w14:textId="4C33F0F4" w:rsidR="00F86B5A" w:rsidRDefault="00F86B5A">
      <w:pPr>
        <w:pStyle w:val="Odsekzoznamu"/>
        <w:numPr>
          <w:ilvl w:val="0"/>
          <w:numId w:val="31"/>
        </w:numPr>
        <w:spacing w:before="120" w:after="120"/>
        <w:ind w:left="426" w:hanging="426"/>
        <w:contextualSpacing w:val="0"/>
        <w:jc w:val="both"/>
      </w:pPr>
      <w:bookmarkStart w:id="291" w:name="kapitola_33611_ods_9"/>
      <w:r w:rsidRPr="00F86B5A">
        <w:t>Ak RO vykonáva kontrolu opakovane, kontrolu vykonáva ako administratívnu finančnú kontrolu alebo finančnú kontrolu na mieste. Administratívna finančná kontrola začína prvým úkonom prijímateľa voči RO. Prvým úkonom prijímateľa sa v rámci opakovane vykonávanej kontroly môže rozumieť napr. aj predloženie dokumentácie RO (napr. dodatočná dokumentácia k ŽoP/VO a pod.), opakované predloženie súpisu kompletnej dokumentácie na základe žiadosti RO, predloženie výsledku kontroly iného orgánu, ktorý súvisí so skutočnosťami overovanými RO v</w:t>
      </w:r>
      <w:r w:rsidR="00471F4F">
        <w:t> </w:t>
      </w:r>
      <w:r w:rsidRPr="00F86B5A">
        <w:t>rámci kontroly, potvrdenie prijímateľa o tom, či nastali/nenastali nové skutočnosti, ktoré by mal RO zohľadniť pri opakovane vykonanej kontrole, ktoré je predložené na základe žiadosti RO. Ak RO plánuje opakovanú kontrolu vykonať ako administratívnu finančnú kontrolu, odporúča sa, aby RO o potrebe vykonať kontrolu opakovane informoval prijímateľa. Ak prijímateľ ako povinná osoba nevykoná úkon, ktorý by mohol byť v zmysle § 20 ods. 1 zákona o finančnej kontrole považovaný za prvý úkon povinnej osoby, potom RO vykoná opakovanú kontrolu ako finančnú kontrolu na mieste. Finančná kontrola na mieste sa vykonáva spravidla na mieste realizácie projektu alebo v priestoroch prijímateľa a</w:t>
      </w:r>
      <w:r>
        <w:t> </w:t>
      </w:r>
      <w:r w:rsidRPr="00F86B5A">
        <w:t>pod</w:t>
      </w:r>
      <w:r>
        <w:t>.</w:t>
      </w:r>
      <w:r w:rsidR="007E05D5">
        <w:t xml:space="preserve"> </w:t>
      </w:r>
      <w:r w:rsidR="00B650E5">
        <w:t xml:space="preserve">RO je v tomto prípade povinný vypracovať novú čiastkovú správu/správu z kontroly (príp. aj návrh čiastkovej správy/návrh </w:t>
      </w:r>
      <w:r w:rsidR="00B650E5">
        <w:lastRenderedPageBreak/>
        <w:t>správy z kontroly v prípade zistenia nedostatkov), v ktorej je povinný okrem iného uviesť aj jasné prepojenie s pôvodnou kontrolou, ktorej sa týka výkon nápravy.</w:t>
      </w:r>
    </w:p>
    <w:p w14:paraId="723B7133" w14:textId="77777777" w:rsidR="00B650E5" w:rsidRDefault="00B650E5">
      <w:pPr>
        <w:pStyle w:val="Odsekzoznamu"/>
        <w:numPr>
          <w:ilvl w:val="0"/>
          <w:numId w:val="31"/>
        </w:numPr>
        <w:spacing w:before="120" w:after="120"/>
        <w:ind w:left="426" w:hanging="426"/>
        <w:contextualSpacing w:val="0"/>
        <w:jc w:val="both"/>
      </w:pPr>
      <w:r w:rsidRPr="00DA7D9B">
        <w:t xml:space="preserve">Ak sú po skončení administratívnej finančnej kontroly, finančnej kontroly na mieste a auditu zistené chyby v písaní, počítaní alebo iné zrejmé nesprávnosti, čiastková správa alebo správa sa opraví a časť čiastkovej správy alebo správy, ktorej sa oprava týka, sa zašle </w:t>
      </w:r>
      <w:r>
        <w:t xml:space="preserve">prijímateľovi </w:t>
      </w:r>
      <w:r w:rsidRPr="00DA7D9B">
        <w:t>a všetkým, ktorým bola pôvodná čiastková správa alebo správa zaslaná.</w:t>
      </w:r>
      <w:r>
        <w:rPr>
          <w:rStyle w:val="Odkaznapoznmkupodiarou"/>
        </w:rPr>
        <w:footnoteReference w:id="68"/>
      </w:r>
    </w:p>
    <w:bookmarkEnd w:id="291"/>
    <w:p w14:paraId="6D72A391" w14:textId="77777777" w:rsidR="00B650E5" w:rsidRDefault="00B650E5">
      <w:pPr>
        <w:pStyle w:val="Odsekzoznamu"/>
        <w:numPr>
          <w:ilvl w:val="0"/>
          <w:numId w:val="31"/>
        </w:numPr>
        <w:spacing w:before="120" w:after="120"/>
        <w:ind w:left="426" w:hanging="426"/>
        <w:contextualSpacing w:val="0"/>
        <w:jc w:val="both"/>
      </w:pPr>
      <w:r>
        <w:t xml:space="preserve">Z  hľadiska časovej možnosti vykonania kontroly  projektu postupuje RO nasledovne: </w:t>
      </w:r>
    </w:p>
    <w:p w14:paraId="61F9DD32" w14:textId="77777777" w:rsidR="00B650E5" w:rsidRDefault="00B650E5">
      <w:pPr>
        <w:pStyle w:val="Odsekzoznamu"/>
        <w:numPr>
          <w:ilvl w:val="0"/>
          <w:numId w:val="36"/>
        </w:numPr>
        <w:spacing w:before="120" w:after="120"/>
        <w:ind w:left="851" w:hanging="425"/>
        <w:contextualSpacing w:val="0"/>
        <w:jc w:val="both"/>
        <w:rPr>
          <w:b/>
        </w:rPr>
      </w:pPr>
      <w:r>
        <w:rPr>
          <w:b/>
        </w:rPr>
        <w:t>Výkon kontroly do účinnosti zmluvy o NFP</w:t>
      </w:r>
    </w:p>
    <w:p w14:paraId="49A7BA2E" w14:textId="77777777" w:rsidR="00B650E5" w:rsidRDefault="00B650E5" w:rsidP="003120E4">
      <w:pPr>
        <w:pStyle w:val="Odsekzoznamu"/>
        <w:spacing w:before="120" w:after="120"/>
        <w:ind w:left="851"/>
        <w:contextualSpacing w:val="0"/>
        <w:jc w:val="both"/>
        <w:rPr>
          <w:b/>
        </w:rPr>
      </w:pPr>
      <w:r>
        <w:t xml:space="preserve">Zákon o finančnej kontrole určuje orgánom verejnej správy povinnosť overovať vždy súlad každej pripravovanej finančnej operácie alebo jej časti so skutočnosťami uvedenými v § 6 ods. 4 zákona o finančnej kontrole. Pred účinnosťou zmluvy o NFP/rozhodnutia o schválení NFP </w:t>
      </w:r>
      <w:r w:rsidRPr="00E3686E">
        <w:t xml:space="preserve">v prípadoch, ak prijímateľ a RO je tá istá osoba </w:t>
      </w:r>
      <w:r>
        <w:t xml:space="preserve">je finančná kontrola vykonávaná formou základnej finančnej kontroly (napr. finančná kontrola VO – </w:t>
      </w:r>
      <w:r w:rsidR="00FB1D18">
        <w:t>ex ante</w:t>
      </w:r>
      <w:r>
        <w:t xml:space="preserve">).  </w:t>
      </w:r>
    </w:p>
    <w:p w14:paraId="429E4995" w14:textId="77777777" w:rsidR="00B650E5" w:rsidRDefault="00B650E5">
      <w:pPr>
        <w:pStyle w:val="Odsekzoznamu"/>
        <w:numPr>
          <w:ilvl w:val="0"/>
          <w:numId w:val="36"/>
        </w:numPr>
        <w:spacing w:before="120" w:after="120"/>
        <w:ind w:left="851" w:hanging="425"/>
        <w:contextualSpacing w:val="0"/>
        <w:jc w:val="both"/>
        <w:rPr>
          <w:b/>
        </w:rPr>
      </w:pPr>
      <w:r>
        <w:rPr>
          <w:b/>
        </w:rPr>
        <w:t>Výkon kontroly projektu od účinnosti zmluvy o  NFP do momentu ukončenia realizácie projektu</w:t>
      </w:r>
    </w:p>
    <w:p w14:paraId="4D79AEEC" w14:textId="56D49996" w:rsidR="00B650E5" w:rsidRDefault="00B650E5">
      <w:pPr>
        <w:pStyle w:val="Odsekzoznamu"/>
        <w:spacing w:before="120" w:after="120"/>
        <w:ind w:left="851"/>
        <w:contextualSpacing w:val="0"/>
        <w:jc w:val="both"/>
      </w:pPr>
      <w:r>
        <w:t>Počas realizácie projektu sa vykonávajú všetky formy finančnej kontroly</w:t>
      </w:r>
      <w:r w:rsidR="007324D5">
        <w:t xml:space="preserve">, </w:t>
      </w:r>
      <w:r>
        <w:t xml:space="preserve"> a to základná finančná  kontrola, administratívna finančná kontrola a finančná kontrola na mieste. </w:t>
      </w:r>
    </w:p>
    <w:p w14:paraId="50386CC0" w14:textId="77777777" w:rsidR="00B650E5" w:rsidRDefault="00B650E5">
      <w:pPr>
        <w:pStyle w:val="Odsekzoznamu"/>
        <w:numPr>
          <w:ilvl w:val="0"/>
          <w:numId w:val="36"/>
        </w:numPr>
        <w:spacing w:before="120" w:after="120"/>
        <w:ind w:left="851" w:hanging="425"/>
        <w:contextualSpacing w:val="0"/>
        <w:jc w:val="both"/>
        <w:rPr>
          <w:b/>
        </w:rPr>
      </w:pPr>
      <w:r>
        <w:rPr>
          <w:b/>
        </w:rPr>
        <w:t>Výkon kontroly po ukončení realizácie projektu do skončenia účinnosti zmluvy o NFP</w:t>
      </w:r>
    </w:p>
    <w:p w14:paraId="1FB0D380" w14:textId="40A27CE2" w:rsidR="00B650E5" w:rsidRDefault="00B650E5">
      <w:pPr>
        <w:pStyle w:val="Odsekzoznamu"/>
        <w:spacing w:before="120" w:after="120"/>
        <w:ind w:left="851"/>
        <w:contextualSpacing w:val="0"/>
        <w:jc w:val="both"/>
      </w:pPr>
      <w:r>
        <w:t xml:space="preserve">RO je oprávnený po ukončení realizácie projektu do skončenia účinnosti zmluvy o NFP vykonať administratívnu finančnú kontrolu a finančnú kontrolu na mieste, ktorej súčasťou je aj základná finančná kontrola v súlade s </w:t>
      </w:r>
      <w:hyperlink w:anchor="kapitola_33611_ods_11" w:tooltip="ods. 11 tejto kapitoly" w:history="1">
        <w:r>
          <w:rPr>
            <w:rStyle w:val="Hypertextovprepojenie"/>
          </w:rPr>
          <w:t xml:space="preserve">ods. </w:t>
        </w:r>
        <w:r w:rsidRPr="00C10700">
          <w:rPr>
            <w:rStyle w:val="Hypertextovprepojenie"/>
          </w:rPr>
          <w:t>1</w:t>
        </w:r>
        <w:r w:rsidR="00F56909">
          <w:rPr>
            <w:rStyle w:val="Hypertextovprepojenie"/>
          </w:rPr>
          <w:t>3</w:t>
        </w:r>
        <w:r>
          <w:rPr>
            <w:rStyle w:val="Hypertextovprepojenie"/>
          </w:rPr>
          <w:t xml:space="preserve"> tejto kapitoly</w:t>
        </w:r>
      </w:hyperlink>
      <w:r>
        <w:rPr>
          <w:rStyle w:val="Hypertextovprepojenie"/>
        </w:rPr>
        <w:t xml:space="preserve">, </w:t>
      </w:r>
      <w:r w:rsidRPr="00997CB0">
        <w:t xml:space="preserve">v rámci ktorej je vyjadrenie, či </w:t>
      </w:r>
      <w:r w:rsidR="0076096E" w:rsidRPr="00997CB0">
        <w:t xml:space="preserve">je potrebné </w:t>
      </w:r>
      <w:r w:rsidRPr="00997CB0">
        <w:t xml:space="preserve"> vymáhať</w:t>
      </w:r>
      <w:r w:rsidR="0076096E" w:rsidRPr="00997CB0">
        <w:t xml:space="preserve"> poskytnuté plnenie, ak sa finančná operácia alebo jej časť už vykonala,</w:t>
      </w:r>
      <w:r w:rsidRPr="00997CB0">
        <w:t xml:space="preserve"> pokiaľ by boli zistené akékoľvek nedostatky</w:t>
      </w:r>
      <w:r>
        <w:t xml:space="preserve">. </w:t>
      </w:r>
    </w:p>
    <w:p w14:paraId="5DAE8F7E" w14:textId="77777777" w:rsidR="00B650E5" w:rsidRDefault="0053588C">
      <w:pPr>
        <w:pStyle w:val="Odsekzoznamu"/>
        <w:numPr>
          <w:ilvl w:val="0"/>
          <w:numId w:val="31"/>
        </w:numPr>
        <w:spacing w:before="120" w:after="120"/>
        <w:ind w:left="426" w:hanging="426"/>
        <w:contextualSpacing w:val="0"/>
        <w:jc w:val="both"/>
      </w:pPr>
      <w:bookmarkStart w:id="292" w:name="kapitola_33611_ods_11"/>
      <w:r>
        <w:rPr>
          <w:noProof/>
        </w:rPr>
        <w:lastRenderedPageBreak/>
        <w:drawing>
          <wp:anchor distT="0" distB="0" distL="138684" distR="132588" simplePos="0" relativeHeight="251653120" behindDoc="0" locked="0" layoutInCell="1" allowOverlap="1" wp14:anchorId="0A5271E8" wp14:editId="17E897A4">
            <wp:simplePos x="0" y="0"/>
            <wp:positionH relativeFrom="column">
              <wp:posOffset>397129</wp:posOffset>
            </wp:positionH>
            <wp:positionV relativeFrom="paragraph">
              <wp:posOffset>-69977</wp:posOffset>
            </wp:positionV>
            <wp:extent cx="5485765" cy="4647565"/>
            <wp:effectExtent l="57150" t="0" r="57785" b="0"/>
            <wp:wrapTopAndBottom/>
            <wp:docPr id="66" name="Diagram 113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1" r:lo="rId172" r:qs="rId173" r:cs="rId174"/>
              </a:graphicData>
            </a:graphic>
            <wp14:sizeRelH relativeFrom="page">
              <wp14:pctWidth>0</wp14:pctWidth>
            </wp14:sizeRelH>
            <wp14:sizeRelV relativeFrom="page">
              <wp14:pctHeight>0</wp14:pctHeight>
            </wp14:sizeRelV>
          </wp:anchor>
        </w:drawing>
      </w:r>
      <w:r w:rsidR="00B650E5">
        <w:t>Ak projekt podlieha povinnosti udržateľnosti v zmysle článku 71 všeobecného nariadenia, RO je povinný overiť súlad s predmetným článkom minimálne jednou finančnou kontrolou na mieste aj po ukončení realizácie projektu (</w:t>
      </w:r>
      <w:r w:rsidR="00C93F30">
        <w:t xml:space="preserve">t. j. </w:t>
      </w:r>
      <w:r w:rsidR="00B650E5">
        <w:t xml:space="preserve"> po fyzickom aj finančnom ukončení projektu). Uvedeným nie je dotknuté oprávnenie RO vykonať aj základnú finančnú kontrolu a administratívnu finančnú  kontrolu kontrolovanej osoby s predmetom kontroly, ktorý si určí RO.</w:t>
      </w:r>
      <w:bookmarkEnd w:id="292"/>
      <w:r w:rsidR="00B650E5">
        <w:t xml:space="preserve"> RO je povinný mať na overovanie udržateľnosti nastavený mechanizmus, ktorým získa dostatočné uistenie o splnení všetkých podmienok udržateľnosti v zmysle článku 71 všeobecného nariadenia.</w:t>
      </w:r>
    </w:p>
    <w:p w14:paraId="0CC3C53F" w14:textId="77777777" w:rsidR="00B650E5" w:rsidRDefault="00B650E5">
      <w:pPr>
        <w:pStyle w:val="Odsekzoznamu"/>
        <w:numPr>
          <w:ilvl w:val="0"/>
          <w:numId w:val="31"/>
        </w:numPr>
        <w:spacing w:before="120" w:after="120"/>
        <w:ind w:left="426" w:hanging="426"/>
        <w:contextualSpacing w:val="0"/>
        <w:jc w:val="both"/>
      </w:pPr>
      <w:r>
        <w:t>V prípade zistenia nezrovnalosti pri výkone kontroly projektu postupuje RO v súlade s postupmi upravenými vo vecne príslušných záväzných dokumentoch (najmä postupy stanovené v Systéme finančného riadenia a metodickými usmerneniami CO k nezrovnalostiam).</w:t>
      </w:r>
    </w:p>
    <w:p w14:paraId="4D72A7A6" w14:textId="349DAEE3" w:rsidR="00B650E5" w:rsidRDefault="00E33653" w:rsidP="00997CB0">
      <w:pPr>
        <w:pStyle w:val="Odsekzoznamu"/>
        <w:numPr>
          <w:ilvl w:val="0"/>
          <w:numId w:val="31"/>
        </w:numPr>
        <w:spacing w:before="120" w:after="120"/>
        <w:ind w:left="426" w:hanging="426"/>
        <w:contextualSpacing w:val="0"/>
        <w:jc w:val="both"/>
      </w:pPr>
      <w:r w:rsidRPr="00E33653">
        <w:t xml:space="preserve">V zmysle ustanovenia § 24 zákona o finančnej kontrole je RO oprávnený </w:t>
      </w:r>
      <w:r w:rsidR="00B650E5">
        <w:t xml:space="preserve">prizvať právnickú alebo fyzickú osobu na vykonanie kontroly projektu v prípade, že je to potrebné pre efektívnejšie vykonanie kontroly projektu (napr. znalcov a expertov vo vzťahu k jednotlivým aspektom projektov, gestorov HP, zástupcov OCKÚ OLAF, orgány činné v trestnom konaní a pod.). Prizvanie má formu písomného poverenia na vykonanie kontroly projektu a je </w:t>
      </w:r>
      <w:r w:rsidR="00B650E5" w:rsidRPr="00C10700">
        <w:t>vydané štatutárnym orgánom alebo ním písomne povereným</w:t>
      </w:r>
      <w:r w:rsidR="00B650E5">
        <w:t xml:space="preserve"> vedúcim zamestnancom RO. Prizvaná osoba vykoná kontrolu projektu spolu s RO. </w:t>
      </w:r>
    </w:p>
    <w:p w14:paraId="42967A20" w14:textId="79E116D1" w:rsidR="00B650E5" w:rsidRDefault="00B650E5">
      <w:pPr>
        <w:pStyle w:val="Odsekzoznamu"/>
        <w:numPr>
          <w:ilvl w:val="0"/>
          <w:numId w:val="31"/>
        </w:numPr>
        <w:spacing w:before="120" w:after="120"/>
        <w:ind w:left="426" w:hanging="426"/>
        <w:contextualSpacing w:val="0"/>
        <w:jc w:val="both"/>
      </w:pPr>
      <w:r>
        <w:t>RO je oprávnený overovať  vybrané skutočnosti aj opakovane, pokiaľ je to potrebné pre</w:t>
      </w:r>
      <w:r w:rsidR="00E33653">
        <w:t> </w:t>
      </w:r>
      <w:r>
        <w:t xml:space="preserve">správne stanovenie oprávnenosti výdavkov, alebo je výkon uvedenej činnosti potrebný z iných relevantných dôvodov (napr. podozrenie z nezrovnalosti, žiadosť EK, žiadosť vnútroštátnych orgánov, atď. ). Pri výkone opakovanej kontroly vykonáva RO kontrolu projektu v závislosti od zvoleného predmetu kontroly a podnetu na základe ktorého sa opakovaná kontrola vykonáva </w:t>
      </w:r>
      <w:hyperlink w:anchor="kapitola_33611_ods_9" w:history="1">
        <w:r w:rsidRPr="00D11A8F">
          <w:rPr>
            <w:rStyle w:val="Hypertextovprepojenie"/>
          </w:rPr>
          <w:t>(</w:t>
        </w:r>
        <w:r>
          <w:rPr>
            <w:rStyle w:val="Hypertextovprepojenie"/>
          </w:rPr>
          <w:t>kapitola 3.3.6.1.1 ods.</w:t>
        </w:r>
        <w:r w:rsidR="004E0189">
          <w:rPr>
            <w:rStyle w:val="Hypertextovprepojenie"/>
          </w:rPr>
          <w:t>10</w:t>
        </w:r>
        <w:r>
          <w:rPr>
            <w:rStyle w:val="Hypertextovprepojenie"/>
          </w:rPr>
          <w:t>)</w:t>
        </w:r>
      </w:hyperlink>
      <w:r>
        <w:t xml:space="preserve">. </w:t>
      </w:r>
    </w:p>
    <w:p w14:paraId="21D7E9E7" w14:textId="77777777" w:rsidR="00B650E5" w:rsidRDefault="00B650E5">
      <w:pPr>
        <w:pStyle w:val="Odsekzoznamu"/>
        <w:numPr>
          <w:ilvl w:val="0"/>
          <w:numId w:val="31"/>
        </w:numPr>
        <w:spacing w:before="120" w:after="120"/>
        <w:ind w:left="426" w:hanging="426"/>
        <w:contextualSpacing w:val="0"/>
        <w:jc w:val="both"/>
      </w:pPr>
      <w:r>
        <w:lastRenderedPageBreak/>
        <w:t xml:space="preserve">RO je povinný v zmysle § 46 zákona o príspevku z EŠIF v rámci výkonu kontroly projektov zabezpečiť vylúčenie konfliktu záujmov zamestnancov vykonávajúcich túto kontrolu. </w:t>
      </w:r>
    </w:p>
    <w:p w14:paraId="7335194F" w14:textId="77777777" w:rsidR="00B650E5" w:rsidRDefault="00B650E5">
      <w:pPr>
        <w:pStyle w:val="Odsekzoznamu"/>
        <w:numPr>
          <w:ilvl w:val="0"/>
          <w:numId w:val="31"/>
        </w:numPr>
        <w:spacing w:before="120" w:after="120"/>
        <w:ind w:left="426" w:hanging="426"/>
        <w:contextualSpacing w:val="0"/>
        <w:jc w:val="both"/>
      </w:pPr>
      <w:r>
        <w:t>RO si v závislosti od rozsahu skutočností, ktoré je potrebné preveriť určí predmet kontroly projektu. Stanovenie predmetu kontroly projektu je kľúčovým prvkom pre určenie rozsahu povinností, ktoré musí RO vykonať na uskutočnenie kontroly. Základná databáza osobitných predmetov kontroly je uvedená v </w:t>
      </w:r>
      <w:hyperlink w:anchor="kapitola_33621" w:tooltip="kapitole 3.3.6.2.1" w:history="1">
        <w:r>
          <w:rPr>
            <w:rStyle w:val="Hypertextovprepojenie"/>
          </w:rPr>
          <w:t>kapitole 3.3.6.2.1</w:t>
        </w:r>
      </w:hyperlink>
      <w:r>
        <w:t xml:space="preserve">, pričom RO je oprávnený rozšíriť jednotlivé osobitné predmety kontroly, príp. určiť nové osobitné predmety kontroly v závislosti od potrieb OP, PO a pod.  </w:t>
      </w:r>
    </w:p>
    <w:p w14:paraId="5718D619" w14:textId="77777777" w:rsidR="00B650E5" w:rsidRDefault="00B650E5">
      <w:pPr>
        <w:pStyle w:val="Odsekzoznamu"/>
        <w:numPr>
          <w:ilvl w:val="0"/>
          <w:numId w:val="31"/>
        </w:numPr>
        <w:spacing w:before="120" w:after="120"/>
        <w:ind w:left="426" w:hanging="426"/>
        <w:contextualSpacing w:val="0"/>
        <w:jc w:val="both"/>
      </w:pPr>
      <w:r w:rsidRPr="0070333D">
        <w:t>V súvislosti s aplikáciou zákona</w:t>
      </w:r>
      <w:r>
        <w:t xml:space="preserve"> o finančnej kontrole je RO pri vykonávaní kontroly formou </w:t>
      </w:r>
      <w:r>
        <w:rPr>
          <w:i/>
        </w:rPr>
        <w:t xml:space="preserve">administratívnej finančnej kontroly a finančnej kontroly na mieste </w:t>
      </w:r>
      <w:r>
        <w:t xml:space="preserve">v nevyhnutnom rozsahu </w:t>
      </w:r>
      <w:r w:rsidRPr="0070333D">
        <w:t xml:space="preserve">oprávnený  od </w:t>
      </w:r>
      <w:r>
        <w:t>kontrolovanej osoby (</w:t>
      </w:r>
      <w:r w:rsidRPr="0070333D">
        <w:t>prijímateľa</w:t>
      </w:r>
      <w:r>
        <w:t>)</w:t>
      </w:r>
      <w:r w:rsidRPr="0070333D">
        <w:t xml:space="preserve"> </w:t>
      </w:r>
      <w:r w:rsidRPr="006820D9">
        <w:t>alebo</w:t>
      </w:r>
      <w:r>
        <w:t xml:space="preserve"> od osoby, ktorá je vo vzťahu k finančnej operácií alebo jej časti dodávateľom výkonov, tovarov, prác alebo služieb alebo akejkoľvek inej osoby, ktorá má informácie, doklady alebo iné podklady, ktoré sú potrebné pre výkon finančnej kontroly, ak ich poskytnutiu nebráni osobitný predpis</w:t>
      </w:r>
      <w:r>
        <w:rPr>
          <w:rStyle w:val="Odkaznapoznmkupodiarou"/>
        </w:rPr>
        <w:footnoteReference w:id="69"/>
      </w:r>
      <w:r>
        <w:t xml:space="preserve"> (ďalej aj „tretia osoba“):</w:t>
      </w:r>
    </w:p>
    <w:p w14:paraId="6EDA5439" w14:textId="77777777" w:rsidR="00B650E5" w:rsidRDefault="00B650E5">
      <w:pPr>
        <w:pStyle w:val="Odsekzoznamu"/>
        <w:numPr>
          <w:ilvl w:val="0"/>
          <w:numId w:val="37"/>
        </w:numPr>
        <w:autoSpaceDE w:val="0"/>
        <w:autoSpaceDN w:val="0"/>
        <w:adjustRightInd w:val="0"/>
        <w:spacing w:before="120" w:after="120"/>
        <w:ind w:left="850" w:hanging="425"/>
        <w:contextualSpacing w:val="0"/>
        <w:jc w:val="both"/>
      </w:pPr>
      <w:r>
        <w:t>vyžadovať a odoberať, v určenej lehote originály alebo úradne osvedčené kópie dokladov, písomností, záznamy dát na pamäťových médiách prostriedkov výpočtovej techniky, ich výpisov, výstupov, vyjadrenia, informácie, dokumenty a iné podklady súvisiace s administratívnou finančnou kontrolou alebo finančnou kontrolou na mieste,</w:t>
      </w:r>
      <w:r w:rsidRPr="00AC3767">
        <w:t xml:space="preserve"> </w:t>
      </w:r>
    </w:p>
    <w:p w14:paraId="48DDF210" w14:textId="77777777" w:rsidR="00B650E5" w:rsidRDefault="00B650E5">
      <w:pPr>
        <w:pStyle w:val="Odsekzoznamu"/>
        <w:numPr>
          <w:ilvl w:val="0"/>
          <w:numId w:val="37"/>
        </w:numPr>
        <w:autoSpaceDE w:val="0"/>
        <w:autoSpaceDN w:val="0"/>
        <w:adjustRightInd w:val="0"/>
        <w:spacing w:before="120" w:after="120"/>
        <w:ind w:left="850" w:hanging="425"/>
        <w:contextualSpacing w:val="0"/>
        <w:jc w:val="both"/>
      </w:pPr>
      <w:r>
        <w:t>vyžadovať od kontrolovanej osoby alebo od tretej osoby súčinnosť v rozsahu oprávnení podľa zákona o finančnej kontrole,</w:t>
      </w:r>
    </w:p>
    <w:p w14:paraId="059C2443" w14:textId="77777777" w:rsidR="00B650E5" w:rsidRDefault="00B650E5">
      <w:pPr>
        <w:pStyle w:val="Odsekzoznamu"/>
        <w:numPr>
          <w:ilvl w:val="0"/>
          <w:numId w:val="37"/>
        </w:numPr>
        <w:autoSpaceDE w:val="0"/>
        <w:autoSpaceDN w:val="0"/>
        <w:adjustRightInd w:val="0"/>
        <w:spacing w:before="120" w:after="120"/>
        <w:ind w:left="850" w:hanging="425"/>
        <w:contextualSpacing w:val="0"/>
        <w:jc w:val="both"/>
      </w:pPr>
      <w:r>
        <w:t>vyžadovať od prijímateľa prepracovanie prijatých opatrení na nápravu nedostatkov a na odstránenie príčin ich vzniku, ak riadiaci orgán  odôvodnene predpokladá vzhľadom na závažnosť nedostatkov, že prijaté opatrenia nie sú účinné, a vyžadovať predloženie nového písomného zoznamu opatrení v lehote určenej riadiacim orgánom,</w:t>
      </w:r>
    </w:p>
    <w:p w14:paraId="5227C6A7" w14:textId="77777777" w:rsidR="00B650E5" w:rsidRPr="002576AF" w:rsidRDefault="00B650E5">
      <w:pPr>
        <w:pStyle w:val="Odsekzoznamu"/>
        <w:numPr>
          <w:ilvl w:val="0"/>
          <w:numId w:val="37"/>
        </w:numPr>
        <w:autoSpaceDE w:val="0"/>
        <w:autoSpaceDN w:val="0"/>
        <w:adjustRightInd w:val="0"/>
        <w:spacing w:before="120" w:after="120"/>
        <w:ind w:left="850" w:hanging="425"/>
        <w:contextualSpacing w:val="0"/>
        <w:jc w:val="both"/>
      </w:pPr>
      <w:r w:rsidRPr="0070333D">
        <w:t>osoby poverené na výkon kontroly sú oprávnené v nevyhnutnom rozsahu za podmienok ustanovených v osobitných predpisoch</w:t>
      </w:r>
      <w:r w:rsidRPr="0070333D">
        <w:rPr>
          <w:rStyle w:val="Odkaznapoznmkupodiarou"/>
        </w:rPr>
        <w:footnoteReference w:id="70"/>
      </w:r>
      <w:r w:rsidRPr="0070333D">
        <w:t xml:space="preserve"> okrem oprávnení uvedených v písmenách a) až c) vstupovať do objektu, zariadenia, prevádzky, dopravného prostriedku, na pozemok povinnej osoby alebo tretej osoby, alebo vstupovať do obydlia, ak sa používa aj na podnikanie alebo na vykonávanie inej hospodárskej činnosti. </w:t>
      </w:r>
    </w:p>
    <w:p w14:paraId="5AFCC3DE" w14:textId="77777777" w:rsidR="00B650E5" w:rsidRPr="002576AF" w:rsidRDefault="00B650E5">
      <w:pPr>
        <w:pStyle w:val="Odsekzoznamu"/>
        <w:numPr>
          <w:ilvl w:val="0"/>
          <w:numId w:val="37"/>
        </w:numPr>
        <w:autoSpaceDE w:val="0"/>
        <w:autoSpaceDN w:val="0"/>
        <w:adjustRightInd w:val="0"/>
        <w:spacing w:before="120" w:after="120"/>
        <w:ind w:left="850" w:hanging="425"/>
        <w:contextualSpacing w:val="0"/>
        <w:jc w:val="both"/>
      </w:pPr>
      <w:r w:rsidRPr="002576AF">
        <w:t>vyžadovať od kontrolovanej osoby vytvorenie podmienok na výkon finančnej kontroly na mieste a zdržať sa konania, ktoré by mohlo ohroziť ich začatie a riadny priebeh,</w:t>
      </w:r>
    </w:p>
    <w:p w14:paraId="2DF2F544" w14:textId="77777777" w:rsidR="00B650E5" w:rsidRPr="002576AF" w:rsidRDefault="00B650E5">
      <w:pPr>
        <w:pStyle w:val="Odsekzoznamu"/>
        <w:numPr>
          <w:ilvl w:val="0"/>
          <w:numId w:val="37"/>
        </w:numPr>
        <w:autoSpaceDE w:val="0"/>
        <w:autoSpaceDN w:val="0"/>
        <w:adjustRightInd w:val="0"/>
        <w:spacing w:before="120" w:after="120"/>
        <w:ind w:left="850" w:hanging="425"/>
        <w:contextualSpacing w:val="0"/>
        <w:jc w:val="both"/>
      </w:pPr>
      <w:r w:rsidRPr="002576AF">
        <w:t>oboznámiť sa  pri začatí finančnej kontroly na mieste s bezpečnostnými predpismi, ktoré sa vzťahujú na priestory v ktorých sa vykonáva finančná kontrola  na mieste,</w:t>
      </w:r>
    </w:p>
    <w:p w14:paraId="5CB7EE78" w14:textId="77777777" w:rsidR="00B650E5" w:rsidRDefault="00B650E5">
      <w:pPr>
        <w:pStyle w:val="Odsekzoznamu"/>
        <w:numPr>
          <w:ilvl w:val="0"/>
          <w:numId w:val="31"/>
        </w:numPr>
        <w:spacing w:before="120" w:after="120"/>
        <w:ind w:left="426" w:hanging="426"/>
        <w:contextualSpacing w:val="0"/>
        <w:jc w:val="both"/>
      </w:pPr>
      <w:bookmarkStart w:id="293" w:name="kapitola_33611_ods_18"/>
      <w:bookmarkEnd w:id="293"/>
      <w:r>
        <w:t xml:space="preserve">V súvislosti s aplikáciou zákona o finančnej kontrole je RO pri vykonávaní kontroly formou </w:t>
      </w:r>
      <w:r>
        <w:rPr>
          <w:i/>
        </w:rPr>
        <w:t>administratívnej finančnej kontroly a finančnej kontroly na mieste</w:t>
      </w:r>
      <w:r>
        <w:t xml:space="preserve"> povinný:</w:t>
      </w:r>
    </w:p>
    <w:p w14:paraId="17445759" w14:textId="4B354E54" w:rsidR="00B650E5" w:rsidRDefault="00B650E5">
      <w:pPr>
        <w:pStyle w:val="Odsekzoznamu"/>
        <w:numPr>
          <w:ilvl w:val="0"/>
          <w:numId w:val="230"/>
        </w:numPr>
        <w:autoSpaceDE w:val="0"/>
        <w:autoSpaceDN w:val="0"/>
        <w:adjustRightInd w:val="0"/>
        <w:spacing w:before="120" w:after="120"/>
        <w:ind w:left="851" w:hanging="425"/>
        <w:contextualSpacing w:val="0"/>
        <w:jc w:val="both"/>
      </w:pPr>
      <w:r>
        <w:lastRenderedPageBreak/>
        <w:t>potvrdiť prijímateľovi alebo tretej osobe odobratie poskytnutých originálov alebo úradne osvedčených kópií dokladov</w:t>
      </w:r>
      <w:r>
        <w:rPr>
          <w:rStyle w:val="Odkaznapoznmkupodiarou"/>
        </w:rPr>
        <w:footnoteReference w:id="71"/>
      </w:r>
      <w:r>
        <w:t>, písomností, záznamov dát na pamäťových médiách prostriedkov výpočtovej techniky, ich výpisov, výstupov, vyjadrení, informácií, dokumentov a iných podkladov súvisiacich s administratívnou finančnou kontrolou alebo finančnou kontrolou na mieste a zabezpečiť ich riadnu ochranu pred stratou, zničením, poškodením a zneužitím (uvedené potvrdenie sa vydáva, ak RO žiada o poskytnutie podkladov nad rámec definovaný zmluvou o NFP); tieto veci RO vráti bezodkladne tomu, od koho sa vyžiadali, ak nie sú potrebné na konanie podľa Trestného poriadku, alebo na iné konanie podľa osobitných predpisov</w:t>
      </w:r>
      <w:r>
        <w:rPr>
          <w:rStyle w:val="Odkaznapoznmkupodiarou"/>
        </w:rPr>
        <w:footnoteReference w:id="72"/>
      </w:r>
      <w:r>
        <w:t xml:space="preserve">, </w:t>
      </w:r>
    </w:p>
    <w:p w14:paraId="33D7BE6F" w14:textId="77777777" w:rsidR="00B650E5" w:rsidRDefault="00B650E5">
      <w:pPr>
        <w:pStyle w:val="Odsekzoznamu"/>
        <w:numPr>
          <w:ilvl w:val="0"/>
          <w:numId w:val="230"/>
        </w:numPr>
        <w:autoSpaceDE w:val="0"/>
        <w:autoSpaceDN w:val="0"/>
        <w:adjustRightInd w:val="0"/>
        <w:spacing w:before="120" w:after="120"/>
        <w:ind w:left="851" w:hanging="425"/>
        <w:contextualSpacing w:val="0"/>
        <w:jc w:val="both"/>
      </w:pPr>
      <w:r>
        <w:t>oboznámiť prijímateľa s návrhom čiastkovej správy z kontroly/návrhom správy z kontroly jeho doručením, ak boli zistené nedostatky a vyžiadať od neho v lehote určenej RO písomné námietky k zisteným nedostatkom, navrhnutým odporúčaniam alebo k opatreniam a k lehote na predloženie písomného zoznamu splnených opatrení prijatých na nápravu zistených nedostatkov a na odstránenie príčin ich vzniku, uvedených v návrhu čiastkovej správy z kontroly/návrhu správy z kontroly,</w:t>
      </w:r>
    </w:p>
    <w:p w14:paraId="76B17EA3" w14:textId="2B237945" w:rsidR="00B650E5" w:rsidRDefault="00B650E5">
      <w:pPr>
        <w:pStyle w:val="Odsekzoznamu"/>
        <w:numPr>
          <w:ilvl w:val="0"/>
          <w:numId w:val="230"/>
        </w:numPr>
        <w:autoSpaceDE w:val="0"/>
        <w:autoSpaceDN w:val="0"/>
        <w:adjustRightInd w:val="0"/>
        <w:spacing w:before="120" w:after="120"/>
        <w:ind w:left="851" w:hanging="425"/>
        <w:contextualSpacing w:val="0"/>
        <w:jc w:val="both"/>
      </w:pPr>
      <w:r>
        <w:t>preveriť opodstatnenosť námietok k zisteným nedostatkom, navrhnutým odporúčaniam alebo k opatreniam a k lehote na predloženie písomného zoznamu splnených opatrení  prijatých na nápravu zistených nedostatkov a na odstránenie príčin ich vzniku uvedených v návrhu čiastkovej správy/návrhu správy z kontroly a neopodstatnenosť námietok spolu s odôvodnením neopodstatnenosti oznámiť prijímateľovi v čiastkovej správe/ správe z</w:t>
      </w:r>
      <w:r w:rsidR="002458C7">
        <w:t> </w:t>
      </w:r>
      <w:r>
        <w:t>kontroly.</w:t>
      </w:r>
    </w:p>
    <w:p w14:paraId="12543D03" w14:textId="77777777" w:rsidR="00B650E5" w:rsidRDefault="00B650E5">
      <w:pPr>
        <w:pStyle w:val="Odsekzoznamu"/>
        <w:numPr>
          <w:ilvl w:val="0"/>
          <w:numId w:val="230"/>
        </w:numPr>
        <w:autoSpaceDE w:val="0"/>
        <w:autoSpaceDN w:val="0"/>
        <w:adjustRightInd w:val="0"/>
        <w:spacing w:before="120" w:after="120"/>
        <w:ind w:left="851" w:hanging="425"/>
        <w:contextualSpacing w:val="0"/>
        <w:jc w:val="both"/>
      </w:pPr>
      <w:r>
        <w:t>zaslať čiastkovú správu/ správu z kontroly prijímateľovi.</w:t>
      </w:r>
    </w:p>
    <w:p w14:paraId="44B55110" w14:textId="77777777" w:rsidR="00B650E5" w:rsidRPr="006820D9" w:rsidRDefault="00B650E5">
      <w:pPr>
        <w:pStyle w:val="Odsekzoznamu"/>
        <w:numPr>
          <w:ilvl w:val="0"/>
          <w:numId w:val="230"/>
        </w:numPr>
        <w:autoSpaceDE w:val="0"/>
        <w:autoSpaceDN w:val="0"/>
        <w:adjustRightInd w:val="0"/>
        <w:spacing w:before="120" w:after="120"/>
        <w:ind w:left="851" w:hanging="425"/>
        <w:contextualSpacing w:val="0"/>
        <w:jc w:val="both"/>
      </w:pPr>
      <w:r>
        <w:t>oznámiť podozrenie zo spáchania trestného činu, priestupku alebo zo spáchania iného správneho deliktu orgánom príslušným podľa trestného poriadku, alebo podľa osobitných predpisov pričom tieto podozrenia sa v návrhu čiastkovej správy, návrhu správy, čiastkovej správe alebo v </w:t>
      </w:r>
      <w:r w:rsidRPr="0070333D">
        <w:t xml:space="preserve">správe </w:t>
      </w:r>
      <w:r>
        <w:t xml:space="preserve">z kontroly </w:t>
      </w:r>
      <w:r w:rsidRPr="0070333D">
        <w:t>neuvádzajú.</w:t>
      </w:r>
    </w:p>
    <w:p w14:paraId="7AF3BCC2" w14:textId="0AF01FFD" w:rsidR="00B650E5" w:rsidRDefault="00B650E5">
      <w:pPr>
        <w:pStyle w:val="Odsekzoznamu"/>
        <w:numPr>
          <w:ilvl w:val="0"/>
          <w:numId w:val="31"/>
        </w:numPr>
        <w:spacing w:before="120" w:after="120"/>
        <w:ind w:left="426" w:hanging="426"/>
        <w:contextualSpacing w:val="0"/>
        <w:jc w:val="both"/>
      </w:pPr>
      <w:r>
        <w:t xml:space="preserve">V súvislosti s aplikáciou zákona o finančnej kontrole je RO pri vykonávaní kontroly formou administratívnej finančnej kontroly a finančnej kontroly na mieste, okrem povinností uvedených v  </w:t>
      </w:r>
      <w:hyperlink w:anchor="kapitola_33611_ods_18" w:history="1">
        <w:r w:rsidRPr="00513AFB">
          <w:rPr>
            <w:rStyle w:val="Hypertextovprepojenie"/>
          </w:rPr>
          <w:t xml:space="preserve">ods. </w:t>
        </w:r>
        <w:r w:rsidR="007E05D5">
          <w:rPr>
            <w:rStyle w:val="Hypertextovprepojenie"/>
          </w:rPr>
          <w:t>20</w:t>
        </w:r>
      </w:hyperlink>
      <w:r>
        <w:t xml:space="preserve"> povinný:</w:t>
      </w:r>
    </w:p>
    <w:p w14:paraId="739D5888" w14:textId="77777777" w:rsidR="00B650E5" w:rsidRDefault="00B650E5">
      <w:pPr>
        <w:pStyle w:val="Odsekzoznamu"/>
        <w:numPr>
          <w:ilvl w:val="0"/>
          <w:numId w:val="232"/>
        </w:numPr>
        <w:autoSpaceDE w:val="0"/>
        <w:autoSpaceDN w:val="0"/>
        <w:adjustRightInd w:val="0"/>
        <w:spacing w:before="120" w:after="120"/>
        <w:ind w:left="851" w:hanging="425"/>
        <w:contextualSpacing w:val="0"/>
        <w:jc w:val="both"/>
      </w:pPr>
      <w:r>
        <w:t>vopred oznámiť prijímateľovi a tretej osobe termín a cieľ výkonu finančnej  kontroly na mieste; ak by oznámením o výkone finančnej kontroly na mieste mohlo dôjsť k zmareniu cieľa finančnej kontroly na mieste alebo ak hrozí, že doklady alebo iné podklady budú znehodnotené, zničené alebo pozmenené, je RO povinný oznámenie urobiť najneskôr pri vstupe do objektu, zariadenia, prevádzky, dopravného prostriedku, na pozemok prijímateľa alebo tretej osoby, alebo pri vstupe do obydlia, ak sa používa aj na podnikanie alebo na vykonávanie inej hospodárskej činnosti,</w:t>
      </w:r>
    </w:p>
    <w:p w14:paraId="765A558F" w14:textId="77777777" w:rsidR="00B650E5" w:rsidRDefault="00B650E5">
      <w:pPr>
        <w:pStyle w:val="Odsekzoznamu"/>
        <w:numPr>
          <w:ilvl w:val="0"/>
          <w:numId w:val="232"/>
        </w:numPr>
        <w:autoSpaceDE w:val="0"/>
        <w:autoSpaceDN w:val="0"/>
        <w:adjustRightInd w:val="0"/>
        <w:spacing w:before="120" w:after="120"/>
        <w:ind w:left="851" w:hanging="425"/>
        <w:contextualSpacing w:val="0"/>
        <w:jc w:val="both"/>
      </w:pPr>
      <w:r>
        <w:t>preukázať sa oprávnením na vykonanie finančnej kontroly na mieste a umožniť na základe požiadavky povinnej osoby nahliadnuť do preukazu totožnosti alebo služobného preukazu,</w:t>
      </w:r>
    </w:p>
    <w:p w14:paraId="02914E68" w14:textId="77777777" w:rsidR="00B650E5" w:rsidRDefault="00B650E5">
      <w:pPr>
        <w:pStyle w:val="SRK5"/>
      </w:pPr>
      <w:bookmarkStart w:id="294" w:name="_Toc453234021"/>
      <w:bookmarkStart w:id="295" w:name="_Toc495649380"/>
      <w:r>
        <w:t>3.3.6.1.2 Predmet a cieľ kontroly projektu</w:t>
      </w:r>
      <w:bookmarkEnd w:id="294"/>
      <w:bookmarkEnd w:id="295"/>
    </w:p>
    <w:p w14:paraId="1B799E36" w14:textId="1D2DC30C" w:rsidR="00B650E5" w:rsidRPr="008A679A" w:rsidRDefault="00B650E5">
      <w:pPr>
        <w:numPr>
          <w:ilvl w:val="0"/>
          <w:numId w:val="28"/>
        </w:numPr>
        <w:spacing w:before="120" w:after="120"/>
        <w:ind w:left="426" w:hanging="426"/>
        <w:jc w:val="both"/>
      </w:pPr>
      <w:r w:rsidRPr="008A679A">
        <w:t>RO je oprávnený kontrolovať akékoľvek skutočnosti súvisiace s</w:t>
      </w:r>
      <w:r w:rsidR="007324D5">
        <w:t> </w:t>
      </w:r>
      <w:r w:rsidRPr="008A679A">
        <w:t>projektom</w:t>
      </w:r>
      <w:r w:rsidR="007324D5">
        <w:t>,</w:t>
      </w:r>
      <w:r w:rsidRPr="008A679A">
        <w:t xml:space="preserve"> a to kedykoľvek počas účinnosti zmluvy o NFP. Predmet kontroly si určí RO v nadväznosti na požiadavky, ktoré </w:t>
      </w:r>
      <w:r w:rsidRPr="008A679A">
        <w:lastRenderedPageBreak/>
        <w:t>vzniknú počas implementácie projektu. RO vykonáva kontrolu ako zmluvná strana zmluvy o</w:t>
      </w:r>
      <w:r w:rsidR="000F7D38">
        <w:t> </w:t>
      </w:r>
      <w:r w:rsidRPr="008A679A">
        <w:t>NFP.</w:t>
      </w:r>
    </w:p>
    <w:p w14:paraId="23B73A77" w14:textId="7FA07208" w:rsidR="00B650E5" w:rsidRDefault="00B650E5" w:rsidP="00D13207">
      <w:pPr>
        <w:numPr>
          <w:ilvl w:val="0"/>
          <w:numId w:val="28"/>
        </w:numPr>
        <w:spacing w:before="120" w:after="120"/>
        <w:ind w:left="426" w:hanging="426"/>
        <w:jc w:val="both"/>
      </w:pPr>
      <w:r>
        <w:t xml:space="preserve">Základný rozsah možných osobitných predmetov kontroly je uvedený v </w:t>
      </w:r>
      <w:hyperlink w:anchor="kapitola_33621" w:tooltip="kapitole 3.3.6.2.1" w:history="1">
        <w:r>
          <w:rPr>
            <w:rStyle w:val="Hypertextovprepojenie"/>
          </w:rPr>
          <w:t>kapitole 3.3.6.2.1</w:t>
        </w:r>
      </w:hyperlink>
      <w:r>
        <w:t xml:space="preserve">. RO je oprávnený určiť si predmet kontroly mimo okruhov osobitných predmetov kontroly stanovených v </w:t>
      </w:r>
      <w:hyperlink w:anchor="kapitola_33621" w:tooltip="kapitole 3.3.6.2.1" w:history="1">
        <w:r>
          <w:rPr>
            <w:rStyle w:val="Hypertextovprepojenie"/>
          </w:rPr>
          <w:t>kapitole 3.3.6.2.1</w:t>
        </w:r>
      </w:hyperlink>
      <w:r>
        <w:t xml:space="preserve">  v prípade, ak nie je vecne totožný s už zadefinovaným predmetom kontroly. V prípade, že predmetom kontroly je viacero skutočností uvedených v rámci viacerých osobitných predmetov kontroly, RO vytvorí ad hoc kontrolný zoznam zložený z viacerých vopred preddefinovaných otázok, príp. doplní ďalšie ad hoc kontrolné otázky v závislosti od zvoleného predmetu kontroly. Ad hoc kontrolný zoznam zapracuje RO vopred taktiež do manuálu procedúr. Ak k vytvoreniu ad hoc kontrolného zoznamu dôjde počas výkonu kontroly je RO povinný zapracovať ho do manuálu procedúr najneskôr do 3 mesiacov od jeho aplikovania.</w:t>
      </w:r>
    </w:p>
    <w:p w14:paraId="474A9E3A" w14:textId="77777777" w:rsidR="00B650E5" w:rsidRDefault="00B650E5">
      <w:pPr>
        <w:numPr>
          <w:ilvl w:val="0"/>
          <w:numId w:val="28"/>
        </w:numPr>
        <w:spacing w:before="120" w:after="120"/>
        <w:ind w:left="426" w:hanging="426"/>
        <w:jc w:val="both"/>
      </w:pPr>
      <w:r>
        <w:t>RO vykonáva ďalšie kontroly na základe analýzy rizík, na základe výberu vzorky, z vlastného podnetu, z  podnetu tretích osôb alebo iného podnetu.</w:t>
      </w:r>
    </w:p>
    <w:p w14:paraId="14A4FD5A" w14:textId="1B44B2BC" w:rsidR="00B650E5" w:rsidRPr="008A679A" w:rsidRDefault="00B650E5" w:rsidP="00997CB0">
      <w:pPr>
        <w:numPr>
          <w:ilvl w:val="0"/>
          <w:numId w:val="28"/>
        </w:numPr>
        <w:spacing w:before="120" w:after="120"/>
        <w:ind w:left="426" w:hanging="426"/>
        <w:jc w:val="both"/>
      </w:pPr>
      <w:r w:rsidRPr="008A679A">
        <w:t xml:space="preserve">Predmetom kontroly projektu môže byť aj skutočnosť, ktorá už bola predmetom inej kontroly (napr. kontrola deklarovaných výdavkov, finančná kontrola VO, kontrola tej istej skutočnosti na mieste). Predchádzajúce vykonanie kontroly nie je prekážkou pre vykonanie </w:t>
      </w:r>
      <w:r w:rsidR="008A679A">
        <w:t xml:space="preserve">opakovanej </w:t>
      </w:r>
      <w:r w:rsidRPr="008A679A">
        <w:t>kontroly tých istých skutočností.</w:t>
      </w:r>
      <w:r w:rsidR="0089120A" w:rsidRPr="0089120A">
        <w:t>Pri výkone takejto kontroly postupuje RO podľa ustanovení zákona o</w:t>
      </w:r>
      <w:r w:rsidR="002458C7">
        <w:t> </w:t>
      </w:r>
      <w:r w:rsidR="0089120A" w:rsidRPr="0089120A">
        <w:t>finančnej kontrole.</w:t>
      </w:r>
    </w:p>
    <w:p w14:paraId="189816DA" w14:textId="35898CB2" w:rsidR="00B650E5" w:rsidRDefault="00B650E5">
      <w:pPr>
        <w:numPr>
          <w:ilvl w:val="0"/>
          <w:numId w:val="28"/>
        </w:numPr>
        <w:spacing w:before="120" w:after="120"/>
        <w:ind w:left="426" w:hanging="426"/>
        <w:jc w:val="both"/>
      </w:pPr>
      <w:r>
        <w:t xml:space="preserve">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w:t>
      </w:r>
      <w:r w:rsidR="008B7D1F">
        <w:t>Ide</w:t>
      </w:r>
      <w:r>
        <w:t xml:space="preserve"> napr. o nasledovné skutočnosti:</w:t>
      </w:r>
    </w:p>
    <w:p w14:paraId="1DB162AB" w14:textId="77777777" w:rsidR="00B650E5" w:rsidRDefault="00B650E5">
      <w:pPr>
        <w:pStyle w:val="Odsekzoznamu"/>
        <w:numPr>
          <w:ilvl w:val="0"/>
          <w:numId w:val="35"/>
        </w:numPr>
        <w:spacing w:before="120" w:after="120"/>
        <w:ind w:left="851" w:hanging="425"/>
        <w:contextualSpacing w:val="0"/>
        <w:jc w:val="both"/>
      </w:pPr>
      <w:r>
        <w:t>kontrola ŽoP,</w:t>
      </w:r>
    </w:p>
    <w:p w14:paraId="3922F9D0" w14:textId="77777777" w:rsidR="00B650E5" w:rsidRDefault="00B650E5">
      <w:pPr>
        <w:pStyle w:val="Odsekzoznamu"/>
        <w:numPr>
          <w:ilvl w:val="0"/>
          <w:numId w:val="35"/>
        </w:numPr>
        <w:spacing w:before="120" w:after="120"/>
        <w:ind w:left="851" w:hanging="425"/>
        <w:contextualSpacing w:val="0"/>
        <w:jc w:val="both"/>
      </w:pPr>
      <w:r>
        <w:t>finančná kontrola VO alebo obstarávania, na ktoré sa ZVO nevzťahuje,</w:t>
      </w:r>
    </w:p>
    <w:p w14:paraId="0DD6632D" w14:textId="77777777" w:rsidR="00B650E5" w:rsidRDefault="00B650E5">
      <w:pPr>
        <w:pStyle w:val="Odsekzoznamu"/>
        <w:numPr>
          <w:ilvl w:val="0"/>
          <w:numId w:val="35"/>
        </w:numPr>
        <w:spacing w:before="120" w:after="120"/>
        <w:ind w:left="851" w:hanging="425"/>
        <w:contextualSpacing w:val="0"/>
        <w:jc w:val="both"/>
      </w:pPr>
      <w:r>
        <w:t>identifikácia a odpočet opatrení, ktoré sú pre realizáciu projektu alebo dosiahnutie cieľov projektu nevyhnutné a ktoré prijímateľ prijal alebo mal prijať na základe záverov  predchádzajúcich kontrol projektu,</w:t>
      </w:r>
    </w:p>
    <w:p w14:paraId="74A77B2E" w14:textId="77777777" w:rsidR="00B650E5" w:rsidRDefault="00B650E5">
      <w:pPr>
        <w:pStyle w:val="Odsekzoznamu"/>
        <w:numPr>
          <w:ilvl w:val="0"/>
          <w:numId w:val="35"/>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14:paraId="582D78A3" w14:textId="77777777" w:rsidR="00B650E5" w:rsidRDefault="00B650E5">
      <w:pPr>
        <w:pStyle w:val="Odsekzoznamu"/>
        <w:numPr>
          <w:ilvl w:val="0"/>
          <w:numId w:val="35"/>
        </w:numPr>
        <w:spacing w:before="120" w:after="120"/>
        <w:ind w:left="851" w:hanging="425"/>
        <w:contextualSpacing w:val="0"/>
        <w:jc w:val="both"/>
      </w:pPr>
      <w:r>
        <w:t>zisťovanie výšky čistých príjmov prijímateľa vytvorených projektom,</w:t>
      </w:r>
    </w:p>
    <w:p w14:paraId="6379F8D4" w14:textId="77777777" w:rsidR="00B650E5" w:rsidRDefault="00B650E5">
      <w:pPr>
        <w:pStyle w:val="Odsekzoznamu"/>
        <w:numPr>
          <w:ilvl w:val="0"/>
          <w:numId w:val="35"/>
        </w:numPr>
        <w:spacing w:before="120" w:after="120"/>
        <w:ind w:left="851" w:hanging="425"/>
        <w:contextualSpacing w:val="0"/>
        <w:jc w:val="both"/>
      </w:pPr>
      <w:r>
        <w:t>účtovníctvo prijímateľa</w:t>
      </w:r>
      <w:r>
        <w:rPr>
          <w:rStyle w:val="Odkaznapoznmkupodiarou"/>
        </w:rPr>
        <w:footnoteReference w:id="73"/>
      </w:r>
      <w:r>
        <w:t>,</w:t>
      </w:r>
    </w:p>
    <w:p w14:paraId="594BC145" w14:textId="77777777" w:rsidR="00B650E5" w:rsidRDefault="00B650E5">
      <w:pPr>
        <w:pStyle w:val="Odsekzoznamu"/>
        <w:numPr>
          <w:ilvl w:val="0"/>
          <w:numId w:val="35"/>
        </w:numPr>
        <w:spacing w:before="120" w:after="120"/>
        <w:ind w:left="851" w:hanging="425"/>
        <w:contextualSpacing w:val="0"/>
        <w:jc w:val="both"/>
      </w:pPr>
      <w:r>
        <w:t xml:space="preserve">kontrola realizácie/plnenia výstupov projektu, </w:t>
      </w:r>
    </w:p>
    <w:p w14:paraId="4A424F41" w14:textId="77777777" w:rsidR="00B650E5" w:rsidRDefault="00B650E5">
      <w:pPr>
        <w:pStyle w:val="Odsekzoznamu"/>
        <w:numPr>
          <w:ilvl w:val="0"/>
          <w:numId w:val="35"/>
        </w:numPr>
        <w:spacing w:before="120" w:after="120"/>
        <w:ind w:left="851" w:hanging="425"/>
        <w:contextualSpacing w:val="0"/>
        <w:jc w:val="both"/>
      </w:pPr>
      <w:r>
        <w:t>skutočné dodanie tovarov, poskytnutie služieb a vykonanie stavebných prác s plným súladom s požiadavkami a podmienkami stanovenými v zmluve o NFP</w:t>
      </w:r>
      <w:r>
        <w:rPr>
          <w:rStyle w:val="Odkaznapoznmkupodiarou"/>
        </w:rPr>
        <w:footnoteReference w:id="74"/>
      </w:r>
      <w:r>
        <w:t xml:space="preserve">, </w:t>
      </w:r>
    </w:p>
    <w:p w14:paraId="6CE74C9F" w14:textId="77777777" w:rsidR="00B650E5" w:rsidRDefault="00B650E5">
      <w:pPr>
        <w:pStyle w:val="Odsekzoznamu"/>
        <w:numPr>
          <w:ilvl w:val="0"/>
          <w:numId w:val="35"/>
        </w:numPr>
        <w:spacing w:before="120" w:after="120"/>
        <w:ind w:left="851" w:hanging="425"/>
        <w:contextualSpacing w:val="0"/>
        <w:jc w:val="both"/>
      </w:pPr>
      <w:r>
        <w:t>overenie, či sa spolufinancované výrobky dodávajú a spolufinancované služby poskytujú a či výdavky deklarované prijímateľom boli zaplatené,</w:t>
      </w:r>
    </w:p>
    <w:p w14:paraId="00737211" w14:textId="77777777" w:rsidR="00B650E5" w:rsidRDefault="00B650E5">
      <w:pPr>
        <w:pStyle w:val="Odsekzoznamu"/>
        <w:numPr>
          <w:ilvl w:val="0"/>
          <w:numId w:val="35"/>
        </w:numPr>
        <w:spacing w:before="120" w:after="120"/>
        <w:ind w:left="851" w:hanging="425"/>
        <w:contextualSpacing w:val="0"/>
        <w:jc w:val="both"/>
      </w:pPr>
      <w:r>
        <w:t>overenie, či výdavky deklarované prijímateľom sú v súlade s legislatívou SR a EÚ, OP a či spĺňajú podmienky poskytnutia príspevku na projekt,</w:t>
      </w:r>
    </w:p>
    <w:p w14:paraId="67EBA4DB" w14:textId="2C51D460" w:rsidR="00B650E5" w:rsidRDefault="0089120A" w:rsidP="00997CB0">
      <w:pPr>
        <w:pStyle w:val="Odsekzoznamu"/>
        <w:numPr>
          <w:ilvl w:val="0"/>
          <w:numId w:val="35"/>
        </w:numPr>
        <w:spacing w:before="120" w:after="120"/>
        <w:ind w:left="709" w:hanging="283"/>
        <w:contextualSpacing w:val="0"/>
        <w:jc w:val="both"/>
      </w:pPr>
      <w:r>
        <w:lastRenderedPageBreak/>
        <w:t xml:space="preserve">uistenie sa, že </w:t>
      </w:r>
      <w:r w:rsidR="00B650E5">
        <w:t>prijímatelia</w:t>
      </w:r>
      <w:r>
        <w:t>,</w:t>
      </w:r>
      <w:r w:rsidR="00B650E5">
        <w:t xml:space="preserve"> zapojení do realizácie projektov, ktoré sa implementujú na základe </w:t>
      </w:r>
      <w:r>
        <w:t xml:space="preserve">preukázania </w:t>
      </w:r>
      <w:r w:rsidR="00B650E5">
        <w:t xml:space="preserve">skutočne vzniknutých oprávnených nákladov, </w:t>
      </w:r>
      <w:r w:rsidRPr="0089120A">
        <w:t>účtujú o skutočnostiach týkajúcich sa projektu, resp. evidujú skutočnosti týkajúce sa projektu v zmysle ustanovenia § 39 zákona o</w:t>
      </w:r>
      <w:r w:rsidR="002458C7">
        <w:t> </w:t>
      </w:r>
      <w:r w:rsidRPr="0089120A">
        <w:t>príspevku EŠIF,</w:t>
      </w:r>
    </w:p>
    <w:p w14:paraId="5620459E" w14:textId="77777777" w:rsidR="00B650E5" w:rsidRDefault="00B650E5">
      <w:pPr>
        <w:pStyle w:val="Odsekzoznamu"/>
        <w:numPr>
          <w:ilvl w:val="0"/>
          <w:numId w:val="35"/>
        </w:numPr>
        <w:spacing w:before="120" w:after="120"/>
        <w:ind w:left="851" w:hanging="425"/>
        <w:contextualSpacing w:val="0"/>
        <w:jc w:val="both"/>
      </w:pPr>
      <w:r>
        <w:t>zavedenie účinných a primeraných opatrení proti podvodom pri zohľadnení identifikovaných rizík,</w:t>
      </w:r>
    </w:p>
    <w:p w14:paraId="2F1B9E75" w14:textId="77777777" w:rsidR="00B650E5" w:rsidRDefault="00B650E5">
      <w:pPr>
        <w:pStyle w:val="Odsekzoznamu"/>
        <w:numPr>
          <w:ilvl w:val="0"/>
          <w:numId w:val="35"/>
        </w:numPr>
        <w:spacing w:before="120" w:after="120"/>
        <w:ind w:left="851" w:hanging="425"/>
        <w:contextualSpacing w:val="0"/>
        <w:jc w:val="both"/>
      </w:pPr>
      <w:r>
        <w:t>stanovenie postupov na zabezpečenie toho, aby sa všetky doklady týkajúce sa výdavkov a auditov, ktoré sú potrebné na účely adekvátneho audítorského záznamu (audit trail) uchovávali v súlade s podmienkami stanovenými v článku 140 všeobecného nariadenia,</w:t>
      </w:r>
    </w:p>
    <w:p w14:paraId="519AC319" w14:textId="77777777" w:rsidR="00B650E5" w:rsidRDefault="00B650E5">
      <w:pPr>
        <w:pStyle w:val="Odsekzoznamu"/>
        <w:numPr>
          <w:ilvl w:val="0"/>
          <w:numId w:val="35"/>
        </w:numPr>
        <w:spacing w:before="120" w:after="120"/>
        <w:ind w:left="851" w:hanging="425"/>
        <w:contextualSpacing w:val="0"/>
        <w:jc w:val="both"/>
      </w:pPr>
      <w:r>
        <w:t xml:space="preserve">overenie, či výdavky projektu vznikli počas obdobia oprávnenosti a došlo k ich vyplateniu, </w:t>
      </w:r>
    </w:p>
    <w:p w14:paraId="393B72B2" w14:textId="77777777" w:rsidR="00B650E5" w:rsidRDefault="00B650E5">
      <w:pPr>
        <w:pStyle w:val="Odsekzoznamu"/>
        <w:numPr>
          <w:ilvl w:val="0"/>
          <w:numId w:val="35"/>
        </w:numPr>
        <w:spacing w:before="120" w:after="120"/>
        <w:ind w:left="851" w:hanging="425"/>
        <w:contextualSpacing w:val="0"/>
        <w:jc w:val="both"/>
      </w:pPr>
      <w:r>
        <w:t>overenie, či výdavky projektu sú v súlade so schváleným projektom,</w:t>
      </w:r>
    </w:p>
    <w:p w14:paraId="38ABDD9F" w14:textId="77777777" w:rsidR="00B650E5" w:rsidRDefault="00B650E5">
      <w:pPr>
        <w:pStyle w:val="Odsekzoznamu"/>
        <w:numPr>
          <w:ilvl w:val="0"/>
          <w:numId w:val="35"/>
        </w:numPr>
        <w:spacing w:before="120" w:after="120"/>
        <w:ind w:left="851" w:hanging="425"/>
        <w:contextualSpacing w:val="0"/>
        <w:jc w:val="both"/>
      </w:pPr>
      <w:r>
        <w:t>overenie súladu s pravidlami stanovenými v projekte vrátane súladu so schválenou mierou spolufinancovania,</w:t>
      </w:r>
    </w:p>
    <w:p w14:paraId="3461F720" w14:textId="77777777" w:rsidR="00B650E5" w:rsidRDefault="00B650E5">
      <w:pPr>
        <w:pStyle w:val="Odsekzoznamu"/>
        <w:numPr>
          <w:ilvl w:val="0"/>
          <w:numId w:val="35"/>
        </w:numPr>
        <w:spacing w:before="120" w:after="120"/>
        <w:ind w:left="851" w:hanging="425"/>
        <w:contextualSpacing w:val="0"/>
        <w:jc w:val="both"/>
      </w:pPr>
      <w:r>
        <w:t>overenie súladu s pravidlami oprávnenosti výdavkov na národnej úrovni aj na úrovni EÚ,</w:t>
      </w:r>
    </w:p>
    <w:p w14:paraId="2D5262B7" w14:textId="77777777" w:rsidR="00B650E5" w:rsidRDefault="00B650E5">
      <w:pPr>
        <w:pStyle w:val="Odsekzoznamu"/>
        <w:numPr>
          <w:ilvl w:val="0"/>
          <w:numId w:val="35"/>
        </w:numPr>
        <w:spacing w:before="120" w:after="120"/>
        <w:ind w:left="851" w:hanging="425"/>
        <w:contextualSpacing w:val="0"/>
        <w:jc w:val="both"/>
      </w:pPr>
      <w:r>
        <w:t>overenie adekvátnosti  podporných dokumentov a existencia adekvátneho audit trialu,</w:t>
      </w:r>
    </w:p>
    <w:p w14:paraId="4CA1C306" w14:textId="77777777" w:rsidR="00B650E5" w:rsidRDefault="00B650E5">
      <w:pPr>
        <w:pStyle w:val="Odsekzoznamu"/>
        <w:numPr>
          <w:ilvl w:val="0"/>
          <w:numId w:val="35"/>
        </w:numPr>
        <w:spacing w:before="120" w:after="120"/>
        <w:ind w:left="851" w:hanging="425"/>
        <w:contextualSpacing w:val="0"/>
        <w:jc w:val="both"/>
      </w:pPr>
      <w:r>
        <w:t>overenie súladu s podmienkami štátnej pomoci/pomoci de minimis a požiadavkami na udržateľný rozvoj, rovnosť príležitostí a nediskrimináciu,</w:t>
      </w:r>
    </w:p>
    <w:p w14:paraId="74C38E06" w14:textId="77777777" w:rsidR="00B650E5" w:rsidRDefault="00B650E5">
      <w:pPr>
        <w:pStyle w:val="Odsekzoznamu"/>
        <w:numPr>
          <w:ilvl w:val="0"/>
          <w:numId w:val="35"/>
        </w:numPr>
        <w:spacing w:before="120" w:after="120"/>
        <w:ind w:left="851" w:hanging="425"/>
        <w:contextualSpacing w:val="0"/>
        <w:jc w:val="both"/>
      </w:pPr>
      <w:r>
        <w:t>overenie súladu s pravidlami publicity na národnej úrovni aj na úrovni EÚ,</w:t>
      </w:r>
    </w:p>
    <w:p w14:paraId="0D2C7C03" w14:textId="77777777" w:rsidR="00B650E5" w:rsidRDefault="00B650E5">
      <w:pPr>
        <w:pStyle w:val="Odsekzoznamu"/>
        <w:numPr>
          <w:ilvl w:val="0"/>
          <w:numId w:val="35"/>
        </w:numPr>
        <w:spacing w:before="120" w:after="120"/>
        <w:ind w:left="851" w:hanging="425"/>
        <w:contextualSpacing w:val="0"/>
        <w:jc w:val="both"/>
      </w:pPr>
      <w:r>
        <w:t>overenie súladu vykazovania zjednodušených foriem vykazovania výdavkov s nastavenými pravidlami,</w:t>
      </w:r>
    </w:p>
    <w:p w14:paraId="7E9E2E11" w14:textId="77777777" w:rsidR="00B650E5" w:rsidRDefault="00B650E5">
      <w:pPr>
        <w:pStyle w:val="Odsekzoznamu"/>
        <w:numPr>
          <w:ilvl w:val="0"/>
          <w:numId w:val="35"/>
        </w:numPr>
        <w:spacing w:before="120" w:after="120"/>
        <w:ind w:left="851" w:hanging="425"/>
        <w:contextualSpacing w:val="0"/>
        <w:jc w:val="both"/>
      </w:pPr>
      <w:r>
        <w:t>overenie fyzického pokroku projektu vo vzťahu k merateľným ukazovateľom projektu a dátam, ktoré sú povinne poskytované na úrovni projektu,</w:t>
      </w:r>
    </w:p>
    <w:p w14:paraId="155A3E1C" w14:textId="77777777" w:rsidR="00B650E5" w:rsidRDefault="00B650E5" w:rsidP="00AD5656">
      <w:pPr>
        <w:pStyle w:val="Odsekzoznamu"/>
        <w:numPr>
          <w:ilvl w:val="0"/>
          <w:numId w:val="35"/>
        </w:numPr>
        <w:spacing w:before="120" w:after="120"/>
        <w:ind w:left="851" w:hanging="425"/>
        <w:contextualSpacing w:val="0"/>
        <w:jc w:val="both"/>
      </w:pPr>
      <w:r>
        <w:t xml:space="preserve">overenie nakladania s majetkom nadobudnutom z prostriedkov NFP a podmienok, na základe ktorých s ním môžu nakladať ďalšie osoby. </w:t>
      </w:r>
    </w:p>
    <w:p w14:paraId="420D7C6F" w14:textId="77777777" w:rsidR="00B650E5" w:rsidRPr="005D1036" w:rsidRDefault="00B650E5" w:rsidP="00AB2DCC">
      <w:pPr>
        <w:spacing w:after="200"/>
        <w:ind w:left="426" w:hanging="426"/>
        <w:jc w:val="both"/>
      </w:pPr>
      <w:r>
        <w:t xml:space="preserve">6. </w:t>
      </w:r>
      <w:r>
        <w:tab/>
        <w:t xml:space="preserve">Cieľom finančnej kontroly je </w:t>
      </w:r>
      <w:r w:rsidRPr="005D1036">
        <w:t>zabezpečiť najmä</w:t>
      </w:r>
      <w:r>
        <w:t>:</w:t>
      </w:r>
    </w:p>
    <w:p w14:paraId="1A6B7403"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hospodárnosti, efektívnosti, účinnosti a účelnosti pri hospodárení s verejnými financiami a realizácii finančnej operácie alebo jej časti,</w:t>
      </w:r>
    </w:p>
    <w:p w14:paraId="274E47B8"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rozpočtu orgánu verejnej správy,</w:t>
      </w:r>
    </w:p>
    <w:p w14:paraId="01223344"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zákona</w:t>
      </w:r>
      <w:r>
        <w:t xml:space="preserve"> o finančnej kontrole</w:t>
      </w:r>
      <w:r w:rsidRPr="005D1036">
        <w:t>, všeobecne záväzných právnych predpisov vydaných na jeho vykonanie, osobitných predpisov, medzinárodných zmlúv, ktorými je Slovenská republika viazaná</w:t>
      </w:r>
      <w:r w:rsidRPr="003120E4">
        <w:rPr>
          <w:rStyle w:val="Odkaznapoznmkupodiarou"/>
        </w:rPr>
        <w:footnoteReference w:id="75"/>
      </w:r>
      <w:r w:rsidRPr="00C03CE9">
        <w:rPr>
          <w:vertAlign w:val="superscript"/>
        </w:rPr>
        <w:t>)</w:t>
      </w:r>
      <w:r w:rsidRPr="005D1036">
        <w:t xml:space="preserve"> a na základe ktorých sa Slovenskej republike poskytujú </w:t>
      </w:r>
      <w:r w:rsidRPr="005D1036">
        <w:lastRenderedPageBreak/>
        <w:t>finančné prostriedky zo zahraničia, rozhodnutí vydaných na základe osobitných predpisov</w:t>
      </w:r>
      <w:bookmarkStart w:id="296" w:name="_Ref424744070"/>
      <w:r w:rsidRPr="005D1036">
        <w:rPr>
          <w:rStyle w:val="Odkaznapoznmkupodiarou"/>
        </w:rPr>
        <w:footnoteReference w:id="76"/>
      </w:r>
      <w:bookmarkEnd w:id="296"/>
      <w:r w:rsidRPr="005D1036">
        <w:t>) alebo vnútorných predpisov,</w:t>
      </w:r>
    </w:p>
    <w:p w14:paraId="18156DE1"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uzatvorených zmlúv</w:t>
      </w:r>
      <w:bookmarkStart w:id="297" w:name="_Ref424740961"/>
      <w:r w:rsidRPr="005D1036">
        <w:rPr>
          <w:rStyle w:val="Odkaznapoznmkupodiarou"/>
        </w:rPr>
        <w:footnoteReference w:id="77"/>
      </w:r>
      <w:bookmarkEnd w:id="297"/>
      <w:r w:rsidRPr="005D1036">
        <w:t>) orgánom verejnej správy,</w:t>
      </w:r>
    </w:p>
    <w:p w14:paraId="092510BB"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podmienok na poskytnutie a použitie verejných financií,</w:t>
      </w:r>
    </w:p>
    <w:p w14:paraId="6DFF998E" w14:textId="77777777" w:rsidR="00B650E5" w:rsidRPr="005D1036" w:rsidRDefault="00B650E5" w:rsidP="009D6DF9">
      <w:pPr>
        <w:pStyle w:val="Odsekzoznamu"/>
        <w:numPr>
          <w:ilvl w:val="0"/>
          <w:numId w:val="391"/>
        </w:numPr>
        <w:spacing w:after="120"/>
        <w:ind w:left="851" w:hanging="426"/>
        <w:contextualSpacing w:val="0"/>
        <w:jc w:val="both"/>
      </w:pPr>
      <w:r w:rsidRPr="005D1036">
        <w:t>správnosť a preukázateľnosť vykonávania finančnej operácie alebo jej časti, spoľahlivosť výkazníctva,</w:t>
      </w:r>
    </w:p>
    <w:p w14:paraId="01B2C6F3" w14:textId="77777777" w:rsidR="00B650E5" w:rsidRPr="005D1036" w:rsidRDefault="00B650E5" w:rsidP="009D6DF9">
      <w:pPr>
        <w:pStyle w:val="Odsekzoznamu"/>
        <w:numPr>
          <w:ilvl w:val="0"/>
          <w:numId w:val="391"/>
        </w:numPr>
        <w:spacing w:after="120"/>
        <w:ind w:left="851" w:hanging="426"/>
        <w:contextualSpacing w:val="0"/>
        <w:jc w:val="both"/>
      </w:pPr>
      <w:r w:rsidRPr="005D1036">
        <w:t>ochranu majetku v správe alebo vo vlastníctve orgánu verejnej správy,</w:t>
      </w:r>
    </w:p>
    <w:p w14:paraId="428718CA" w14:textId="77777777" w:rsidR="00B650E5" w:rsidRPr="005D1036" w:rsidRDefault="00B650E5" w:rsidP="009D6DF9">
      <w:pPr>
        <w:pStyle w:val="Odsekzoznamu"/>
        <w:numPr>
          <w:ilvl w:val="0"/>
          <w:numId w:val="391"/>
        </w:numPr>
        <w:spacing w:after="120"/>
        <w:ind w:left="851" w:hanging="426"/>
        <w:contextualSpacing w:val="0"/>
        <w:jc w:val="both"/>
      </w:pPr>
      <w:r w:rsidRPr="005D1036">
        <w:t>predchádzanie podvodom a nezrovnalostiam,</w:t>
      </w:r>
      <w:r>
        <w:rPr>
          <w:rStyle w:val="Odkaznapoznmkupodiarou"/>
        </w:rPr>
        <w:footnoteReference w:id="78"/>
      </w:r>
      <w:r w:rsidRPr="005D1036">
        <w:t>)</w:t>
      </w:r>
    </w:p>
    <w:p w14:paraId="53CEE649" w14:textId="77777777" w:rsidR="00B650E5" w:rsidRPr="005D1036" w:rsidRDefault="00B650E5" w:rsidP="009D6DF9">
      <w:pPr>
        <w:pStyle w:val="Odsekzoznamu"/>
        <w:numPr>
          <w:ilvl w:val="0"/>
          <w:numId w:val="391"/>
        </w:numPr>
        <w:spacing w:after="120"/>
        <w:ind w:left="851" w:hanging="426"/>
        <w:contextualSpacing w:val="0"/>
        <w:jc w:val="both"/>
      </w:pPr>
      <w:r w:rsidRPr="005D1036">
        <w:t>včasné a spoľahlivé informovanie štatutárneho orgánu verejnej správy o úrovni hospodárenia s verejnými financiami a o vykonávaných finančných operáciách alebo ich častiach,</w:t>
      </w:r>
    </w:p>
    <w:p w14:paraId="43655463" w14:textId="77777777" w:rsidR="00B650E5" w:rsidRPr="005D1036" w:rsidRDefault="00B650E5" w:rsidP="009D6DF9">
      <w:pPr>
        <w:pStyle w:val="Odsekzoznamu"/>
        <w:numPr>
          <w:ilvl w:val="0"/>
          <w:numId w:val="391"/>
        </w:numPr>
        <w:spacing w:after="120"/>
        <w:ind w:left="851" w:hanging="426"/>
        <w:contextualSpacing w:val="0"/>
        <w:jc w:val="both"/>
      </w:pPr>
      <w:r w:rsidRPr="005D1036">
        <w:t>overova</w:t>
      </w:r>
      <w:r>
        <w:t>nie</w:t>
      </w:r>
      <w:r w:rsidRPr="005D1036">
        <w:t xml:space="preserve"> plneni</w:t>
      </w:r>
      <w:r>
        <w:t>a</w:t>
      </w:r>
      <w:r w:rsidRPr="005D1036">
        <w:t xml:space="preserve"> opatrení prijatých na nápravu nedostatkov zistených administratívnou finančnou kontrolu alebo finančnou kontrolou na mieste a na odstránenie príčin ich vzniku,</w:t>
      </w:r>
    </w:p>
    <w:p w14:paraId="216339F3" w14:textId="77777777" w:rsidR="00B650E5" w:rsidRPr="005D1036" w:rsidRDefault="00B650E5" w:rsidP="009D6DF9">
      <w:pPr>
        <w:pStyle w:val="Odsekzoznamu"/>
        <w:numPr>
          <w:ilvl w:val="0"/>
          <w:numId w:val="391"/>
        </w:numPr>
        <w:spacing w:after="120"/>
        <w:ind w:left="851" w:hanging="426"/>
        <w:contextualSpacing w:val="0"/>
        <w:jc w:val="both"/>
      </w:pPr>
      <w:r w:rsidRPr="005D1036">
        <w:t>overova</w:t>
      </w:r>
      <w:r>
        <w:t>nie</w:t>
      </w:r>
      <w:r w:rsidRPr="005D1036">
        <w:t xml:space="preserve"> ďalš</w:t>
      </w:r>
      <w:r>
        <w:t>ích</w:t>
      </w:r>
      <w:r w:rsidRPr="005D1036">
        <w:t xml:space="preserve"> skutočnost</w:t>
      </w:r>
      <w:r>
        <w:t>í</w:t>
      </w:r>
      <w:r w:rsidRPr="005D1036">
        <w:t xml:space="preserve"> súvisiac</w:t>
      </w:r>
      <w:r>
        <w:t>ich</w:t>
      </w:r>
      <w:r w:rsidRPr="005D1036">
        <w:t xml:space="preserve"> s finančnou operáciou alebo jej časťou a finančným riadením.</w:t>
      </w:r>
    </w:p>
    <w:p w14:paraId="76B2ECE6" w14:textId="77777777" w:rsidR="00B650E5" w:rsidRDefault="00B650E5" w:rsidP="003120E4">
      <w:pPr>
        <w:pStyle w:val="SRK5"/>
        <w:numPr>
          <w:ilvl w:val="4"/>
          <w:numId w:val="289"/>
        </w:numPr>
      </w:pPr>
      <w:bookmarkStart w:id="298" w:name="_Toc442884036"/>
      <w:bookmarkStart w:id="299" w:name="_Toc453234022"/>
      <w:bookmarkStart w:id="300" w:name="_Toc495649381"/>
      <w:bookmarkStart w:id="301" w:name="kapitola_33613"/>
      <w:bookmarkEnd w:id="298"/>
      <w:r>
        <w:t>Výstup z finančnej kontroly projektu a ukončenie kontroly projektu</w:t>
      </w:r>
      <w:bookmarkEnd w:id="299"/>
      <w:bookmarkEnd w:id="300"/>
    </w:p>
    <w:bookmarkEnd w:id="301"/>
    <w:p w14:paraId="49373AA6" w14:textId="489250E5" w:rsidR="00B650E5" w:rsidRDefault="00B650E5" w:rsidP="005475B5">
      <w:pPr>
        <w:pStyle w:val="Odsekzoznamu"/>
        <w:numPr>
          <w:ilvl w:val="0"/>
          <w:numId w:val="32"/>
        </w:numPr>
        <w:spacing w:before="120" w:after="120"/>
        <w:ind w:left="425" w:hanging="425"/>
        <w:contextualSpacing w:val="0"/>
        <w:jc w:val="both"/>
      </w:pPr>
      <w:r>
        <w:t>Výstupom z každej administratívnej finančnej kontroly a finančnej kontroly na mieste je návrh čiastkovej správy/ návrh správy z kontroly (v prípade zistených nedostatkov) a čiastková správa z kontroly/ správa z kontroly. Legislatívnym rámcom pre ich vypracovanie je § 22 zákona o finančnej kontrole.</w:t>
      </w:r>
    </w:p>
    <w:p w14:paraId="66D1DF53" w14:textId="30364E4A" w:rsidR="00B650E5" w:rsidRDefault="00B650E5" w:rsidP="005475B5">
      <w:pPr>
        <w:pStyle w:val="Odsekzoznamu"/>
        <w:numPr>
          <w:ilvl w:val="0"/>
          <w:numId w:val="32"/>
        </w:numPr>
        <w:spacing w:before="120" w:after="120"/>
        <w:ind w:left="425" w:hanging="425"/>
        <w:contextualSpacing w:val="0"/>
        <w:jc w:val="both"/>
      </w:pPr>
      <w:r>
        <w:t>Záverom z každej vykonanej základnej  finančnej kontroly, je na základe overených skutočností jedno z nasledovných vyjadrení osôb, ktoré kontrolu vykonali:</w:t>
      </w:r>
    </w:p>
    <w:p w14:paraId="1C715802" w14:textId="2903A65E" w:rsidR="00B650E5" w:rsidRDefault="00B650E5" w:rsidP="00997CB0">
      <w:pPr>
        <w:pStyle w:val="Odsekzoznamu"/>
        <w:numPr>
          <w:ilvl w:val="1"/>
          <w:numId w:val="32"/>
        </w:numPr>
        <w:tabs>
          <w:tab w:val="left" w:pos="851"/>
        </w:tabs>
        <w:spacing w:before="120" w:after="120"/>
        <w:ind w:left="851" w:hanging="425"/>
        <w:contextualSpacing w:val="0"/>
        <w:jc w:val="both"/>
      </w:pPr>
      <w:r>
        <w:t>vo finančnej operácií je možné pokračovať – v prípade, ak je overené splnenie všetkých podmienok overovaných v rámci vykonávanej kontroly/ administratívnom overení a nedochádza k dožadovaniu údajov ani k zastaveniu konania, resp. k vydaniu rozhodnutia o neschválení, resp. k inému postupu v dôsledku ktorého dôjde k nepokračovaniu vo</w:t>
      </w:r>
      <w:r w:rsidR="002458C7">
        <w:t> </w:t>
      </w:r>
      <w:r>
        <w:t xml:space="preserve">finančnej operácii alebo k jej pozastaveniu do doby odstránenia dôvodov, pre ktoré nie je </w:t>
      </w:r>
      <w:r>
        <w:lastRenderedPageBreak/>
        <w:t>možné vo finančnej operácii pokračovať;</w:t>
      </w:r>
      <w:r w:rsidRPr="00517B1D">
        <w:t xml:space="preserve"> </w:t>
      </w:r>
      <w:r>
        <w:t>v</w:t>
      </w:r>
      <w:r w:rsidRPr="008B6CAA">
        <w:t> </w:t>
      </w:r>
      <w:r w:rsidRPr="00EE61C2">
        <w:t>prípade identifikovania neoprávnených výdavkov v</w:t>
      </w:r>
      <w:r w:rsidRPr="002F0FAA">
        <w:t> procese administratívneho overovania ŽoNFP je potrebné k vyjadreniu doplniť text s</w:t>
      </w:r>
      <w:r w:rsidR="008F6E58">
        <w:t xml:space="preserve"> uvedením </w:t>
      </w:r>
      <w:r w:rsidRPr="002F0FAA">
        <w:t>podmienk</w:t>
      </w:r>
      <w:r w:rsidR="008F6E58">
        <w:t>y</w:t>
      </w:r>
      <w:r>
        <w:t>,</w:t>
      </w:r>
      <w:r w:rsidRPr="002F0FAA">
        <w:t xml:space="preserve"> za </w:t>
      </w:r>
      <w:r w:rsidR="009407C8">
        <w:t xml:space="preserve">splnenia </w:t>
      </w:r>
      <w:r w:rsidRPr="002F0FAA">
        <w:t>ktorej je možné vo</w:t>
      </w:r>
      <w:r>
        <w:t> </w:t>
      </w:r>
      <w:r w:rsidRPr="002F0FAA">
        <w:t>finančnej operáci</w:t>
      </w:r>
      <w:r>
        <w:t>i</w:t>
      </w:r>
      <w:r w:rsidRPr="002F0FAA">
        <w:t xml:space="preserve"> pokračovať;</w:t>
      </w:r>
    </w:p>
    <w:p w14:paraId="434A0AEF" w14:textId="77777777" w:rsidR="00B650E5" w:rsidRDefault="00B650E5" w:rsidP="00997CB0">
      <w:pPr>
        <w:pStyle w:val="Odsekzoznamu"/>
        <w:numPr>
          <w:ilvl w:val="1"/>
          <w:numId w:val="32"/>
        </w:numPr>
        <w:tabs>
          <w:tab w:val="left" w:pos="851"/>
        </w:tabs>
        <w:spacing w:before="120" w:after="120"/>
        <w:ind w:left="851" w:hanging="425"/>
        <w:contextualSpacing w:val="0"/>
        <w:jc w:val="both"/>
      </w:pPr>
      <w:r>
        <w:t>vo finančnej operácií nie je možné pokračovať – ak v rámci administratívneho overenia/vykonávanej kontroly boli identifikované také dôvody, ktoré neumožňujú pokračovať vo finančnej operácií, a je potrebné ju ukončiť (napr. ak dochádza k zastaveniu konania alebo k vydaniu rozhodnutia o neschválení, k nevyhláseniu výzvy a pod.);</w:t>
      </w:r>
    </w:p>
    <w:p w14:paraId="0A92543C" w14:textId="3157164D" w:rsidR="00B650E5" w:rsidRDefault="00B650E5" w:rsidP="00997CB0">
      <w:pPr>
        <w:pStyle w:val="Odsekzoznamu"/>
        <w:numPr>
          <w:ilvl w:val="1"/>
          <w:numId w:val="32"/>
        </w:numPr>
        <w:tabs>
          <w:tab w:val="left" w:pos="851"/>
        </w:tabs>
        <w:spacing w:before="120" w:after="120"/>
        <w:ind w:left="851" w:hanging="425"/>
        <w:contextualSpacing w:val="0"/>
        <w:jc w:val="both"/>
      </w:pPr>
      <w:r>
        <w:t>finančnú operáciu je potrebné zastaviť</w:t>
      </w:r>
      <w:r w:rsidR="00465B83">
        <w:rPr>
          <w:rStyle w:val="Odkaznapoznmkupodiarou"/>
        </w:rPr>
        <w:footnoteReference w:id="79"/>
      </w:r>
      <w:r>
        <w:t xml:space="preserve"> – táto možnosť nastane najčastejšie v  prípade, ak je žiadateľovi zasielaná výzva na doplnenie, resp. ak prijímateľovi bola RO stanovená lehota na</w:t>
      </w:r>
      <w:r w:rsidR="002458C7">
        <w:t> </w:t>
      </w:r>
      <w:r w:rsidR="007647A3">
        <w:t>opravu</w:t>
      </w:r>
      <w:r>
        <w:t xml:space="preserve"> alebo doplnenie, resp. ak sú dané iné skutočnosti, ktoré do doby ich odstránenia/vyriešenia neumožňujú vyslovenie výroku o možnosti/nemožnosti pokračovania vo finančnej operácií;</w:t>
      </w:r>
    </w:p>
    <w:p w14:paraId="2AB63A5F" w14:textId="77777777" w:rsidR="00B650E5" w:rsidRDefault="00B650E5" w:rsidP="00997CB0">
      <w:pPr>
        <w:pStyle w:val="Odsekzoznamu"/>
        <w:numPr>
          <w:ilvl w:val="1"/>
          <w:numId w:val="32"/>
        </w:numPr>
        <w:tabs>
          <w:tab w:val="left" w:pos="851"/>
        </w:tabs>
        <w:spacing w:before="120" w:after="120"/>
        <w:ind w:left="851" w:hanging="425"/>
        <w:contextualSpacing w:val="0"/>
        <w:jc w:val="both"/>
      </w:pPr>
      <w:r w:rsidRPr="00594B46">
        <w:t>je potrebné vymáhať poskytnuté plnenie - ak sa finančná operácia alebo jej časť už vykonala, pričom bola zistená nezrovnalosť s finančným dopadom. (napr. pri spätnom overení ŽoP, pri výkone finančnej kontroly na mieste po vykonaní úhrady ŽoP a pod.</w:t>
      </w:r>
    </w:p>
    <w:p w14:paraId="2BEA074F" w14:textId="77777777" w:rsidR="00B650E5" w:rsidRDefault="00B650E5" w:rsidP="00F05094">
      <w:pPr>
        <w:pStyle w:val="Odsekzoznamu"/>
        <w:numPr>
          <w:ilvl w:val="0"/>
          <w:numId w:val="32"/>
        </w:numPr>
        <w:spacing w:before="120" w:after="120"/>
        <w:ind w:left="426" w:hanging="426"/>
        <w:contextualSpacing w:val="0"/>
        <w:jc w:val="both"/>
      </w:pPr>
      <w:r>
        <w:t xml:space="preserve">Minimálnymi obsahovými náležitosťami </w:t>
      </w:r>
      <w:r w:rsidRPr="00F05094">
        <w:rPr>
          <w:b/>
        </w:rPr>
        <w:t>návrhu čiastkovej správy z</w:t>
      </w:r>
      <w:r w:rsidRPr="005475B5">
        <w:rPr>
          <w:b/>
        </w:rPr>
        <w:t> kontroly/návrhu správy z kontroly</w:t>
      </w:r>
      <w:r>
        <w:t xml:space="preserve"> sú: </w:t>
      </w:r>
    </w:p>
    <w:p w14:paraId="4C272F66" w14:textId="77777777" w:rsidR="00B650E5" w:rsidRDefault="00B650E5">
      <w:pPr>
        <w:pStyle w:val="Odsekzoznamu"/>
        <w:numPr>
          <w:ilvl w:val="1"/>
          <w:numId w:val="26"/>
        </w:numPr>
        <w:tabs>
          <w:tab w:val="clear" w:pos="1069"/>
        </w:tabs>
        <w:spacing w:before="120" w:after="120"/>
        <w:ind w:left="851" w:hanging="425"/>
        <w:contextualSpacing w:val="0"/>
        <w:jc w:val="both"/>
      </w:pPr>
      <w:r>
        <w:t>označenie RO, ktorý kontrolu vykonal;</w:t>
      </w:r>
    </w:p>
    <w:p w14:paraId="165243C2" w14:textId="77777777" w:rsidR="00B650E5" w:rsidRDefault="00B650E5">
      <w:pPr>
        <w:numPr>
          <w:ilvl w:val="1"/>
          <w:numId w:val="26"/>
        </w:numPr>
        <w:tabs>
          <w:tab w:val="clear" w:pos="1069"/>
          <w:tab w:val="num" w:pos="1134"/>
        </w:tabs>
        <w:spacing w:before="120" w:after="120"/>
        <w:ind w:left="851" w:hanging="425"/>
        <w:jc w:val="both"/>
      </w:pPr>
      <w:r>
        <w:t>mená, priezviská a podpisy zamestnancov RO a prizvaných osôb, ktorí vykonali kontrolu;</w:t>
      </w:r>
    </w:p>
    <w:p w14:paraId="6CFE2BEF" w14:textId="74FF567F" w:rsidR="00B650E5" w:rsidRDefault="00B650E5">
      <w:pPr>
        <w:numPr>
          <w:ilvl w:val="1"/>
          <w:numId w:val="26"/>
        </w:numPr>
        <w:tabs>
          <w:tab w:val="clear" w:pos="1069"/>
          <w:tab w:val="num" w:pos="1134"/>
        </w:tabs>
        <w:spacing w:before="120" w:after="120"/>
        <w:ind w:left="851" w:hanging="425"/>
        <w:jc w:val="both"/>
      </w:pPr>
      <w:r>
        <w:t>označenie kontrolovanej osoby;</w:t>
      </w:r>
    </w:p>
    <w:p w14:paraId="6DE87472" w14:textId="77777777" w:rsidR="00B650E5" w:rsidRDefault="00B650E5">
      <w:pPr>
        <w:numPr>
          <w:ilvl w:val="1"/>
          <w:numId w:val="26"/>
        </w:numPr>
        <w:tabs>
          <w:tab w:val="clear" w:pos="1069"/>
          <w:tab w:val="num" w:pos="1134"/>
        </w:tabs>
        <w:spacing w:before="120" w:after="120"/>
        <w:ind w:left="851" w:hanging="425"/>
        <w:jc w:val="both"/>
      </w:pPr>
      <w:r>
        <w:t>označenie formy kontroly (administratívna finančná kontrola/finančná kontrola na mieste);</w:t>
      </w:r>
    </w:p>
    <w:p w14:paraId="09C826BD" w14:textId="77777777" w:rsidR="00B650E5" w:rsidRDefault="00B650E5">
      <w:pPr>
        <w:numPr>
          <w:ilvl w:val="1"/>
          <w:numId w:val="26"/>
        </w:numPr>
        <w:tabs>
          <w:tab w:val="clear" w:pos="1069"/>
          <w:tab w:val="left" w:pos="1134"/>
        </w:tabs>
        <w:spacing w:before="120" w:after="120"/>
        <w:ind w:left="851" w:hanging="425"/>
        <w:jc w:val="both"/>
      </w:pPr>
      <w:r>
        <w:t xml:space="preserve">identifikačné údaje projektu (názov a kód projektu); </w:t>
      </w:r>
    </w:p>
    <w:p w14:paraId="5E82D4BC" w14:textId="77777777" w:rsidR="00B650E5" w:rsidRDefault="00B650E5">
      <w:pPr>
        <w:numPr>
          <w:ilvl w:val="1"/>
          <w:numId w:val="26"/>
        </w:numPr>
        <w:tabs>
          <w:tab w:val="clear" w:pos="1069"/>
          <w:tab w:val="num" w:pos="1134"/>
        </w:tabs>
        <w:spacing w:before="120" w:after="120"/>
        <w:ind w:left="851" w:hanging="425"/>
        <w:jc w:val="both"/>
      </w:pPr>
      <w:r>
        <w:t>predmet kontroly;</w:t>
      </w:r>
    </w:p>
    <w:p w14:paraId="5C28135A" w14:textId="02A62DC4" w:rsidR="00B650E5" w:rsidRDefault="00B650E5">
      <w:pPr>
        <w:numPr>
          <w:ilvl w:val="1"/>
          <w:numId w:val="26"/>
        </w:numPr>
        <w:tabs>
          <w:tab w:val="clear" w:pos="1069"/>
          <w:tab w:val="num" w:pos="1134"/>
        </w:tabs>
        <w:spacing w:before="120" w:after="120"/>
        <w:ind w:left="851" w:hanging="425"/>
        <w:jc w:val="both"/>
      </w:pPr>
      <w:r>
        <w:t>cieľ kontroly</w:t>
      </w:r>
      <w:r w:rsidR="008C2015">
        <w:t>;</w:t>
      </w:r>
    </w:p>
    <w:p w14:paraId="087B427C" w14:textId="77777777" w:rsidR="00B650E5" w:rsidRDefault="00B650E5">
      <w:pPr>
        <w:numPr>
          <w:ilvl w:val="1"/>
          <w:numId w:val="26"/>
        </w:numPr>
        <w:tabs>
          <w:tab w:val="clear" w:pos="1069"/>
          <w:tab w:val="num" w:pos="1134"/>
        </w:tabs>
        <w:spacing w:before="120" w:after="120"/>
        <w:ind w:left="851" w:hanging="425"/>
        <w:jc w:val="both"/>
      </w:pPr>
      <w:r>
        <w:t>opis zistených nedostatkov a pri porušení osobitných predpisov alebo medzinárodných zmlúv, ktorými je Slovenská republika viazaná a na základe ktorých sa Slovenskej republike poskytujú finančné prostriedky zo zahraničia označenie konkrétnych ustanovení, ktoré boli porušené spolu s návrhmi odporúčaní alebo opatrení na nápravu zistených nedostatkov a na odstránenie príčin ich vzniku, (vrátane kvalifikácie zistených nezrovnalostí alebo zisteného podozrenia z nezrovnalosti) spolu s návrhmi opatrení na nápravu zistených nedostatkov a na odstránenie príčin ich vzniku;</w:t>
      </w:r>
    </w:p>
    <w:p w14:paraId="7BB239E7" w14:textId="77777777" w:rsidR="00B650E5" w:rsidRDefault="00B650E5" w:rsidP="00736062">
      <w:pPr>
        <w:numPr>
          <w:ilvl w:val="1"/>
          <w:numId w:val="26"/>
        </w:numPr>
        <w:tabs>
          <w:tab w:val="clear" w:pos="1069"/>
          <w:tab w:val="num" w:pos="1134"/>
        </w:tabs>
        <w:spacing w:before="120" w:after="120"/>
        <w:ind w:left="851" w:hanging="425"/>
        <w:jc w:val="both"/>
      </w:pPr>
      <w:r>
        <w:t>zoznam príloh preukazujúcich nedostatky zistené kontrolou;</w:t>
      </w:r>
    </w:p>
    <w:p w14:paraId="7F644F38" w14:textId="77777777" w:rsidR="00B650E5" w:rsidRDefault="00B650E5" w:rsidP="00736062">
      <w:pPr>
        <w:numPr>
          <w:ilvl w:val="1"/>
          <w:numId w:val="26"/>
        </w:numPr>
        <w:tabs>
          <w:tab w:val="clear" w:pos="1069"/>
          <w:tab w:val="num" w:pos="1134"/>
        </w:tabs>
        <w:spacing w:before="120" w:after="120"/>
        <w:ind w:left="851" w:hanging="425"/>
        <w:jc w:val="both"/>
      </w:pPr>
      <w:r>
        <w:t>dátum vyhotovenia návrhu čiastkovej správy z kontroly/návrhu správy z  kontroly;</w:t>
      </w:r>
    </w:p>
    <w:p w14:paraId="464024BC" w14:textId="100435EC" w:rsidR="00B650E5" w:rsidRDefault="00B650E5">
      <w:pPr>
        <w:numPr>
          <w:ilvl w:val="1"/>
          <w:numId w:val="26"/>
        </w:numPr>
        <w:tabs>
          <w:tab w:val="clear" w:pos="1069"/>
          <w:tab w:val="num" w:pos="1134"/>
        </w:tabs>
        <w:spacing w:before="120" w:after="120"/>
        <w:ind w:left="851" w:hanging="425"/>
        <w:jc w:val="both"/>
      </w:pPr>
      <w:r>
        <w:t>závery kontroly; </w:t>
      </w:r>
    </w:p>
    <w:p w14:paraId="25CE10D9" w14:textId="77777777" w:rsidR="00B650E5" w:rsidRDefault="00B650E5">
      <w:pPr>
        <w:numPr>
          <w:ilvl w:val="1"/>
          <w:numId w:val="26"/>
        </w:numPr>
        <w:tabs>
          <w:tab w:val="clear" w:pos="1069"/>
          <w:tab w:val="num" w:pos="1134"/>
        </w:tabs>
        <w:spacing w:before="120" w:after="120"/>
        <w:ind w:left="851" w:hanging="425"/>
        <w:jc w:val="both"/>
      </w:pPr>
      <w:r>
        <w:t>zoznam dokladov a iných písomností vzťahujúcich sa k predmetu kontroly;</w:t>
      </w:r>
    </w:p>
    <w:p w14:paraId="6D69126C" w14:textId="0C9551B0" w:rsidR="00B650E5" w:rsidRPr="005D1036" w:rsidRDefault="00B650E5" w:rsidP="00AB2DCC">
      <w:pPr>
        <w:numPr>
          <w:ilvl w:val="1"/>
          <w:numId w:val="26"/>
        </w:numPr>
        <w:tabs>
          <w:tab w:val="clear" w:pos="1069"/>
          <w:tab w:val="num" w:pos="1134"/>
        </w:tabs>
        <w:spacing w:before="120" w:after="120"/>
        <w:ind w:left="851" w:hanging="425"/>
        <w:jc w:val="both"/>
      </w:pPr>
      <w:r>
        <w:t>lehota na podanie námietok k zisteným nedostatkom</w:t>
      </w:r>
      <w:r w:rsidRPr="005D1036">
        <w:t>, navrhnutým odporúčaniam alebo opatreniam  a k lehote na predloženie písomného zoznamu splnených opatrení prijatých na nápravu zistených nedostatkov a na odstránenie príčin ich vzniku</w:t>
      </w:r>
      <w:r w:rsidR="008C2015">
        <w:t>;</w:t>
      </w:r>
    </w:p>
    <w:p w14:paraId="72F49EE9" w14:textId="37A6F1B7" w:rsidR="00B650E5" w:rsidRDefault="006F6B80" w:rsidP="009D6DF9">
      <w:pPr>
        <w:numPr>
          <w:ilvl w:val="1"/>
          <w:numId w:val="26"/>
        </w:numPr>
        <w:tabs>
          <w:tab w:val="clear" w:pos="1069"/>
          <w:tab w:val="num" w:pos="1134"/>
        </w:tabs>
        <w:spacing w:before="120" w:after="120"/>
        <w:ind w:left="851" w:hanging="425"/>
        <w:jc w:val="both"/>
      </w:pPr>
      <w:r>
        <w:lastRenderedPageBreak/>
        <w:t>l</w:t>
      </w:r>
      <w:r w:rsidRPr="006F6B80">
        <w:t>ehota na predloženie písomného zoznamu splnených opatrení prijatých na nápravu zistených nedostatkov a na odstránenie príčin ich</w:t>
      </w:r>
      <w:r w:rsidR="006B163F">
        <w:t xml:space="preserve"> </w:t>
      </w:r>
      <w:r w:rsidR="00B650E5">
        <w:t>vzniku.</w:t>
      </w:r>
    </w:p>
    <w:p w14:paraId="2D813D38" w14:textId="77777777" w:rsidR="00B650E5" w:rsidRDefault="00B650E5">
      <w:pPr>
        <w:pStyle w:val="Odsekzoznamu"/>
        <w:numPr>
          <w:ilvl w:val="0"/>
          <w:numId w:val="32"/>
        </w:numPr>
        <w:spacing w:before="120" w:after="120"/>
        <w:ind w:left="426" w:hanging="426"/>
        <w:contextualSpacing w:val="0"/>
        <w:jc w:val="both"/>
      </w:pPr>
      <w:r>
        <w:t xml:space="preserve">Ak je kontrola vykonaná formou </w:t>
      </w:r>
      <w:r w:rsidRPr="00AB2DCC">
        <w:rPr>
          <w:i/>
        </w:rPr>
        <w:t>finančnej</w:t>
      </w:r>
      <w:r>
        <w:t xml:space="preserve"> </w:t>
      </w:r>
      <w:r>
        <w:rPr>
          <w:i/>
        </w:rPr>
        <w:t>kontroly na mieste</w:t>
      </w:r>
      <w:r>
        <w:t>, minimálnymi náležitosťami návrhu čiastkovej správy z kontroly/správy z kontroly sú okrem náležitostí uvedených v predchádzajúcom odseku aj:</w:t>
      </w:r>
    </w:p>
    <w:p w14:paraId="52164876" w14:textId="77777777" w:rsidR="00B650E5" w:rsidRDefault="00B650E5">
      <w:pPr>
        <w:pStyle w:val="Odsekzoznamu"/>
        <w:numPr>
          <w:ilvl w:val="3"/>
          <w:numId w:val="8"/>
        </w:numPr>
        <w:spacing w:before="120" w:after="120"/>
        <w:ind w:left="851" w:hanging="425"/>
        <w:contextualSpacing w:val="0"/>
        <w:jc w:val="both"/>
      </w:pPr>
      <w:r>
        <w:t>dátum fyzického výkonu finančnej kontroly na mieste;</w:t>
      </w:r>
    </w:p>
    <w:p w14:paraId="3BE6BCC5" w14:textId="77777777" w:rsidR="00B650E5" w:rsidRDefault="00B650E5">
      <w:pPr>
        <w:pStyle w:val="Odsekzoznamu"/>
        <w:numPr>
          <w:ilvl w:val="3"/>
          <w:numId w:val="8"/>
        </w:numPr>
        <w:spacing w:before="120" w:after="120"/>
        <w:ind w:left="851" w:hanging="425"/>
        <w:contextualSpacing w:val="0"/>
        <w:jc w:val="both"/>
      </w:pPr>
      <w:r>
        <w:t>miesto fyzického výkonu finančnej kontroly na mieste;</w:t>
      </w:r>
    </w:p>
    <w:p w14:paraId="1DE4AC9B" w14:textId="77777777" w:rsidR="00B650E5" w:rsidRDefault="00B650E5">
      <w:pPr>
        <w:pStyle w:val="Odsekzoznamu"/>
        <w:numPr>
          <w:ilvl w:val="3"/>
          <w:numId w:val="8"/>
        </w:numPr>
        <w:spacing w:before="120" w:after="120"/>
        <w:ind w:left="851" w:hanging="425"/>
        <w:contextualSpacing w:val="0"/>
        <w:jc w:val="both"/>
      </w:pPr>
      <w:r>
        <w:t>objem skontrolovaných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 finančnej 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t>
      </w:r>
    </w:p>
    <w:p w14:paraId="68BE8462" w14:textId="1A93D5F2" w:rsidR="00B650E5" w:rsidRDefault="00B650E5">
      <w:pPr>
        <w:pStyle w:val="Odsekzoznamu"/>
        <w:numPr>
          <w:ilvl w:val="3"/>
          <w:numId w:val="8"/>
        </w:numPr>
        <w:spacing w:before="120" w:after="120"/>
        <w:ind w:left="851" w:hanging="425"/>
        <w:contextualSpacing w:val="0"/>
        <w:jc w:val="both"/>
      </w:pPr>
      <w:r>
        <w:t>popis použitej metodológie na výber vzorky kontrolovaných finančných prostriedkov (v</w:t>
      </w:r>
      <w:r w:rsidR="002458C7">
        <w:t> </w:t>
      </w:r>
      <w:r>
        <w:t>prípade, ak nebola vykonaná 100</w:t>
      </w:r>
      <w:r w:rsidR="00C93F30">
        <w:t xml:space="preserve"> </w:t>
      </w:r>
      <w:r>
        <w:t>% kontrola deklarovaných výdavkov prijímateľa).</w:t>
      </w:r>
    </w:p>
    <w:p w14:paraId="6FE987C7" w14:textId="77777777" w:rsidR="00B650E5" w:rsidRDefault="00B650E5">
      <w:pPr>
        <w:pStyle w:val="Odsekzoznamu"/>
        <w:numPr>
          <w:ilvl w:val="0"/>
          <w:numId w:val="32"/>
        </w:numPr>
        <w:spacing w:before="120" w:after="120"/>
        <w:ind w:left="426" w:hanging="426"/>
        <w:contextualSpacing w:val="0"/>
        <w:jc w:val="both"/>
      </w:pPr>
      <w:r>
        <w:t>Vzor</w:t>
      </w:r>
      <w:r>
        <w:rPr>
          <w:rStyle w:val="Odkaznapoznmkupodiarou"/>
        </w:rPr>
        <w:footnoteReference w:id="80"/>
      </w:r>
      <w:r>
        <w:t xml:space="preserve"> návrhu čiastkovej správy z kontroly/návrhu správy z kontroly vydáva CKO.</w:t>
      </w:r>
    </w:p>
    <w:p w14:paraId="6D0AD7E0" w14:textId="77777777" w:rsidR="00B650E5" w:rsidRPr="000659CD" w:rsidRDefault="00B650E5">
      <w:pPr>
        <w:numPr>
          <w:ilvl w:val="0"/>
          <w:numId w:val="32"/>
        </w:numPr>
        <w:spacing w:before="120" w:after="120"/>
        <w:ind w:left="426" w:hanging="426"/>
        <w:jc w:val="both"/>
      </w:pPr>
      <w:r w:rsidRPr="000659CD">
        <w:t xml:space="preserve">Minimálnymi obsahovými náležitosťami </w:t>
      </w:r>
      <w:r w:rsidRPr="00AB2DCC">
        <w:rPr>
          <w:b/>
        </w:rPr>
        <w:t>čiastkovej správy</w:t>
      </w:r>
      <w:r>
        <w:rPr>
          <w:b/>
        </w:rPr>
        <w:t xml:space="preserve"> z kontroly/</w:t>
      </w:r>
      <w:r w:rsidRPr="000659CD">
        <w:rPr>
          <w:b/>
        </w:rPr>
        <w:t>správy z kontroly</w:t>
      </w:r>
      <w:r w:rsidRPr="000659CD">
        <w:t xml:space="preserve"> sú:</w:t>
      </w:r>
    </w:p>
    <w:p w14:paraId="54088C82" w14:textId="77777777" w:rsidR="00B650E5" w:rsidRPr="00E81986" w:rsidRDefault="00B650E5">
      <w:pPr>
        <w:pStyle w:val="Odsekzoznamu"/>
        <w:numPr>
          <w:ilvl w:val="0"/>
          <w:numId w:val="39"/>
        </w:numPr>
        <w:spacing w:before="120" w:after="120"/>
        <w:ind w:left="851" w:hanging="425"/>
        <w:contextualSpacing w:val="0"/>
        <w:jc w:val="both"/>
      </w:pPr>
      <w:r w:rsidRPr="00704702">
        <w:t>označenie RO, ktorý kontrolu</w:t>
      </w:r>
      <w:r w:rsidRPr="00F8221C">
        <w:t xml:space="preserve"> vykonal;</w:t>
      </w:r>
    </w:p>
    <w:p w14:paraId="670332DD" w14:textId="77777777" w:rsidR="00B650E5" w:rsidRPr="00342CF6" w:rsidRDefault="00B650E5">
      <w:pPr>
        <w:pStyle w:val="Odsekzoznamu"/>
        <w:numPr>
          <w:ilvl w:val="0"/>
          <w:numId w:val="39"/>
        </w:numPr>
        <w:spacing w:before="120" w:after="120"/>
        <w:ind w:left="851" w:hanging="425"/>
        <w:contextualSpacing w:val="0"/>
        <w:jc w:val="both"/>
      </w:pPr>
      <w:r w:rsidRPr="009D27EA">
        <w:t>mená a priezviská za</w:t>
      </w:r>
      <w:r w:rsidRPr="002D40A7">
        <w:t>mestnancov</w:t>
      </w:r>
      <w:r w:rsidRPr="00342CF6">
        <w:t xml:space="preserve"> RO a prizvaných osôb, ktorí vykonali kontrolu;</w:t>
      </w:r>
    </w:p>
    <w:p w14:paraId="00C327BF" w14:textId="77777777" w:rsidR="00B650E5" w:rsidRPr="00A94623" w:rsidRDefault="00B650E5">
      <w:pPr>
        <w:pStyle w:val="Odsekzoznamu"/>
        <w:numPr>
          <w:ilvl w:val="0"/>
          <w:numId w:val="39"/>
        </w:numPr>
        <w:spacing w:before="120" w:after="120"/>
        <w:ind w:left="851" w:hanging="425"/>
        <w:contextualSpacing w:val="0"/>
        <w:jc w:val="both"/>
      </w:pPr>
      <w:r w:rsidRPr="00B46F8B">
        <w:t>označenie kontrolovanej osoby</w:t>
      </w:r>
      <w:r w:rsidRPr="00A35FB0">
        <w:t>;</w:t>
      </w:r>
    </w:p>
    <w:p w14:paraId="59D88D99" w14:textId="77777777" w:rsidR="00B650E5" w:rsidRPr="00F17AC2" w:rsidRDefault="00B650E5">
      <w:pPr>
        <w:pStyle w:val="Odsekzoznamu"/>
        <w:numPr>
          <w:ilvl w:val="0"/>
          <w:numId w:val="39"/>
        </w:numPr>
        <w:spacing w:before="120" w:after="120"/>
        <w:ind w:left="851" w:hanging="425"/>
        <w:contextualSpacing w:val="0"/>
        <w:jc w:val="both"/>
      </w:pPr>
      <w:r w:rsidRPr="0005078E">
        <w:t xml:space="preserve">označenie formy kontroly (administratívna </w:t>
      </w:r>
      <w:r w:rsidRPr="00CB7B8D">
        <w:t xml:space="preserve">finančná </w:t>
      </w:r>
      <w:r w:rsidRPr="00F17AC2">
        <w:t>kontrola/finančná kontrola na mieste);</w:t>
      </w:r>
    </w:p>
    <w:p w14:paraId="63BCFDCC" w14:textId="77777777" w:rsidR="00B650E5" w:rsidRPr="003425F6" w:rsidRDefault="00B650E5">
      <w:pPr>
        <w:pStyle w:val="Odsekzoznamu"/>
        <w:numPr>
          <w:ilvl w:val="0"/>
          <w:numId w:val="39"/>
        </w:numPr>
        <w:spacing w:before="120" w:after="120"/>
        <w:ind w:left="851" w:hanging="425"/>
        <w:contextualSpacing w:val="0"/>
        <w:jc w:val="both"/>
      </w:pPr>
      <w:r w:rsidRPr="007E4476">
        <w:t xml:space="preserve">identifikačné údaje projektu (názov a kód projektu); </w:t>
      </w:r>
    </w:p>
    <w:p w14:paraId="646170E5" w14:textId="77777777" w:rsidR="00B650E5" w:rsidRPr="002576AF" w:rsidRDefault="00B650E5">
      <w:pPr>
        <w:pStyle w:val="Odsekzoznamu"/>
        <w:numPr>
          <w:ilvl w:val="0"/>
          <w:numId w:val="39"/>
        </w:numPr>
        <w:spacing w:before="120" w:after="120"/>
        <w:ind w:left="851" w:hanging="425"/>
        <w:contextualSpacing w:val="0"/>
        <w:jc w:val="both"/>
      </w:pPr>
      <w:r w:rsidRPr="003425F6">
        <w:t>predmet kontroly;</w:t>
      </w:r>
    </w:p>
    <w:p w14:paraId="0934EFB7" w14:textId="77777777" w:rsidR="00B650E5" w:rsidRPr="000659CD" w:rsidRDefault="00B650E5">
      <w:pPr>
        <w:pStyle w:val="Odsekzoznamu"/>
        <w:numPr>
          <w:ilvl w:val="0"/>
          <w:numId w:val="39"/>
        </w:numPr>
        <w:spacing w:before="120" w:after="120"/>
        <w:ind w:left="851" w:hanging="425"/>
        <w:contextualSpacing w:val="0"/>
        <w:jc w:val="both"/>
      </w:pPr>
      <w:r w:rsidRPr="000659CD">
        <w:t>cieľ kontroly;</w:t>
      </w:r>
    </w:p>
    <w:p w14:paraId="4EDCEFE2" w14:textId="77777777" w:rsidR="00B650E5" w:rsidRPr="000659CD" w:rsidRDefault="00B650E5">
      <w:pPr>
        <w:pStyle w:val="Odsekzoznamu"/>
        <w:numPr>
          <w:ilvl w:val="0"/>
          <w:numId w:val="39"/>
        </w:numPr>
        <w:spacing w:before="120" w:after="120"/>
        <w:ind w:left="851" w:hanging="425"/>
        <w:contextualSpacing w:val="0"/>
        <w:jc w:val="both"/>
      </w:pPr>
      <w:r w:rsidRPr="000659CD">
        <w:t>opis zistených nedostatkov a pri porušení osobitných predpisov, alebo medzinárodných zmlúv, ktorými je Slovenská republika viazaná a na základe ktorých sa Slovenskej republike poskytujú finančné prostriedky zo zahraničia, označenie konkrétnych ustanovení, ktoré boli porušené spolu s odporúčaniami alebo opatreniami navrhnutými na nápravu zistených nedostatkov a na odstránenie príčin ich vzniku so zohľadnením opodstatnenosti podaných námietok,  (vrátane kvalifikácie zistených nezrovnalostí alebo zisteného podozrenia z nezrovnalosti) spolu s návrhmi opatrení na nápravu zistených nedostatkov a na odstránenie príčin ich vzniku so zohľadnením výsledkov opodstatnenosti podaných námietok (ak relevantné);</w:t>
      </w:r>
    </w:p>
    <w:p w14:paraId="0CEB97FB" w14:textId="34835DEF" w:rsidR="00B650E5" w:rsidRPr="000659CD" w:rsidRDefault="00B650E5">
      <w:pPr>
        <w:pStyle w:val="Odsekzoznamu"/>
        <w:numPr>
          <w:ilvl w:val="0"/>
          <w:numId w:val="39"/>
        </w:numPr>
        <w:spacing w:before="120" w:after="120"/>
        <w:ind w:left="851" w:hanging="425"/>
        <w:contextualSpacing w:val="0"/>
        <w:jc w:val="both"/>
      </w:pPr>
      <w:r w:rsidRPr="000659CD">
        <w:t>závery kontroly; </w:t>
      </w:r>
    </w:p>
    <w:p w14:paraId="45323AB8" w14:textId="77777777" w:rsidR="00B650E5" w:rsidRPr="000659CD" w:rsidRDefault="00B650E5">
      <w:pPr>
        <w:pStyle w:val="Odsekzoznamu"/>
        <w:numPr>
          <w:ilvl w:val="0"/>
          <w:numId w:val="39"/>
        </w:numPr>
        <w:spacing w:before="120" w:after="120"/>
        <w:ind w:left="851" w:hanging="425"/>
        <w:contextualSpacing w:val="0"/>
        <w:jc w:val="both"/>
      </w:pPr>
      <w:r w:rsidRPr="000659CD">
        <w:t>zoznam dokladov a iných písomností vzťahujúcich sa k predmetu kontroly;</w:t>
      </w:r>
    </w:p>
    <w:p w14:paraId="33038A13" w14:textId="77777777" w:rsidR="00B650E5" w:rsidRPr="000659CD" w:rsidRDefault="00B650E5">
      <w:pPr>
        <w:pStyle w:val="Odsekzoznamu"/>
        <w:numPr>
          <w:ilvl w:val="0"/>
          <w:numId w:val="39"/>
        </w:numPr>
        <w:spacing w:before="120" w:after="120"/>
        <w:ind w:left="851" w:hanging="425"/>
        <w:contextualSpacing w:val="0"/>
        <w:jc w:val="both"/>
      </w:pPr>
      <w:r w:rsidRPr="000659CD">
        <w:t xml:space="preserve">dátum vyhotovenia čiastkovej správy </w:t>
      </w:r>
      <w:r>
        <w:t>z kontroly/</w:t>
      </w:r>
      <w:r w:rsidRPr="000659CD">
        <w:t>správy z  kontroly;</w:t>
      </w:r>
    </w:p>
    <w:p w14:paraId="29D4BD97" w14:textId="77777777" w:rsidR="00B650E5" w:rsidRPr="000659CD" w:rsidRDefault="00B650E5">
      <w:pPr>
        <w:pStyle w:val="Odsekzoznamu"/>
        <w:numPr>
          <w:ilvl w:val="0"/>
          <w:numId w:val="39"/>
        </w:numPr>
        <w:spacing w:before="120" w:after="120"/>
        <w:ind w:left="851" w:hanging="425"/>
        <w:contextualSpacing w:val="0"/>
        <w:jc w:val="both"/>
      </w:pPr>
      <w:r w:rsidRPr="000659CD">
        <w:lastRenderedPageBreak/>
        <w:t>podpisy zamestnancov RO a prizvaných osôb, ktorí vykonali kontrolu;</w:t>
      </w:r>
    </w:p>
    <w:p w14:paraId="617A16A8" w14:textId="2EB77C6E" w:rsidR="00B650E5" w:rsidRPr="003425F6" w:rsidRDefault="00B650E5">
      <w:pPr>
        <w:pStyle w:val="Odsekzoznamu"/>
        <w:numPr>
          <w:ilvl w:val="0"/>
          <w:numId w:val="39"/>
        </w:numPr>
        <w:spacing w:before="120" w:after="120"/>
        <w:ind w:left="851" w:hanging="425"/>
        <w:contextualSpacing w:val="0"/>
        <w:jc w:val="both"/>
      </w:pPr>
      <w:r w:rsidRPr="000659CD">
        <w:t>dátum doručenia návrhu čiastkovej správy</w:t>
      </w:r>
      <w:r>
        <w:t xml:space="preserve"> z kontroly/</w:t>
      </w:r>
      <w:r w:rsidRPr="00F17AC2">
        <w:t>návrhu správy z  kontroly na</w:t>
      </w:r>
      <w:r w:rsidR="002458C7">
        <w:t> </w:t>
      </w:r>
      <w:r w:rsidRPr="00F17AC2">
        <w:t>oboznámenie kontro</w:t>
      </w:r>
      <w:r w:rsidRPr="007E4476">
        <w:t>lovanej osobe (napr. prijímateľovi), ak relevantné;</w:t>
      </w:r>
    </w:p>
    <w:p w14:paraId="23C40BD7" w14:textId="77777777" w:rsidR="00B650E5" w:rsidRPr="002576AF" w:rsidRDefault="00B650E5">
      <w:pPr>
        <w:pStyle w:val="Odsekzoznamu"/>
        <w:numPr>
          <w:ilvl w:val="0"/>
          <w:numId w:val="39"/>
        </w:numPr>
        <w:spacing w:before="120" w:after="120"/>
        <w:ind w:left="851" w:hanging="425"/>
        <w:contextualSpacing w:val="0"/>
        <w:jc w:val="both"/>
      </w:pPr>
      <w:r w:rsidRPr="003425F6">
        <w:t>informáciu o tom, či kontrolovaná osoba</w:t>
      </w:r>
      <w:r>
        <w:t xml:space="preserve"> </w:t>
      </w:r>
      <w:r w:rsidRPr="003425F6">
        <w:t xml:space="preserve">podala námietky </w:t>
      </w:r>
      <w:r w:rsidRPr="002576AF">
        <w:t>k zisteným nedostatkom, navrhnutým odporúčaniam alebo opatreniam alebo k lehote na predloženie písomného zoznamu splnených opatrení prijatých na náp</w:t>
      </w:r>
      <w:r w:rsidRPr="000659CD">
        <w:t>ravu zistených nedostatkov a na odstránenie príčin ich vzniku uvedených v návrhu čiastkovej správy</w:t>
      </w:r>
      <w:r>
        <w:t xml:space="preserve"> z kontroly/</w:t>
      </w:r>
      <w:r w:rsidRPr="00F17AC2">
        <w:t xml:space="preserve">v návrhu správy </w:t>
      </w:r>
      <w:r>
        <w:t xml:space="preserve">z kontroly </w:t>
      </w:r>
      <w:r w:rsidRPr="00F17AC2">
        <w:t>a spôsob vysporiadania týchto námietok</w:t>
      </w:r>
      <w:r w:rsidRPr="003425F6">
        <w:t xml:space="preserve"> (ak relevantné);</w:t>
      </w:r>
    </w:p>
    <w:p w14:paraId="330704A8" w14:textId="77777777" w:rsidR="00B650E5" w:rsidRPr="000659CD" w:rsidRDefault="00B650E5">
      <w:pPr>
        <w:pStyle w:val="Odsekzoznamu"/>
        <w:numPr>
          <w:ilvl w:val="0"/>
          <w:numId w:val="39"/>
        </w:numPr>
        <w:spacing w:before="120" w:after="120"/>
        <w:ind w:left="851" w:hanging="425"/>
        <w:contextualSpacing w:val="0"/>
        <w:jc w:val="both"/>
      </w:pPr>
      <w:r w:rsidRPr="000659CD">
        <w:t>spôsob vysporiadania námietok (ak relevantné);</w:t>
      </w:r>
    </w:p>
    <w:p w14:paraId="2F4A7ACC" w14:textId="7847448E" w:rsidR="00B650E5" w:rsidRPr="000659CD" w:rsidRDefault="00B650E5" w:rsidP="00997CB0">
      <w:pPr>
        <w:pStyle w:val="Odsekzoznamu"/>
        <w:spacing w:before="120" w:after="120"/>
        <w:ind w:left="851"/>
        <w:contextualSpacing w:val="0"/>
        <w:jc w:val="both"/>
      </w:pPr>
      <w:r w:rsidRPr="000659CD">
        <w:t>,</w:t>
      </w:r>
    </w:p>
    <w:p w14:paraId="5755AED0" w14:textId="77777777" w:rsidR="00B650E5" w:rsidRPr="00F8221C" w:rsidRDefault="00B650E5">
      <w:pPr>
        <w:pStyle w:val="Odsekzoznamu"/>
        <w:numPr>
          <w:ilvl w:val="0"/>
          <w:numId w:val="39"/>
        </w:numPr>
        <w:spacing w:before="120" w:after="120"/>
        <w:ind w:left="851" w:hanging="425"/>
        <w:contextualSpacing w:val="0"/>
        <w:jc w:val="both"/>
      </w:pPr>
      <w:r w:rsidRPr="000659CD">
        <w:t xml:space="preserve">zoznam príloh preukazujúcich </w:t>
      </w:r>
      <w:r w:rsidRPr="00AB2DCC">
        <w:t xml:space="preserve">zistené </w:t>
      </w:r>
      <w:r w:rsidRPr="000659CD">
        <w:t>nedostatky</w:t>
      </w:r>
      <w:r w:rsidRPr="00704702">
        <w:t>,</w:t>
      </w:r>
    </w:p>
    <w:p w14:paraId="0D203F14" w14:textId="77777777" w:rsidR="00B650E5" w:rsidRPr="00A94623" w:rsidRDefault="00B650E5">
      <w:pPr>
        <w:pStyle w:val="Odsekzoznamu"/>
        <w:numPr>
          <w:ilvl w:val="0"/>
          <w:numId w:val="39"/>
        </w:numPr>
        <w:spacing w:before="120" w:after="120"/>
        <w:ind w:left="851" w:hanging="425"/>
        <w:contextualSpacing w:val="0"/>
        <w:jc w:val="both"/>
      </w:pPr>
      <w:r w:rsidRPr="009D27EA">
        <w:t>lehotu na predloženie písomn</w:t>
      </w:r>
      <w:r w:rsidRPr="002D40A7">
        <w:t>ého zoznamu splnených opatrení prijatých na nápravu zistených nedostatkov a na odstránenie príčin ich vzniku</w:t>
      </w:r>
      <w:r w:rsidRPr="00A94623">
        <w:t xml:space="preserve">. </w:t>
      </w:r>
    </w:p>
    <w:p w14:paraId="292089C1" w14:textId="77777777" w:rsidR="00B650E5" w:rsidRPr="00A94623" w:rsidRDefault="00B650E5">
      <w:pPr>
        <w:pStyle w:val="Odsekzoznamu"/>
        <w:numPr>
          <w:ilvl w:val="0"/>
          <w:numId w:val="32"/>
        </w:numPr>
        <w:spacing w:before="120" w:after="120"/>
        <w:ind w:left="426" w:hanging="426"/>
        <w:contextualSpacing w:val="0"/>
        <w:jc w:val="both"/>
      </w:pPr>
      <w:r w:rsidRPr="00A94623">
        <w:t xml:space="preserve">Ak je kontrola vykonaná formou </w:t>
      </w:r>
      <w:r w:rsidRPr="00AB2DCC">
        <w:rPr>
          <w:i/>
        </w:rPr>
        <w:t xml:space="preserve">finančnej </w:t>
      </w:r>
      <w:r w:rsidRPr="00A94623">
        <w:rPr>
          <w:i/>
        </w:rPr>
        <w:t>kontroly na mieste</w:t>
      </w:r>
      <w:r w:rsidRPr="00A94623">
        <w:t xml:space="preserve">, minimálnymi náležitosťami </w:t>
      </w:r>
      <w:r>
        <w:t>čiastkovej správy z kontroly/</w:t>
      </w:r>
      <w:r w:rsidRPr="00A94623">
        <w:t>správy</w:t>
      </w:r>
      <w:r>
        <w:t xml:space="preserve"> z kontroly</w:t>
      </w:r>
      <w:r w:rsidRPr="00A94623">
        <w:t xml:space="preserve"> sú okrem náležitostí uvedených v predchádzajúcom odseku aj:</w:t>
      </w:r>
    </w:p>
    <w:p w14:paraId="60518063" w14:textId="77777777" w:rsidR="00B650E5" w:rsidRPr="00CB7B8D" w:rsidRDefault="00B650E5">
      <w:pPr>
        <w:pStyle w:val="Odsekzoznamu"/>
        <w:numPr>
          <w:ilvl w:val="1"/>
          <w:numId w:val="32"/>
        </w:numPr>
        <w:spacing w:before="120" w:after="120"/>
        <w:ind w:left="851" w:hanging="425"/>
        <w:contextualSpacing w:val="0"/>
        <w:jc w:val="both"/>
      </w:pPr>
      <w:r w:rsidRPr="0005078E">
        <w:t xml:space="preserve">dátum fyzického výkonu </w:t>
      </w:r>
      <w:r>
        <w:t xml:space="preserve">finančnej </w:t>
      </w:r>
      <w:r w:rsidRPr="0005078E">
        <w:t>kontroly na mieste;</w:t>
      </w:r>
    </w:p>
    <w:p w14:paraId="31B7368C" w14:textId="77777777" w:rsidR="00B650E5" w:rsidRPr="00F17AC2" w:rsidRDefault="00B650E5">
      <w:pPr>
        <w:pStyle w:val="Odsekzoznamu"/>
        <w:numPr>
          <w:ilvl w:val="1"/>
          <w:numId w:val="32"/>
        </w:numPr>
        <w:spacing w:before="120" w:after="120"/>
        <w:ind w:left="851" w:hanging="425"/>
        <w:contextualSpacing w:val="0"/>
        <w:jc w:val="both"/>
      </w:pPr>
      <w:r w:rsidRPr="00F17AC2">
        <w:t xml:space="preserve">miesto fyzického výkonu </w:t>
      </w:r>
      <w:r>
        <w:t xml:space="preserve">finančnej </w:t>
      </w:r>
      <w:r w:rsidRPr="00F17AC2">
        <w:t>kontroly na mieste;</w:t>
      </w:r>
    </w:p>
    <w:p w14:paraId="5CB477DE" w14:textId="77777777" w:rsidR="00B650E5" w:rsidRDefault="00B650E5">
      <w:pPr>
        <w:pStyle w:val="Odsekzoznamu"/>
        <w:numPr>
          <w:ilvl w:val="1"/>
          <w:numId w:val="32"/>
        </w:numPr>
        <w:spacing w:before="120" w:after="120"/>
        <w:ind w:left="851" w:hanging="425"/>
        <w:contextualSpacing w:val="0"/>
        <w:jc w:val="both"/>
      </w:pPr>
      <w:r w:rsidRPr="007E4476">
        <w:t>objem skontrolovaných</w:t>
      </w:r>
      <w:r>
        <w:t xml:space="preserve">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 finančnej 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t>
      </w:r>
    </w:p>
    <w:p w14:paraId="126765C7" w14:textId="611DF5A4" w:rsidR="00B650E5" w:rsidRDefault="00B650E5">
      <w:pPr>
        <w:pStyle w:val="Odsekzoznamu"/>
        <w:numPr>
          <w:ilvl w:val="1"/>
          <w:numId w:val="32"/>
        </w:numPr>
        <w:spacing w:before="120" w:after="120"/>
        <w:ind w:left="851" w:hanging="425"/>
        <w:contextualSpacing w:val="0"/>
        <w:jc w:val="both"/>
      </w:pPr>
      <w:r>
        <w:t>popis použitej metodológie na výber vzorky kontrolovaných finančných prostriedkov (v</w:t>
      </w:r>
      <w:r w:rsidR="002458C7">
        <w:t> </w:t>
      </w:r>
      <w:r>
        <w:t>prípade, ak nebola vykonaná 100</w:t>
      </w:r>
      <w:r w:rsidR="00C93F30">
        <w:t xml:space="preserve"> </w:t>
      </w:r>
      <w:r>
        <w:t>% kontrola deklarovaných výdavkov prijímateľa).</w:t>
      </w:r>
    </w:p>
    <w:p w14:paraId="23B84CE0" w14:textId="77777777" w:rsidR="00B650E5" w:rsidRDefault="00B650E5">
      <w:pPr>
        <w:pStyle w:val="Odsekzoznamu"/>
        <w:numPr>
          <w:ilvl w:val="0"/>
          <w:numId w:val="32"/>
        </w:numPr>
        <w:spacing w:before="120" w:after="120"/>
        <w:ind w:left="426" w:hanging="426"/>
        <w:contextualSpacing w:val="0"/>
        <w:jc w:val="both"/>
      </w:pPr>
      <w:r>
        <w:t>Vzor</w:t>
      </w:r>
      <w:r>
        <w:rPr>
          <w:rStyle w:val="Odkaznapoznmkupodiarou"/>
        </w:rPr>
        <w:footnoteReference w:id="81"/>
      </w:r>
      <w:r>
        <w:t xml:space="preserve"> čiastkovej správy z kontroly/správy z kontroly vydá</w:t>
      </w:r>
      <w:r w:rsidR="009407C8">
        <w:t>va</w:t>
      </w:r>
      <w:r>
        <w:t xml:space="preserve"> CKO.</w:t>
      </w:r>
    </w:p>
    <w:p w14:paraId="7069EF16" w14:textId="77777777" w:rsidR="00B650E5" w:rsidRDefault="00B650E5">
      <w:pPr>
        <w:pStyle w:val="Odsekzoznamu"/>
        <w:numPr>
          <w:ilvl w:val="0"/>
          <w:numId w:val="32"/>
        </w:numPr>
        <w:spacing w:before="120" w:after="120"/>
        <w:ind w:left="426" w:hanging="426"/>
        <w:contextualSpacing w:val="0"/>
        <w:jc w:val="both"/>
      </w:pPr>
      <w:r>
        <w:t xml:space="preserve">V prípade, ak boli v rámci kontroly zistené nedostatky je RO povinný vypracovať návrh čiastkovej správy z kontroly/návrh správy z kontroly s určením lehoty na podanie námietok a zároveň doručiť návrh čiastkovej správy z kontroly/návrh správy z kontroly prijímateľovi. RO je povinný dať prijímateľovi lehotu na podanie námietok v trvaní minimálne 5 pracovných dní odo dňa doručenia návrhu čiastkovej správy z kontroly/návrhu správy z kontroly prijímateľovi. </w:t>
      </w:r>
    </w:p>
    <w:p w14:paraId="2B06044C" w14:textId="556590BC" w:rsidR="00B650E5" w:rsidRDefault="00B650E5" w:rsidP="003120E4">
      <w:pPr>
        <w:pStyle w:val="Odsekzoznamu"/>
        <w:numPr>
          <w:ilvl w:val="0"/>
          <w:numId w:val="32"/>
        </w:numPr>
        <w:spacing w:before="120" w:after="120"/>
        <w:ind w:left="426" w:hanging="426"/>
        <w:contextualSpacing w:val="0"/>
        <w:jc w:val="both"/>
      </w:pPr>
      <w:r>
        <w:t xml:space="preserve">V prípade, ak kontrolou neboli zistené nedostatky, vypracuje RO čiastkovú správu z kontroly/ správu z kontroly a zašle ju prijímateľovi. Momentom ukončenia kontroly je zaslanie správy prijímateľovi. </w:t>
      </w:r>
      <w:r w:rsidRPr="001C4524">
        <w:t xml:space="preserve">Zaslaním čiastkovej správy z kontroly je skončená tá časť finančnej kontroly, ktorej sa čiastková správa </w:t>
      </w:r>
      <w:r>
        <w:t xml:space="preserve">z kontroly </w:t>
      </w:r>
      <w:r w:rsidRPr="001C4524">
        <w:t>týka.</w:t>
      </w:r>
      <w:r>
        <w:t xml:space="preserve">  </w:t>
      </w:r>
    </w:p>
    <w:p w14:paraId="20DFA144" w14:textId="0E31D00F" w:rsidR="00B650E5" w:rsidRDefault="00B650E5" w:rsidP="00997CB0">
      <w:pPr>
        <w:pStyle w:val="Odsekzoznamu"/>
        <w:numPr>
          <w:ilvl w:val="0"/>
          <w:numId w:val="32"/>
        </w:numPr>
        <w:spacing w:before="120" w:after="120"/>
        <w:ind w:left="426" w:hanging="426"/>
        <w:contextualSpacing w:val="0"/>
        <w:jc w:val="both"/>
      </w:pPr>
      <w:r>
        <w:t xml:space="preserve">V prípade, ak RO neakceptuje námietky podané prijímateľom, resp. </w:t>
      </w:r>
      <w:r w:rsidR="00397735" w:rsidRPr="00397735">
        <w:t>ak prijímateľ doručí oznámenie, že nemá námietky k zisteným nedostatkom</w:t>
      </w:r>
      <w:r w:rsidR="000F7E20">
        <w:t xml:space="preserve">, navrhnutým odporúčaniam, opatreniam </w:t>
      </w:r>
      <w:r w:rsidR="000F7E20">
        <w:lastRenderedPageBreak/>
        <w:t>alebo k lehote na predloženie písomného zoznamu splnených opatrení prijatých na nápravu zistených nedostatkov a na odstránenie príčin ich vzniku uvedených v návrhu čiastkovej správy z</w:t>
      </w:r>
      <w:r w:rsidR="002458C7">
        <w:t> </w:t>
      </w:r>
      <w:r w:rsidR="000F7E20">
        <w:t>kontroly/návrhu správy z kontroly</w:t>
      </w:r>
      <w:r>
        <w:t xml:space="preserve">, RO vypracuje a zašle čiastkovú správu z kontroly/správu z kontroly prijímateľovi. </w:t>
      </w:r>
      <w:r w:rsidR="00A456F1">
        <w:t xml:space="preserve">Vo vypracovanej správe zohľadní námietky </w:t>
      </w:r>
      <w:r w:rsidR="006F6B80">
        <w:t>prijímateľa, resp.</w:t>
      </w:r>
      <w:r w:rsidR="00A456F1">
        <w:t xml:space="preserve"> odôvodní ich neopodstatnenosť. </w:t>
      </w:r>
      <w:r>
        <w:t xml:space="preserve">Momentom ukončenia kontroly je zaslanie čiastkovej správy z kontroly/správy z kontroly prijímateľovi. Uvedeným nie je dotknutý riadny postup určenia a schválenia </w:t>
      </w:r>
      <w:r w:rsidR="00FB1D18">
        <w:t>ex ante</w:t>
      </w:r>
      <w:r>
        <w:t xml:space="preserve"> finančnej opravy za nedostatky pri VO. </w:t>
      </w:r>
    </w:p>
    <w:p w14:paraId="3E3A7662" w14:textId="28077537" w:rsidR="00B650E5" w:rsidRDefault="00B650E5" w:rsidP="009D6DF9">
      <w:pPr>
        <w:pStyle w:val="Odsekzoznamu"/>
        <w:numPr>
          <w:ilvl w:val="0"/>
          <w:numId w:val="32"/>
        </w:numPr>
        <w:spacing w:before="120" w:after="120"/>
        <w:ind w:left="426" w:hanging="426"/>
        <w:contextualSpacing w:val="0"/>
        <w:jc w:val="both"/>
      </w:pPr>
      <w:r>
        <w:t>Ak RO úplne alebo sčasti akceptuje námietky podané prijímateľom</w:t>
      </w:r>
      <w:r w:rsidR="00985B3E">
        <w:t xml:space="preserve"> </w:t>
      </w:r>
      <w:r w:rsidR="00985B3E" w:rsidRPr="00985B3E">
        <w:t>voči zisteniam uvedených v</w:t>
      </w:r>
      <w:r w:rsidR="002458C7">
        <w:t> </w:t>
      </w:r>
      <w:r w:rsidR="00985B3E" w:rsidRPr="00985B3E">
        <w:t>návrhu čiastkovej správe z kontroly/správe z kontroly</w:t>
      </w:r>
      <w:r>
        <w:t xml:space="preserve">, je povinný zohľadniť opodstatnenosť týchto námietok v čiastkovej správe z kontroly/v správe z kontroly a zaslať túto čiastkovú správu z kontroly/správu z kontroly prijímateľovi. Za moment ukončenia kontroly je v takomto prípade považovaný moment zaslania tejto správy  prijímateľovi. </w:t>
      </w:r>
      <w:r w:rsidRPr="009D6DF9">
        <w:t>Zaslaním čiastkovej správy z kontroly je skončená tá časť finančnej kontroly, ktorej sa čiastková správa z kontroly týka.</w:t>
      </w:r>
    </w:p>
    <w:p w14:paraId="63DC6EC8" w14:textId="4AE09FF7" w:rsidR="00B650E5" w:rsidRDefault="00B650E5">
      <w:pPr>
        <w:pStyle w:val="Odsekzoznamu"/>
        <w:numPr>
          <w:ilvl w:val="0"/>
          <w:numId w:val="32"/>
        </w:numPr>
        <w:spacing w:before="120" w:after="120"/>
        <w:ind w:left="426" w:hanging="426"/>
        <w:contextualSpacing w:val="0"/>
        <w:jc w:val="both"/>
      </w:pPr>
      <w:r>
        <w:t xml:space="preserve">Týmto postupom nie je dotknutá povinnosť uvedená v </w:t>
      </w:r>
      <w:hyperlink w:anchor="kapitola_33611_ods_9" w:tooltip="kapitole 3.3.6.1.1, ods. 9" w:history="1">
        <w:r>
          <w:rPr>
            <w:rStyle w:val="Hypertextovprepojenie"/>
          </w:rPr>
          <w:t xml:space="preserve">kapitole 3.3.6.1.1 ods. </w:t>
        </w:r>
        <w:r w:rsidR="004E0189">
          <w:rPr>
            <w:rStyle w:val="Hypertextovprepojenie"/>
          </w:rPr>
          <w:t>10</w:t>
        </w:r>
      </w:hyperlink>
      <w:r>
        <w:t xml:space="preserve"> v prípadoch zistenia pochybenia zo strany RO aj po ukončení kontroly (napr. v nadväznosti na námietky predložené zo strany prijímateľa po ukončení kontroly). </w:t>
      </w:r>
    </w:p>
    <w:p w14:paraId="1A92DF0D" w14:textId="77777777" w:rsidR="00B650E5" w:rsidRDefault="00B650E5">
      <w:pPr>
        <w:pStyle w:val="SRK5"/>
      </w:pPr>
      <w:bookmarkStart w:id="302" w:name="_Toc453234023"/>
      <w:bookmarkStart w:id="303" w:name="_Toc495649382"/>
      <w:bookmarkStart w:id="304" w:name="kapitola_33614"/>
      <w:r>
        <w:t>3.3.6.1.4 Osobitné ustanovenia pre výkon finančnej kontroly na mieste</w:t>
      </w:r>
      <w:bookmarkEnd w:id="302"/>
      <w:bookmarkEnd w:id="303"/>
    </w:p>
    <w:bookmarkEnd w:id="304"/>
    <w:p w14:paraId="0F83BAE2" w14:textId="26659D20" w:rsidR="00B650E5" w:rsidRDefault="00B650E5">
      <w:pPr>
        <w:pStyle w:val="Odsekzoznamu"/>
        <w:numPr>
          <w:ilvl w:val="0"/>
          <w:numId w:val="233"/>
        </w:numPr>
        <w:spacing w:before="120" w:after="120"/>
        <w:ind w:left="426" w:hanging="426"/>
        <w:contextualSpacing w:val="0"/>
        <w:jc w:val="both"/>
      </w:pPr>
      <w:r>
        <w:t>Cieľom finančnej kontroly na mieste môže byť okrem skutočností uvedených v </w:t>
      </w:r>
      <w:hyperlink w:anchor="kapitola_3361_ods_10" w:tooltip="kapitole 3.3.6.1, ods. 10 " w:history="1">
        <w:r>
          <w:rPr>
            <w:rStyle w:val="Hypertextovprepojenie"/>
          </w:rPr>
          <w:t>kapitole 3.3.6.1 ods. 10</w:t>
        </w:r>
      </w:hyperlink>
      <w:r>
        <w:t xml:space="preserve"> aj reálne overenie skutočností, ktoré boli prijímateľom deklarované v rámci iných kontrol. </w:t>
      </w:r>
    </w:p>
    <w:p w14:paraId="4BA53CAE" w14:textId="77777777" w:rsidR="00B650E5" w:rsidRDefault="00B650E5">
      <w:pPr>
        <w:pStyle w:val="Odsekzoznamu"/>
        <w:numPr>
          <w:ilvl w:val="0"/>
          <w:numId w:val="233"/>
        </w:numPr>
        <w:spacing w:before="120" w:after="120"/>
        <w:ind w:left="426" w:hanging="426"/>
        <w:contextualSpacing w:val="0"/>
        <w:jc w:val="both"/>
        <w:rPr>
          <w:u w:val="single"/>
        </w:rPr>
      </w:pPr>
      <w:r>
        <w:t>Vykonaniu finančnej kontroly na mieste predchádza vystavenie poverenia na výkon finančnej kontroly na mieste, ktorého vzor</w:t>
      </w:r>
      <w:r>
        <w:rPr>
          <w:rStyle w:val="Odkaznapoznmkupodiarou"/>
        </w:rPr>
        <w:footnoteReference w:id="82"/>
      </w:r>
      <w:r>
        <w:t xml:space="preserve"> vydáva CKO.  </w:t>
      </w:r>
    </w:p>
    <w:p w14:paraId="1D15AB1E" w14:textId="77777777" w:rsidR="00B650E5" w:rsidRDefault="00B650E5">
      <w:pPr>
        <w:pStyle w:val="Odsekzoznamu"/>
        <w:numPr>
          <w:ilvl w:val="0"/>
          <w:numId w:val="233"/>
        </w:numPr>
        <w:spacing w:before="120" w:after="120"/>
        <w:ind w:left="426" w:hanging="426"/>
        <w:contextualSpacing w:val="0"/>
        <w:jc w:val="both"/>
      </w:pPr>
      <w:r>
        <w:t xml:space="preserve">Predmetom finančnej kontroly na mieste môžu byť všetky skutočnosti súvisiace s implementáciou projektu a plnením podmienok vyplývajúcich zo zmluvy o NFP, napríklad: </w:t>
      </w:r>
    </w:p>
    <w:p w14:paraId="63525173" w14:textId="77777777" w:rsidR="00B650E5" w:rsidRDefault="00B650E5">
      <w:pPr>
        <w:pStyle w:val="Odsekzoznamu"/>
        <w:numPr>
          <w:ilvl w:val="0"/>
          <w:numId w:val="29"/>
        </w:numPr>
        <w:tabs>
          <w:tab w:val="clear" w:pos="1068"/>
        </w:tabs>
        <w:spacing w:before="120" w:after="120"/>
        <w:ind w:left="851" w:hanging="425"/>
        <w:contextualSpacing w:val="0"/>
        <w:jc w:val="both"/>
      </w:pPr>
      <w:r>
        <w:t>kontrola skutočného dodania tovarov, poskytnutia služieb alebo vykonania prác deklarovaných na faktúrach a iných relevantných dokladoch, ktoré predložil prijímateľ RO ako podpornú 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materiálu vrátane zámeny materiálov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14:paraId="680B816A" w14:textId="77777777" w:rsidR="00B650E5" w:rsidRDefault="00B650E5">
      <w:pPr>
        <w:numPr>
          <w:ilvl w:val="0"/>
          <w:numId w:val="29"/>
        </w:numPr>
        <w:tabs>
          <w:tab w:val="clear" w:pos="1068"/>
        </w:tabs>
        <w:spacing w:before="120" w:after="120"/>
        <w:ind w:left="851" w:hanging="425"/>
        <w:jc w:val="both"/>
      </w:pPr>
      <w:r>
        <w:t>kontrola realizácie aktivít v zmysle zmluvy o NFP;</w:t>
      </w:r>
    </w:p>
    <w:p w14:paraId="1C70BB24" w14:textId="234998A9" w:rsidR="00B650E5" w:rsidRDefault="00B650E5">
      <w:pPr>
        <w:numPr>
          <w:ilvl w:val="0"/>
          <w:numId w:val="29"/>
        </w:numPr>
        <w:tabs>
          <w:tab w:val="clear" w:pos="1068"/>
        </w:tabs>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r w:rsidR="008C2015">
        <w:t>;</w:t>
      </w:r>
    </w:p>
    <w:p w14:paraId="2BC822AE" w14:textId="77777777" w:rsidR="00B650E5" w:rsidRDefault="00B650E5">
      <w:pPr>
        <w:numPr>
          <w:ilvl w:val="0"/>
          <w:numId w:val="29"/>
        </w:numPr>
        <w:tabs>
          <w:tab w:val="clear" w:pos="1068"/>
        </w:tabs>
        <w:spacing w:before="120" w:after="120"/>
        <w:ind w:left="851" w:hanging="425"/>
        <w:jc w:val="both"/>
      </w:pPr>
      <w:r>
        <w:t xml:space="preserve">kontrola skutočností uvedených v nárokoch zhotoviteľa a zmenách diela odsúhlasovaných hlavným stavebným dozorom pri dielach realizovaných podľa tzv. žltej alebo červenej knihy FIDIC, </w:t>
      </w:r>
    </w:p>
    <w:p w14:paraId="37E73571" w14:textId="77777777" w:rsidR="00B650E5" w:rsidRDefault="00B650E5">
      <w:pPr>
        <w:numPr>
          <w:ilvl w:val="0"/>
          <w:numId w:val="29"/>
        </w:numPr>
        <w:tabs>
          <w:tab w:val="clear" w:pos="1068"/>
        </w:tabs>
        <w:spacing w:before="120" w:after="120"/>
        <w:ind w:left="851" w:hanging="425"/>
        <w:jc w:val="both"/>
      </w:pPr>
      <w:r>
        <w:lastRenderedPageBreak/>
        <w:t>kontrola súladu realizácie projektu so zmluvou o NFP (výstupmi projektu vyjadrenými merateľnými ukazovateľmi, rozpočtom, harmonogramom realizácie aktivít projektu a pod.), príp. kontrola plnenia ďalších podmienok uvedených v zmluve o NFP;</w:t>
      </w:r>
    </w:p>
    <w:p w14:paraId="3BFA0DC9" w14:textId="77777777" w:rsidR="00B650E5" w:rsidRDefault="00B650E5">
      <w:pPr>
        <w:numPr>
          <w:ilvl w:val="0"/>
          <w:numId w:val="29"/>
        </w:numPr>
        <w:tabs>
          <w:tab w:val="clear" w:pos="1068"/>
        </w:tabs>
        <w:spacing w:before="120" w:after="120"/>
        <w:ind w:left="851" w:hanging="425"/>
        <w:jc w:val="both"/>
      </w:pPr>
      <w:r>
        <w:t>kontrola, či prijímateľ predkladá správne informácie ohľadom fyzického pokroku realizácie projektu a plnenia si ďalších povinností vyplývajúcich zo zmluvy o NFP;</w:t>
      </w:r>
    </w:p>
    <w:p w14:paraId="02EFBAC7" w14:textId="77777777" w:rsidR="00B650E5" w:rsidRDefault="00B650E5">
      <w:pPr>
        <w:numPr>
          <w:ilvl w:val="0"/>
          <w:numId w:val="29"/>
        </w:numPr>
        <w:tabs>
          <w:tab w:val="clear" w:pos="1068"/>
        </w:tabs>
        <w:spacing w:before="120" w:after="120"/>
        <w:ind w:left="851" w:hanging="425"/>
        <w:jc w:val="both"/>
      </w:pPr>
      <w:r>
        <w:t>kontrola, či sú v účtovnom systéme prijímateľa zaúčtované všetky skutočnosti, ktoré sa týkajú projektu a sú predmetom účtovníctva podľa zákona o účtovníctve, a to buď  na 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sa jedná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14:paraId="41DD2734" w14:textId="77777777" w:rsidR="00B650E5" w:rsidRDefault="00B650E5">
      <w:pPr>
        <w:numPr>
          <w:ilvl w:val="0"/>
          <w:numId w:val="29"/>
        </w:numPr>
        <w:tabs>
          <w:tab w:val="clear" w:pos="1068"/>
        </w:tabs>
        <w:spacing w:before="120" w:after="120"/>
        <w:ind w:left="851" w:hanging="425"/>
        <w:jc w:val="both"/>
      </w:pPr>
      <w:r>
        <w:t>kontrola dodržiavania podmienok vyplývajúcich z monitorovania a vrátenia čistých príjmov;</w:t>
      </w:r>
    </w:p>
    <w:p w14:paraId="5C35D799" w14:textId="77777777" w:rsidR="00B650E5" w:rsidRDefault="00B650E5">
      <w:pPr>
        <w:numPr>
          <w:ilvl w:val="0"/>
          <w:numId w:val="29"/>
        </w:numPr>
        <w:tabs>
          <w:tab w:val="clear" w:pos="1068"/>
        </w:tabs>
        <w:spacing w:before="120" w:after="120"/>
        <w:ind w:left="851" w:hanging="425"/>
        <w:jc w:val="both"/>
      </w:pPr>
      <w:r>
        <w:t xml:space="preserve">kontrola dokumentácie VO (pozn. nejedná sa o finančnú kontrolu VO, ale napr. o overenie súladu dokumentácie predloženej RO s dokumentáciou archivovanou prijímateľom);  </w:t>
      </w:r>
    </w:p>
    <w:p w14:paraId="189CF408" w14:textId="77777777" w:rsidR="00B650E5" w:rsidRDefault="00B650E5">
      <w:pPr>
        <w:numPr>
          <w:ilvl w:val="0"/>
          <w:numId w:val="29"/>
        </w:numPr>
        <w:tabs>
          <w:tab w:val="clear" w:pos="1068"/>
        </w:tabs>
        <w:spacing w:before="120" w:after="120"/>
        <w:ind w:left="851" w:hanging="425"/>
        <w:jc w:val="both"/>
      </w:pPr>
      <w:r>
        <w:t>kontrola dodržiavania pravidiel publicity;</w:t>
      </w:r>
    </w:p>
    <w:p w14:paraId="584A9C83" w14:textId="77777777" w:rsidR="00B650E5" w:rsidRDefault="00B650E5">
      <w:pPr>
        <w:numPr>
          <w:ilvl w:val="0"/>
          <w:numId w:val="29"/>
        </w:numPr>
        <w:tabs>
          <w:tab w:val="clear" w:pos="1068"/>
        </w:tabs>
        <w:spacing w:before="120" w:after="120"/>
        <w:ind w:left="851" w:hanging="425"/>
        <w:jc w:val="both"/>
      </w:pPr>
      <w:r>
        <w:t>kontrola súladu s HP;</w:t>
      </w:r>
    </w:p>
    <w:p w14:paraId="416343FA" w14:textId="77777777" w:rsidR="00B650E5" w:rsidRDefault="00B650E5">
      <w:pPr>
        <w:numPr>
          <w:ilvl w:val="0"/>
          <w:numId w:val="29"/>
        </w:numPr>
        <w:tabs>
          <w:tab w:val="clear" w:pos="1068"/>
        </w:tabs>
        <w:spacing w:before="120" w:after="120"/>
        <w:ind w:left="851" w:hanging="425"/>
        <w:jc w:val="both"/>
      </w:pPr>
      <w:r>
        <w:t xml:space="preserve">kontrola dodržiavania pravidiel poskytnutia štátnej pomoci/ pomoci de minimis; </w:t>
      </w:r>
    </w:p>
    <w:p w14:paraId="1833A75D" w14:textId="77777777" w:rsidR="00B650E5" w:rsidRDefault="00B650E5">
      <w:pPr>
        <w:numPr>
          <w:ilvl w:val="0"/>
          <w:numId w:val="29"/>
        </w:numPr>
        <w:tabs>
          <w:tab w:val="clear" w:pos="1068"/>
        </w:tabs>
        <w:spacing w:before="120" w:after="120"/>
        <w:ind w:left="851" w:hanging="425"/>
        <w:jc w:val="both"/>
      </w:pPr>
      <w:r>
        <w:t>kontrola odstránenia nedostatkov a plnenia prijatých opatrení identifikovaných príslušnými kontrolnými orgánmi;</w:t>
      </w:r>
    </w:p>
    <w:p w14:paraId="10A85096" w14:textId="77777777" w:rsidR="00B650E5" w:rsidRDefault="00B650E5">
      <w:pPr>
        <w:numPr>
          <w:ilvl w:val="0"/>
          <w:numId w:val="29"/>
        </w:numPr>
        <w:tabs>
          <w:tab w:val="clear" w:pos="1068"/>
        </w:tabs>
        <w:spacing w:before="120" w:after="120"/>
        <w:ind w:left="851" w:hanging="425"/>
        <w:jc w:val="both"/>
      </w:pPr>
      <w:r>
        <w:t>kontrola, či prijímateľ uchováva dokumenty podpornej dokumentácie v originálnom vyhotovení vzhľadom na dobu uvedenú vo všeobecnom nariadení (ďalej aj „archivácia dokumentov súvisiacich s projektom“);</w:t>
      </w:r>
    </w:p>
    <w:p w14:paraId="24284E01" w14:textId="77777777" w:rsidR="00B650E5" w:rsidRDefault="00B650E5">
      <w:pPr>
        <w:numPr>
          <w:ilvl w:val="0"/>
          <w:numId w:val="29"/>
        </w:numPr>
        <w:tabs>
          <w:tab w:val="clear" w:pos="1068"/>
        </w:tabs>
        <w:spacing w:before="120" w:after="120"/>
        <w:ind w:left="851" w:hanging="425"/>
        <w:jc w:val="both"/>
      </w:pPr>
      <w:r>
        <w:t>kontrola neprekrývania sa výdavkov;</w:t>
      </w:r>
    </w:p>
    <w:p w14:paraId="39454917" w14:textId="77777777" w:rsidR="00B650E5" w:rsidRDefault="00B650E5">
      <w:pPr>
        <w:numPr>
          <w:ilvl w:val="0"/>
          <w:numId w:val="29"/>
        </w:numPr>
        <w:tabs>
          <w:tab w:val="clear" w:pos="1068"/>
        </w:tabs>
        <w:spacing w:before="120" w:after="120"/>
        <w:ind w:left="851" w:hanging="425"/>
        <w:jc w:val="both"/>
      </w:pPr>
      <w:r>
        <w:t xml:space="preserve">kontrola udržateľnosti projektu. </w:t>
      </w:r>
    </w:p>
    <w:p w14:paraId="3211D132" w14:textId="77777777" w:rsidR="00B650E5" w:rsidRDefault="00B650E5">
      <w:pPr>
        <w:pStyle w:val="Odsekzoznamu"/>
        <w:numPr>
          <w:ilvl w:val="0"/>
          <w:numId w:val="233"/>
        </w:numPr>
        <w:spacing w:before="120" w:after="120"/>
        <w:ind w:left="426" w:hanging="426"/>
        <w:contextualSpacing w:val="0"/>
        <w:jc w:val="both"/>
      </w:pPr>
      <w:bookmarkStart w:id="305" w:name="kapitola_33614_ods_4"/>
      <w:r>
        <w:t xml:space="preserve">RO je povinný finančnou kontrolou na mieste minimálne jedenkrát počas realizácie projektu overiť: </w:t>
      </w:r>
    </w:p>
    <w:bookmarkEnd w:id="305"/>
    <w:p w14:paraId="70933CD5" w14:textId="77777777" w:rsidR="00B650E5" w:rsidRDefault="00B650E5">
      <w:pPr>
        <w:pStyle w:val="Odsekzoznamu"/>
        <w:numPr>
          <w:ilvl w:val="1"/>
          <w:numId w:val="344"/>
        </w:numPr>
        <w:spacing w:before="120" w:after="120"/>
        <w:ind w:left="851" w:hanging="425"/>
        <w:contextualSpacing w:val="0"/>
        <w:jc w:val="both"/>
      </w:pPr>
      <w:r>
        <w:t>skutočné dodanie tovarov, poskytnutie služieb a vykonanie stavebných prác;</w:t>
      </w:r>
    </w:p>
    <w:p w14:paraId="5B91B721" w14:textId="77777777" w:rsidR="00B650E5" w:rsidRDefault="00B650E5">
      <w:pPr>
        <w:pStyle w:val="Odsekzoznamu"/>
        <w:numPr>
          <w:ilvl w:val="1"/>
          <w:numId w:val="344"/>
        </w:numPr>
        <w:spacing w:before="120" w:after="120"/>
        <w:ind w:left="851" w:hanging="425"/>
        <w:contextualSpacing w:val="0"/>
        <w:jc w:val="both"/>
      </w:pPr>
      <w:r>
        <w:t>vedenie účtovníctva o skutočnostiach týkajúcich sa projektu;</w:t>
      </w:r>
    </w:p>
    <w:p w14:paraId="002B61A8" w14:textId="77777777" w:rsidR="00B650E5" w:rsidRDefault="00B650E5">
      <w:pPr>
        <w:pStyle w:val="Odsekzoznamu"/>
        <w:numPr>
          <w:ilvl w:val="1"/>
          <w:numId w:val="344"/>
        </w:numPr>
        <w:spacing w:before="120" w:after="120"/>
        <w:ind w:left="851" w:hanging="425"/>
        <w:contextualSpacing w:val="0"/>
        <w:jc w:val="both"/>
      </w:pPr>
      <w:r>
        <w:t>archiváciu dokumentov a podkladov súvisiacich s projektom;</w:t>
      </w:r>
    </w:p>
    <w:p w14:paraId="1B4E1664" w14:textId="77777777" w:rsidR="00B650E5" w:rsidRDefault="00B650E5">
      <w:pPr>
        <w:pStyle w:val="Odsekzoznamu"/>
        <w:numPr>
          <w:ilvl w:val="1"/>
          <w:numId w:val="344"/>
        </w:numPr>
        <w:spacing w:before="120" w:after="120"/>
        <w:ind w:left="851" w:hanging="425"/>
        <w:contextualSpacing w:val="0"/>
        <w:jc w:val="both"/>
      </w:pPr>
      <w:r>
        <w:t>publicitu projektu;</w:t>
      </w:r>
    </w:p>
    <w:p w14:paraId="1DBDC230" w14:textId="77777777" w:rsidR="00B650E5" w:rsidRPr="00803C14" w:rsidRDefault="00B650E5">
      <w:pPr>
        <w:pStyle w:val="Odsekzoznamu"/>
        <w:numPr>
          <w:ilvl w:val="1"/>
          <w:numId w:val="344"/>
        </w:numPr>
        <w:spacing w:before="120" w:after="120"/>
        <w:ind w:left="851" w:hanging="425"/>
        <w:contextualSpacing w:val="0"/>
        <w:jc w:val="both"/>
      </w:pPr>
      <w:r w:rsidRPr="00997CB0">
        <w:t>realizáciu projektu u</w:t>
      </w:r>
      <w:r w:rsidRPr="00F12951">
        <w:t> </w:t>
      </w:r>
      <w:r w:rsidRPr="00997CB0">
        <w:t>partnera/partnerov prijímateľa.</w:t>
      </w:r>
      <w:r w:rsidRPr="005841B2">
        <w:t xml:space="preserve"> </w:t>
      </w:r>
    </w:p>
    <w:p w14:paraId="13CF74B8" w14:textId="77777777" w:rsidR="00B650E5" w:rsidRDefault="00B650E5">
      <w:pPr>
        <w:pStyle w:val="Odsekzoznamu"/>
        <w:numPr>
          <w:ilvl w:val="0"/>
          <w:numId w:val="233"/>
        </w:numPr>
        <w:spacing w:before="120" w:after="120"/>
        <w:ind w:left="426" w:hanging="426"/>
        <w:contextualSpacing w:val="0"/>
        <w:jc w:val="both"/>
      </w:pPr>
      <w:r>
        <w:t xml:space="preserve">RO vykonáva finančnú kontrolu projektu na mieste ako celku, </w:t>
      </w:r>
      <w:r w:rsidR="00C93F30">
        <w:t xml:space="preserve">t. j. </w:t>
      </w:r>
      <w:r w:rsidRPr="005841B2">
        <w:t xml:space="preserve"> v prípade existencie partnerov prijímateľa je povinný vykonať predmetnú kontrolu u každého z nich</w:t>
      </w:r>
      <w:r w:rsidRPr="00997CB0">
        <w:t>, v závislosti od cieľov a zamerania finančnej kontroly projektu na mieste</w:t>
      </w:r>
      <w:r w:rsidRPr="005841B2">
        <w:t>.</w:t>
      </w:r>
    </w:p>
    <w:p w14:paraId="18BD830C" w14:textId="77777777" w:rsidR="00B650E5" w:rsidRDefault="00B650E5">
      <w:pPr>
        <w:pStyle w:val="Odsekzoznamu"/>
        <w:numPr>
          <w:ilvl w:val="0"/>
          <w:numId w:val="233"/>
        </w:numPr>
        <w:spacing w:before="120" w:after="120"/>
        <w:ind w:left="426" w:hanging="426"/>
        <w:contextualSpacing w:val="0"/>
        <w:jc w:val="both"/>
      </w:pPr>
      <w:r>
        <w:t xml:space="preserve">RO vykonáva finančnú kontrolu na mieste na základe poverenia na výkon finančnej kontroly na mieste. </w:t>
      </w:r>
    </w:p>
    <w:p w14:paraId="2DFE112D" w14:textId="77777777" w:rsidR="00B650E5" w:rsidRDefault="00B650E5">
      <w:pPr>
        <w:pStyle w:val="Odsekzoznamu"/>
        <w:numPr>
          <w:ilvl w:val="0"/>
          <w:numId w:val="233"/>
        </w:numPr>
        <w:spacing w:before="120" w:after="120"/>
        <w:ind w:left="426" w:hanging="426"/>
        <w:contextualSpacing w:val="0"/>
        <w:jc w:val="both"/>
      </w:pPr>
      <w:r>
        <w:lastRenderedPageBreak/>
        <w:t xml:space="preserve">RO vykonáva finančnú kontrolu na mieste podľa kontrolného zoznamu pre vykonanie finančnej kontroly na mieste, ktorého štruktúra a minimálny rozsah kontrolných otázok je tvorený v závislosti od zvoleného predmetu finančnej kontroly na mieste. Minimálny rozsah kontrolných otázok, ktorý musí byť súčasťou minimálne jedného výkonu finančnej kontroly na mieste je stanovený vo vzore vydanom CKO (predmet kontroly č.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w:t>
      </w:r>
    </w:p>
    <w:p w14:paraId="06E5C21E" w14:textId="77777777" w:rsidR="00B650E5" w:rsidRDefault="00B650E5">
      <w:pPr>
        <w:pStyle w:val="Odsekzoznamu"/>
        <w:numPr>
          <w:ilvl w:val="0"/>
          <w:numId w:val="233"/>
        </w:numPr>
        <w:spacing w:before="120" w:after="120"/>
        <w:ind w:left="426" w:hanging="426"/>
        <w:contextualSpacing w:val="0"/>
        <w:jc w:val="both"/>
      </w:pPr>
      <w:r>
        <w:t xml:space="preserve">RO zabezpečí, aby bola finančná kontrola na mieste vykonávaná minimálne dvoma osobami. V prípade, že predmet finančnej kontroly na mieste je súčasťou prebiehajúcej alebo už vykonanej administratívnej finančnej kontroly a zároveň osoba, ktorá vykonáva/vykonala takúto administratívnu finančnú kontrolu je odlišná od osoby, ktorá vykonáva finančnú kontrolu na mieste, je RO povinný zabezpečiť obojstrannú výmenu informácií o výsledkoch jednotlivých kontrol. </w:t>
      </w:r>
    </w:p>
    <w:p w14:paraId="3754B96A" w14:textId="77777777" w:rsidR="00B650E5" w:rsidRDefault="00B650E5">
      <w:pPr>
        <w:pStyle w:val="Odsekzoznamu"/>
        <w:numPr>
          <w:ilvl w:val="0"/>
          <w:numId w:val="233"/>
        </w:numPr>
        <w:spacing w:before="120" w:after="120"/>
        <w:ind w:left="426" w:hanging="426"/>
        <w:contextualSpacing w:val="0"/>
        <w:jc w:val="both"/>
      </w:pPr>
      <w:r>
        <w:t xml:space="preserve">V súvislosti s implementáciou projektov spolufinancovaných z ESF je RO povinný vykonať minimálne jednu finančnú  kontrolu na mieste počas obdobia realizácie aktivít projektu. V súvislosti s implementáciou fondov a ENRF, je RO povinný vykonať minimálne jednu finančnú kontrolu na mieste počas obdobia realizácie projektu.  Výnimku z povinnosti RO vykonať finančnú kontrolu na mieste minimálne jedenkrát počas realizácie projektu tvoria projekty, pri implementácii ktorých je na RO zasielaná kompletná relevantná dokumentácia (vrátane dokumentácie preukazujúcej reálnosť projektu), pričom v tomto prípade platí, že ak RO nevykoná finančnú kontrolu na mieste, je povinný overiť skutočnosti uvedené v </w:t>
      </w:r>
      <w:hyperlink w:anchor="kapitola_33614_ods_4" w:tooltip="ods. 4, písm. a), b) a d) tejto kapitoly" w:history="1">
        <w:r>
          <w:rPr>
            <w:rStyle w:val="Hypertextovprepojenie"/>
          </w:rPr>
          <w:t>ods. 4, písm. a), b) a d) tejto kapitoly</w:t>
        </w:r>
      </w:hyperlink>
      <w:r>
        <w:t xml:space="preserve"> formou administratívnej finančnej kontroly minimálne jedenkrát počas realizácie projektu.</w:t>
      </w:r>
    </w:p>
    <w:p w14:paraId="4859DA0B" w14:textId="77777777" w:rsidR="00B650E5" w:rsidRDefault="00B650E5">
      <w:pPr>
        <w:pStyle w:val="Odsekzoznamu"/>
        <w:numPr>
          <w:ilvl w:val="0"/>
          <w:numId w:val="233"/>
        </w:numPr>
        <w:spacing w:before="120" w:after="120"/>
        <w:ind w:left="426" w:hanging="426"/>
        <w:contextualSpacing w:val="0"/>
        <w:jc w:val="both"/>
      </w:pPr>
      <w:r>
        <w:t>Pokiaľ RO nevie získať primerané uistenie o správnosti a zákonnosti výdavkov na základe minimálne stanovenej jednej finančnej kontroly na mieste, je RO povinný vykonať viacero finančných kontrol na mieste. RO si vzhľadom na uvedené stanoví frekvenciu a rozsah</w:t>
      </w:r>
      <w:r>
        <w:rPr>
          <w:rStyle w:val="Odkaznapoznmkupodiarou"/>
        </w:rPr>
        <w:footnoteReference w:id="83"/>
      </w:r>
      <w:r>
        <w:t xml:space="preserve"> vykonávania finančných kontrol na mieste, v závislosti od charakteru a komplexnosti projektu s ohľadom na dosiahnutý stupeň fyzického a finančného pokroku jeho implementácie. K tomuto účelu si RO  vypracuje analýzu rizík, ktorá bude uvedené aspekty zohľadňovať a ktorú bude povinne využívať. Minimálne povinné náležitosti analýzy rizík</w:t>
      </w:r>
      <w:r w:rsidRPr="00DE5D89">
        <w:rPr>
          <w:rStyle w:val="Odkaznapoznmkupodiarou"/>
        </w:rPr>
        <w:footnoteReference w:id="84"/>
      </w:r>
      <w:r>
        <w:t xml:space="preserve"> stanoví CKO</w:t>
      </w:r>
      <w:r>
        <w:rPr>
          <w:rStyle w:val="Odkaznapoznmkupodiarou"/>
        </w:rPr>
        <w:footnoteReference w:id="85"/>
      </w:r>
      <w:r>
        <w:t xml:space="preserve">. </w:t>
      </w:r>
    </w:p>
    <w:p w14:paraId="3A0EBD3A" w14:textId="7380A58B" w:rsidR="00B650E5" w:rsidRDefault="00B650E5">
      <w:pPr>
        <w:pStyle w:val="Odsekzoznamu"/>
        <w:numPr>
          <w:ilvl w:val="0"/>
          <w:numId w:val="233"/>
        </w:numPr>
        <w:spacing w:before="120" w:after="120"/>
        <w:ind w:left="426" w:hanging="426"/>
        <w:contextualSpacing w:val="0"/>
        <w:jc w:val="both"/>
      </w:pPr>
      <w:r>
        <w:t xml:space="preserve">RO je povinný oznámiť prijímateľovi termín </w:t>
      </w:r>
      <w:r w:rsidR="00CE2A88">
        <w:t xml:space="preserve">a cieľ výkonu </w:t>
      </w:r>
      <w:r>
        <w:t>finančnej kontroly na mieste</w:t>
      </w:r>
      <w:r w:rsidR="00CE2A88">
        <w:t>, pokiaľ zákon o finančnej kontrole neustanovuje inak</w:t>
      </w:r>
      <w:r>
        <w:t>. RO oznamuje termín začatia fyzického výkonu finančnej kontroly na mieste najmenej 3 pracovné dni vopred</w:t>
      </w:r>
      <w:r w:rsidR="007324D5">
        <w:t>,</w:t>
      </w:r>
      <w:r>
        <w:t xml:space="preserve"> a to v závislosti od komunikácie medzi prijímateľom a RO stanovenej v zmluve o NFP. V prípade, že finančná kontrola na mieste je zameraná aj na zistenie reálnosti projektu (napr. vo vzťahu k realizovaným aktivitám), môže RO oznámiť termín začatia finančnej kontroly na mieste a</w:t>
      </w:r>
      <w:r w:rsidR="006B163F">
        <w:t xml:space="preserve"> cieľ </w:t>
      </w:r>
      <w:r>
        <w:t>finančnej kontroly na mieste priamo pri začatí fyzického výkonu finančnej kontroly na mieste. Vzor</w:t>
      </w:r>
      <w:r>
        <w:rPr>
          <w:rStyle w:val="Odkaznapoznmkupodiarou"/>
        </w:rPr>
        <w:footnoteReference w:id="86"/>
      </w:r>
      <w:r>
        <w:t xml:space="preserve"> oznámenia o vykonaní finančnej kontroly na mieste vydáva CKO.    </w:t>
      </w:r>
    </w:p>
    <w:p w14:paraId="627E1CC1" w14:textId="77777777" w:rsidR="00B650E5" w:rsidRDefault="00B650E5" w:rsidP="008317E3">
      <w:pPr>
        <w:pStyle w:val="Odsekzoznamu"/>
        <w:numPr>
          <w:ilvl w:val="0"/>
          <w:numId w:val="233"/>
        </w:numPr>
        <w:spacing w:before="120" w:after="120"/>
        <w:ind w:left="426" w:hanging="426"/>
        <w:contextualSpacing w:val="0"/>
        <w:jc w:val="both"/>
      </w:pPr>
      <w:r>
        <w:lastRenderedPageBreak/>
        <w:t>Poverení zamestnanci RO sú pri začatí fyzického výkonu kontroly povinní</w:t>
      </w:r>
      <w:r w:rsidDel="00F8221C">
        <w:t xml:space="preserve"> </w:t>
      </w:r>
      <w:r>
        <w:t>voči kontrolovanej osobe</w:t>
      </w:r>
      <w:r w:rsidDel="00F8221C">
        <w:t xml:space="preserve"> </w:t>
      </w:r>
      <w:r>
        <w:t xml:space="preserve">preukázať sa písomným poverením </w:t>
      </w:r>
      <w:r w:rsidRPr="005D1036">
        <w:t>na vykonanie finančnej kontroly na mieste a</w:t>
      </w:r>
      <w:r>
        <w:t> umožniť nahliadnuť do</w:t>
      </w:r>
      <w:r w:rsidRPr="005D1036">
        <w:t xml:space="preserve"> preukazu totožnosti alebo služobného preukazu.</w:t>
      </w:r>
      <w:r>
        <w:t xml:space="preserve"> </w:t>
      </w:r>
    </w:p>
    <w:p w14:paraId="1B220B48" w14:textId="77777777" w:rsidR="00B650E5" w:rsidRDefault="00B650E5">
      <w:pPr>
        <w:pStyle w:val="Odsekzoznamu"/>
        <w:numPr>
          <w:ilvl w:val="0"/>
          <w:numId w:val="233"/>
        </w:numPr>
        <w:spacing w:before="120" w:after="120"/>
        <w:ind w:left="426" w:hanging="426"/>
        <w:contextualSpacing w:val="0"/>
        <w:jc w:val="both"/>
      </w:pPr>
      <w:r>
        <w:t xml:space="preserve">Zamestnanci RO sú povinní vydať prijímateľovi potvrdenie o odobratí originálov dokladov, písomností a iných materiálov mimo priestorov prijímateľa v prípade, ak je toto odobratie nevyhnutné na výkon finančnej kontroly na mieste. </w:t>
      </w:r>
    </w:p>
    <w:p w14:paraId="0417839B" w14:textId="77777777" w:rsidR="00B650E5" w:rsidRDefault="00B650E5">
      <w:pPr>
        <w:pStyle w:val="Odsekzoznamu"/>
        <w:numPr>
          <w:ilvl w:val="0"/>
          <w:numId w:val="233"/>
        </w:numPr>
        <w:spacing w:before="120" w:after="120"/>
        <w:ind w:left="426" w:hanging="426"/>
        <w:contextualSpacing w:val="0"/>
        <w:jc w:val="both"/>
      </w:pPr>
      <w:r>
        <w:t>RO má povinnosť zabezpečiť riadnu ochranu odobratých originálov dokladov, písomností a iných materiálov pred stratou, zničením, poškodením a zneužitím a vrátiť ich prijímateľovi, ak už nie sú potrebné na ďalší výkon finančnej kontroly na mieste a vrátiť ich  bezodkladne tomu, od koho sa vyžiadali, ak nie sú potrebné na konanie podľa Trestného poriadku, alebo na iné konanie podľa osobitných predpisov</w:t>
      </w:r>
      <w:bookmarkStart w:id="306" w:name="_Ref427589380"/>
      <w:r w:rsidRPr="005D1036">
        <w:rPr>
          <w:rStyle w:val="Odkaznapoznmkupodiarou"/>
        </w:rPr>
        <w:footnoteReference w:id="87"/>
      </w:r>
      <w:bookmarkEnd w:id="306"/>
      <w:r>
        <w:t xml:space="preserve">. </w:t>
      </w:r>
    </w:p>
    <w:p w14:paraId="15207880" w14:textId="77777777" w:rsidR="00B650E5" w:rsidRDefault="00B650E5">
      <w:pPr>
        <w:pStyle w:val="Odsekzoznamu"/>
        <w:numPr>
          <w:ilvl w:val="0"/>
          <w:numId w:val="233"/>
        </w:numPr>
        <w:spacing w:before="120" w:after="120"/>
        <w:ind w:left="426" w:hanging="426"/>
        <w:contextualSpacing w:val="0"/>
        <w:jc w:val="both"/>
      </w:pPr>
      <w:r>
        <w:t>RO je oprávnený vstupovať do objektu, zariadenia, prevádzky, dopravného prostriedku alebo na pozemok prijímateľa, do obydlia, ktoré prijímateľ používa na podnikanie alebo na vykonávanie hospodárskej činnosti, ak je to nevyhnutné na výkon finančnej kontroly na mieste.</w:t>
      </w:r>
    </w:p>
    <w:p w14:paraId="19BB79E7" w14:textId="77777777" w:rsidR="00B650E5" w:rsidRDefault="00B650E5">
      <w:pPr>
        <w:pStyle w:val="Odsekzoznamu"/>
        <w:numPr>
          <w:ilvl w:val="0"/>
          <w:numId w:val="233"/>
        </w:numPr>
        <w:spacing w:before="120" w:after="120"/>
        <w:ind w:left="426" w:hanging="426"/>
        <w:contextualSpacing w:val="0"/>
        <w:jc w:val="both"/>
      </w:pPr>
      <w:r>
        <w:t>RO je oprávnený vyžadovať od kontrolovanej osoby v určenej lehote poskytnutie originálov, alebo osvedčené kópie dokladov, písomnosti,  záznamov dát na pamäťových médiách prostriedkov výpočtovej techniky, ich výpisov, výstupov, vyjadrenia, informácie, dokumenty a iné podklady súvisiace s výkonom finančnej kontroly na mieste a odoberať ich mimo priestorov kontrolovanej osoby,</w:t>
      </w:r>
      <w:r w:rsidRPr="002D40A7">
        <w:t xml:space="preserve"> </w:t>
      </w:r>
      <w:r w:rsidRPr="005D1036">
        <w:t>ak ich poskytnutiu nebráni osobitný predpis</w:t>
      </w:r>
      <w:r w:rsidRPr="005D1036">
        <w:rPr>
          <w:rStyle w:val="Odkaznapoznmkupodiarou"/>
        </w:rPr>
        <w:footnoteReference w:id="88"/>
      </w:r>
      <w:r>
        <w:t>.</w:t>
      </w:r>
    </w:p>
    <w:p w14:paraId="48405D9F" w14:textId="38AFE6C7" w:rsidR="00B650E5" w:rsidRDefault="00B650E5">
      <w:pPr>
        <w:pStyle w:val="Odsekzoznamu"/>
        <w:numPr>
          <w:ilvl w:val="0"/>
          <w:numId w:val="233"/>
        </w:numPr>
        <w:spacing w:before="120" w:after="120"/>
        <w:ind w:left="426" w:hanging="426"/>
        <w:contextualSpacing w:val="0"/>
        <w:jc w:val="both"/>
      </w:pPr>
      <w:r>
        <w:t>V prípade, že RO vykoná finančnú kontrolu na mieste opakovane, ide o samostatn</w:t>
      </w:r>
      <w:r w:rsidR="009549C1">
        <w:t>ú</w:t>
      </w:r>
      <w:r>
        <w:t xml:space="preserve"> </w:t>
      </w:r>
      <w:r w:rsidR="009549C1">
        <w:t xml:space="preserve">finančnú </w:t>
      </w:r>
      <w:r>
        <w:t>kontrol</w:t>
      </w:r>
      <w:r w:rsidR="009549C1">
        <w:t>u</w:t>
      </w:r>
      <w:r>
        <w:t xml:space="preserve"> na mieste</w:t>
      </w:r>
      <w:r w:rsidR="009549C1">
        <w:t xml:space="preserve">, podľa </w:t>
      </w:r>
      <w:hyperlink w:anchor="kapitola_33611_ods_9" w:history="1">
        <w:r w:rsidRPr="00EE50E8">
          <w:rPr>
            <w:rStyle w:val="Hypertextovprepojenie"/>
          </w:rPr>
          <w:t>kapitol</w:t>
        </w:r>
        <w:r w:rsidR="009549C1">
          <w:rPr>
            <w:rStyle w:val="Hypertextovprepojenie"/>
          </w:rPr>
          <w:t>y</w:t>
        </w:r>
        <w:r w:rsidRPr="00EE50E8">
          <w:rPr>
            <w:rStyle w:val="Hypertextovprepojenie"/>
          </w:rPr>
          <w:t xml:space="preserve"> 3.3.6.1.1 ods. </w:t>
        </w:r>
        <w:r w:rsidR="004E0189">
          <w:rPr>
            <w:rStyle w:val="Hypertextovprepojenie"/>
          </w:rPr>
          <w:t>10</w:t>
        </w:r>
      </w:hyperlink>
      <w:r>
        <w:t>.</w:t>
      </w:r>
    </w:p>
    <w:p w14:paraId="68547A45" w14:textId="77777777" w:rsidR="00B650E5" w:rsidRDefault="00B650E5">
      <w:pPr>
        <w:pStyle w:val="Odsekzoznamu"/>
        <w:numPr>
          <w:ilvl w:val="0"/>
          <w:numId w:val="233"/>
        </w:numPr>
        <w:spacing w:before="120" w:after="120"/>
        <w:ind w:left="426" w:hanging="426"/>
        <w:contextualSpacing w:val="0"/>
        <w:jc w:val="both"/>
      </w:pPr>
      <w:r>
        <w:t>Výstupom z každej finančnej kontroly na mieste je návrh čiastkovej správy z kontroly/návrh správy z kontroly (v prípade zistenia nedostatkov) a čiastková správa z kontroly/správa z kontroly. Bližšie ustanovenia týkajúce sa návrhu čiastkovej správy z kontroly/návrhu správy z kontroly a čiastkovej správy z kontroly/správy z kontroly a ukončenia kontroly sú uvedené v </w:t>
      </w:r>
      <w:hyperlink w:anchor="kapitola_33613" w:tooltip="kapitole 3.3.6.1.3" w:history="1">
        <w:r>
          <w:rPr>
            <w:rStyle w:val="Hypertextovprepojenie"/>
          </w:rPr>
          <w:t>kapitole 3.3.6.1.3</w:t>
        </w:r>
      </w:hyperlink>
      <w:r>
        <w:t xml:space="preserve">. </w:t>
      </w:r>
    </w:p>
    <w:p w14:paraId="0BE39D49" w14:textId="77777777" w:rsidR="00B650E5" w:rsidRDefault="0053588C">
      <w:pPr>
        <w:pStyle w:val="Odsekzoznamu"/>
        <w:spacing w:before="120" w:after="120"/>
        <w:ind w:left="426"/>
        <w:jc w:val="both"/>
      </w:pPr>
      <w:r>
        <w:rPr>
          <w:noProof/>
        </w:rPr>
        <w:lastRenderedPageBreak/>
        <w:drawing>
          <wp:inline distT="0" distB="0" distL="0" distR="0" wp14:anchorId="510E378F" wp14:editId="29763FA5">
            <wp:extent cx="5483225" cy="3157220"/>
            <wp:effectExtent l="57150" t="0" r="60325" b="0"/>
            <wp:docPr id="16" name="Diagram 113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6" r:lo="rId177" r:qs="rId178" r:cs="rId179"/>
              </a:graphicData>
            </a:graphic>
          </wp:inline>
        </w:drawing>
      </w:r>
      <w:r w:rsidR="00B650E5">
        <w:t xml:space="preserve"> </w:t>
      </w:r>
    </w:p>
    <w:p w14:paraId="3615A26E" w14:textId="77777777" w:rsidR="00B650E5" w:rsidRDefault="00B650E5">
      <w:pPr>
        <w:pStyle w:val="Odsekzoznamu"/>
        <w:spacing w:before="120" w:after="120"/>
        <w:ind w:left="426"/>
        <w:jc w:val="center"/>
        <w:rPr>
          <w:i/>
          <w:sz w:val="20"/>
        </w:rPr>
      </w:pPr>
      <w:r>
        <w:rPr>
          <w:i/>
          <w:sz w:val="20"/>
        </w:rPr>
        <w:t xml:space="preserve">Príklady procesov v rámci výkonu finančnej kontroly na mieste </w:t>
      </w:r>
    </w:p>
    <w:p w14:paraId="7705368A" w14:textId="77777777" w:rsidR="00B650E5" w:rsidRDefault="00B650E5">
      <w:pPr>
        <w:pStyle w:val="Odsekzoznamu"/>
        <w:spacing w:before="120" w:after="120"/>
        <w:ind w:left="426"/>
        <w:jc w:val="center"/>
        <w:rPr>
          <w:sz w:val="20"/>
        </w:rPr>
      </w:pPr>
      <w:r>
        <w:rPr>
          <w:i/>
          <w:sz w:val="20"/>
        </w:rPr>
        <w:t>v prípade, ak sú kontrolou zistené nedostatky.</w:t>
      </w:r>
    </w:p>
    <w:p w14:paraId="1E0A5182" w14:textId="77777777" w:rsidR="00B650E5" w:rsidRDefault="0053588C">
      <w:pPr>
        <w:pStyle w:val="Odsekzoznamu"/>
        <w:spacing w:before="120" w:after="120"/>
        <w:ind w:left="426"/>
        <w:jc w:val="both"/>
      </w:pPr>
      <w:r>
        <w:rPr>
          <w:noProof/>
        </w:rPr>
        <w:drawing>
          <wp:inline distT="0" distB="0" distL="0" distR="0" wp14:anchorId="3874567D" wp14:editId="6226C011">
            <wp:extent cx="5489575" cy="3191510"/>
            <wp:effectExtent l="57150" t="0" r="53975" b="0"/>
            <wp:docPr id="17" name="Diagram 113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1" r:lo="rId182" r:qs="rId183" r:cs="rId184"/>
              </a:graphicData>
            </a:graphic>
          </wp:inline>
        </w:drawing>
      </w:r>
    </w:p>
    <w:p w14:paraId="0CE5A7FE" w14:textId="77777777" w:rsidR="00B650E5" w:rsidRDefault="00B650E5">
      <w:pPr>
        <w:pStyle w:val="Odsekzoznamu"/>
        <w:spacing w:before="120" w:after="120"/>
        <w:ind w:left="425"/>
        <w:jc w:val="center"/>
        <w:rPr>
          <w:i/>
          <w:sz w:val="20"/>
        </w:rPr>
      </w:pPr>
      <w:r>
        <w:rPr>
          <w:i/>
          <w:sz w:val="20"/>
        </w:rPr>
        <w:t xml:space="preserve">Príklady procesov v rámci výkonu finančnej kontroly na mieste </w:t>
      </w:r>
    </w:p>
    <w:p w14:paraId="616A84DA" w14:textId="77777777" w:rsidR="00B650E5" w:rsidRDefault="00B650E5">
      <w:pPr>
        <w:pStyle w:val="Odsekzoznamu"/>
        <w:spacing w:before="120" w:after="120"/>
        <w:ind w:left="425"/>
        <w:jc w:val="center"/>
        <w:rPr>
          <w:i/>
          <w:sz w:val="20"/>
        </w:rPr>
      </w:pPr>
      <w:r>
        <w:rPr>
          <w:i/>
          <w:sz w:val="20"/>
        </w:rPr>
        <w:t>v prípade, ak nie sú kontrolou zistené nedostatky.</w:t>
      </w:r>
    </w:p>
    <w:p w14:paraId="4E778745" w14:textId="4F352BE5" w:rsidR="00B650E5" w:rsidRDefault="00B650E5">
      <w:pPr>
        <w:pStyle w:val="Odsekzoznamu"/>
        <w:numPr>
          <w:ilvl w:val="0"/>
          <w:numId w:val="233"/>
        </w:numPr>
        <w:spacing w:before="120" w:after="120"/>
        <w:ind w:left="426" w:hanging="426"/>
        <w:contextualSpacing w:val="0"/>
        <w:jc w:val="both"/>
      </w:pPr>
      <w:r>
        <w:t xml:space="preserve">RO je oprávnený rozšíriť náležitosti návrhu čiastkovej správy z kontroly/ návrhu správy z kontroly a z čiastkovej správy z kontroly/správy z kontroly vo vzťahu k potrebám OP, PO a pod. Uvedené rozšírenie podstatných náležitostí zaznamená RO vo svojej internej dokumentácii. </w:t>
      </w:r>
    </w:p>
    <w:p w14:paraId="5A8D475E" w14:textId="45E1D498" w:rsidR="00B650E5" w:rsidRDefault="00B650E5">
      <w:pPr>
        <w:pStyle w:val="Odsekzoznamu"/>
        <w:numPr>
          <w:ilvl w:val="0"/>
          <w:numId w:val="233"/>
        </w:numPr>
        <w:spacing w:before="120" w:after="120"/>
        <w:ind w:left="426" w:hanging="426"/>
        <w:contextualSpacing w:val="0"/>
        <w:jc w:val="both"/>
      </w:pPr>
      <w:r>
        <w:t>Ak RO z vlastného podnetu alebo z podnetu ďalších osôb po zaslaní čiastkovej správy z kontroly/ správy z  kontroly zistí, že skutočnosti uvedené v čiastkovej správe z kontroly/správe z kontroly nie sú správne, je povinný vykonať nápravu formou vykonania novej kontroly. V nadväznosti na vecný charakter nápravy môže byť táto náprava vykonaná formou novej finančnej kontroly na mieste alebo novej administratívnej finančnej kontroly</w:t>
      </w:r>
      <w:r w:rsidRPr="00517B1D">
        <w:t xml:space="preserve"> </w:t>
      </w:r>
      <w:r>
        <w:t>v závislosti od toho, z akého podnetu sa opakovaná kontrola vykoná (</w:t>
      </w:r>
      <w:hyperlink w:anchor="kapitola_33611_ods_9" w:history="1">
        <w:r w:rsidRPr="00DA4436">
          <w:rPr>
            <w:rStyle w:val="Hypertextovprepojenie"/>
          </w:rPr>
          <w:t xml:space="preserve">kapitola 3.3.6.1.1 ods. </w:t>
        </w:r>
        <w:r w:rsidR="004E0189">
          <w:rPr>
            <w:rStyle w:val="Hypertextovprepojenie"/>
          </w:rPr>
          <w:t>10</w:t>
        </w:r>
      </w:hyperlink>
      <w:r>
        <w:t xml:space="preserve">). </w:t>
      </w:r>
    </w:p>
    <w:p w14:paraId="78F7D12A" w14:textId="77777777" w:rsidR="00B650E5" w:rsidRDefault="00B650E5" w:rsidP="0045286B">
      <w:pPr>
        <w:pStyle w:val="SRK4"/>
      </w:pPr>
      <w:bookmarkStart w:id="307" w:name="_Toc453234024"/>
      <w:bookmarkStart w:id="308" w:name="_Toc495649383"/>
      <w:r>
        <w:lastRenderedPageBreak/>
        <w:t>3.3.6.2 Osobitné ustanovenia k predmetu kontroly</w:t>
      </w:r>
      <w:bookmarkEnd w:id="307"/>
      <w:bookmarkEnd w:id="308"/>
    </w:p>
    <w:p w14:paraId="5620274D" w14:textId="77777777" w:rsidR="00B650E5" w:rsidRDefault="00B650E5">
      <w:pPr>
        <w:pStyle w:val="SRK5"/>
      </w:pPr>
      <w:bookmarkStart w:id="309" w:name="_Toc453234025"/>
      <w:bookmarkStart w:id="310" w:name="_Toc495649384"/>
      <w:bookmarkStart w:id="311" w:name="kapitola_33621"/>
      <w:r>
        <w:t>3.3.6.2.1 Osobitné predmety kontroly</w:t>
      </w:r>
      <w:bookmarkEnd w:id="309"/>
      <w:bookmarkEnd w:id="310"/>
    </w:p>
    <w:bookmarkEnd w:id="311"/>
    <w:p w14:paraId="2A90964E" w14:textId="03A5B459" w:rsidR="00B650E5" w:rsidRDefault="00B650E5">
      <w:pPr>
        <w:pStyle w:val="Odsekzoznamu"/>
        <w:numPr>
          <w:ilvl w:val="0"/>
          <w:numId w:val="34"/>
        </w:numPr>
        <w:spacing w:before="120" w:after="120"/>
        <w:ind w:left="426" w:hanging="426"/>
        <w:contextualSpacing w:val="0"/>
        <w:jc w:val="both"/>
      </w:pPr>
      <w:r>
        <w:t>RO je oprávnený určiť si predmet kontroly, ktorý bude obsahovať akékoľvek skutočnosti v</w:t>
      </w:r>
      <w:r w:rsidR="002458C7">
        <w:t> </w:t>
      </w:r>
      <w:r>
        <w:t>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14:paraId="07E3064E" w14:textId="77777777" w:rsidR="00B650E5" w:rsidRDefault="0053588C">
      <w:pPr>
        <w:spacing w:before="120" w:after="120"/>
        <w:jc w:val="both"/>
      </w:pPr>
      <w:r>
        <w:rPr>
          <w:noProof/>
        </w:rPr>
        <w:drawing>
          <wp:anchor distT="0" distB="0" distL="114300" distR="114300" simplePos="0" relativeHeight="251666432" behindDoc="0" locked="0" layoutInCell="1" allowOverlap="1" wp14:anchorId="03A33109" wp14:editId="269CC61E">
            <wp:simplePos x="0" y="0"/>
            <wp:positionH relativeFrom="column">
              <wp:posOffset>704850</wp:posOffset>
            </wp:positionH>
            <wp:positionV relativeFrom="paragraph">
              <wp:posOffset>-2540</wp:posOffset>
            </wp:positionV>
            <wp:extent cx="4438015" cy="3578860"/>
            <wp:effectExtent l="0" t="0" r="0" b="0"/>
            <wp:wrapNone/>
            <wp:docPr id="65"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7"/>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4438015" cy="3578860"/>
                    </a:xfrm>
                    <a:prstGeom prst="rect">
                      <a:avLst/>
                    </a:prstGeom>
                    <a:noFill/>
                  </pic:spPr>
                </pic:pic>
              </a:graphicData>
            </a:graphic>
            <wp14:sizeRelH relativeFrom="page">
              <wp14:pctWidth>0</wp14:pctWidth>
            </wp14:sizeRelH>
            <wp14:sizeRelV relativeFrom="page">
              <wp14:pctHeight>0</wp14:pctHeight>
            </wp14:sizeRelV>
          </wp:anchor>
        </w:drawing>
      </w:r>
    </w:p>
    <w:p w14:paraId="2B759B41" w14:textId="77777777" w:rsidR="00B650E5" w:rsidRDefault="00B650E5">
      <w:pPr>
        <w:spacing w:before="120" w:after="120"/>
        <w:jc w:val="both"/>
      </w:pPr>
    </w:p>
    <w:p w14:paraId="59D1D9F0" w14:textId="77777777" w:rsidR="00B650E5" w:rsidRDefault="00B650E5">
      <w:pPr>
        <w:spacing w:before="120" w:after="120"/>
        <w:jc w:val="both"/>
      </w:pPr>
    </w:p>
    <w:p w14:paraId="62A2B768" w14:textId="77777777" w:rsidR="00B650E5" w:rsidRDefault="00B650E5">
      <w:pPr>
        <w:spacing w:before="120" w:after="120"/>
        <w:jc w:val="both"/>
      </w:pPr>
    </w:p>
    <w:p w14:paraId="17630E37" w14:textId="77777777" w:rsidR="00B650E5" w:rsidRDefault="00B650E5">
      <w:pPr>
        <w:spacing w:before="120" w:after="120"/>
        <w:jc w:val="both"/>
      </w:pPr>
    </w:p>
    <w:p w14:paraId="4E250A01" w14:textId="77777777" w:rsidR="00B650E5" w:rsidRDefault="00B650E5">
      <w:pPr>
        <w:spacing w:before="120" w:after="120"/>
        <w:jc w:val="both"/>
      </w:pPr>
    </w:p>
    <w:p w14:paraId="7DFDA0C6" w14:textId="77777777" w:rsidR="00B650E5" w:rsidRDefault="00B650E5">
      <w:pPr>
        <w:spacing w:before="120" w:after="120"/>
        <w:jc w:val="both"/>
      </w:pPr>
    </w:p>
    <w:p w14:paraId="060DD906" w14:textId="77777777" w:rsidR="00B650E5" w:rsidRDefault="00B650E5">
      <w:pPr>
        <w:spacing w:before="120" w:after="120"/>
        <w:jc w:val="both"/>
      </w:pPr>
    </w:p>
    <w:p w14:paraId="5C4B6FDA" w14:textId="77777777" w:rsidR="00B650E5" w:rsidRDefault="00B650E5" w:rsidP="00DE5D89">
      <w:pPr>
        <w:pStyle w:val="Odsekzoznamu"/>
        <w:spacing w:before="120" w:after="120"/>
        <w:ind w:left="426"/>
        <w:contextualSpacing w:val="0"/>
        <w:jc w:val="both"/>
      </w:pPr>
    </w:p>
    <w:p w14:paraId="550EF2A2" w14:textId="77777777" w:rsidR="00B650E5" w:rsidRDefault="00B650E5" w:rsidP="00DE5D89">
      <w:pPr>
        <w:pStyle w:val="Odsekzoznamu"/>
        <w:spacing w:before="120" w:after="120"/>
        <w:ind w:left="426"/>
        <w:contextualSpacing w:val="0"/>
        <w:jc w:val="both"/>
      </w:pPr>
    </w:p>
    <w:p w14:paraId="397F1508" w14:textId="77777777" w:rsidR="00B650E5" w:rsidRDefault="00B650E5" w:rsidP="00DE5D89">
      <w:pPr>
        <w:pStyle w:val="Odsekzoznamu"/>
        <w:spacing w:before="120" w:after="120"/>
        <w:ind w:left="426"/>
        <w:contextualSpacing w:val="0"/>
        <w:jc w:val="both"/>
      </w:pPr>
    </w:p>
    <w:p w14:paraId="5B56A820" w14:textId="77777777" w:rsidR="00B650E5" w:rsidRDefault="00B650E5" w:rsidP="00DE5D89">
      <w:pPr>
        <w:pStyle w:val="Odsekzoznamu"/>
        <w:spacing w:before="120" w:after="120"/>
        <w:ind w:left="426"/>
        <w:contextualSpacing w:val="0"/>
        <w:jc w:val="both"/>
      </w:pPr>
    </w:p>
    <w:p w14:paraId="267CB3C3" w14:textId="77777777" w:rsidR="00B650E5" w:rsidRDefault="00B650E5" w:rsidP="00DE5D89">
      <w:pPr>
        <w:pStyle w:val="Odsekzoznamu"/>
        <w:spacing w:before="120" w:after="120"/>
        <w:ind w:left="426"/>
        <w:contextualSpacing w:val="0"/>
        <w:jc w:val="both"/>
      </w:pPr>
    </w:p>
    <w:p w14:paraId="1908F50B" w14:textId="070467BE" w:rsidR="00B650E5" w:rsidRDefault="00B650E5">
      <w:pPr>
        <w:pStyle w:val="Odsekzoznamu"/>
        <w:numPr>
          <w:ilvl w:val="0"/>
          <w:numId w:val="34"/>
        </w:numPr>
        <w:spacing w:before="120" w:after="120"/>
        <w:ind w:left="426" w:hanging="426"/>
        <w:contextualSpacing w:val="0"/>
        <w:jc w:val="both"/>
      </w:pPr>
      <w:r>
        <w:t>RO je povinný vyplniť pri výkone kontroly kontrolný zoznam v závislosti od zvoleného predmetu kontroly. V prípade, že zvolený predmet výkonu kontroly nie je súčasťou zoznamu uvedeného v </w:t>
      </w:r>
      <w:hyperlink w:anchor="kapitola_33621_ods_4" w:tooltip="ods. 4 tejto kapitoly" w:history="1">
        <w:r>
          <w:rPr>
            <w:rStyle w:val="Hypertextovprepojenie"/>
          </w:rPr>
          <w:t>ods. 4 tejto kapitoly</w:t>
        </w:r>
      </w:hyperlink>
      <w:r>
        <w:t>, RO vypracuje ad hoc kontrolný zoznam. Ad hoc kontrolný zoznam zapracuje RO vopred taktiež do manuálu procedúr. Ak k vytvoreniu ad hoc kontrolného zoznamu dôjde počas výkonu kontroly, je RO povinný zapracovať ho do manuálu procedúr najneskôr do 3 mesiacov od jeho aplikovania. V prípade, že si RO zvolí v rámci výkonu jednej kontroly viacero osobitných predmetov kontroly, je oprávnený vypracovať jeden kontrolný zoznam obsahujúci kontrolné otázky z viacerých osobitných predmetov kontroly (</w:t>
      </w:r>
      <w:r w:rsidR="00C93F30">
        <w:t xml:space="preserve">t. j. </w:t>
      </w:r>
      <w:r>
        <w:t>z viacerých osobitných kontrolných zoznamov). Do každého vytvoreného kontrolného zoznamu je RO oprávnený doplniť ďalšie kontrolné otázky podľa špecifického charakteru daného OP, PO a pod. RO však nie je oprávnený vylúčiť otázky prislúchajúce k zvolené</w:t>
      </w:r>
      <w:r w:rsidRPr="00F76415">
        <w:t xml:space="preserve">mu </w:t>
      </w:r>
      <w:r w:rsidRPr="004637AA">
        <w:t xml:space="preserve">predmetu </w:t>
      </w:r>
      <w:r w:rsidRPr="00C64D4B">
        <w:t>kontroly (</w:t>
      </w:r>
      <w:hyperlink w:anchor="kapitola_33621" w:tooltip="kapitole 3.3.6.2.1" w:history="1">
        <w:r w:rsidRPr="004637AA">
          <w:rPr>
            <w:rStyle w:val="Hypertextovprepojenie"/>
          </w:rPr>
          <w:t>k</w:t>
        </w:r>
        <w:r w:rsidRPr="00C64D4B">
          <w:rPr>
            <w:rStyle w:val="Hypertextovprepojenie"/>
          </w:rPr>
          <w:t>apitola 3.3.6.2.1</w:t>
        </w:r>
      </w:hyperlink>
      <w:r>
        <w:rPr>
          <w:rStyle w:val="Hypertextovprepojenie"/>
        </w:rPr>
        <w:t xml:space="preserve">), </w:t>
      </w:r>
      <w:r w:rsidRPr="00CD242D">
        <w:t xml:space="preserve">uvedené v príslušnom </w:t>
      </w:r>
      <w:r>
        <w:t>v</w:t>
      </w:r>
      <w:r w:rsidRPr="00CD242D">
        <w:t>zore CKO.</w:t>
      </w:r>
    </w:p>
    <w:p w14:paraId="2040E7F6" w14:textId="77777777" w:rsidR="00B650E5" w:rsidRDefault="0053588C">
      <w:pPr>
        <w:pStyle w:val="Odsekzoznamu"/>
        <w:spacing w:before="120" w:after="120"/>
        <w:ind w:left="426"/>
        <w:jc w:val="both"/>
      </w:pPr>
      <w:r>
        <w:rPr>
          <w:noProof/>
        </w:rPr>
        <w:lastRenderedPageBreak/>
        <w:drawing>
          <wp:inline distT="0" distB="0" distL="0" distR="0" wp14:anchorId="676927F1" wp14:editId="482E277C">
            <wp:extent cx="5620385" cy="2660015"/>
            <wp:effectExtent l="57150" t="57150" r="56515" b="64135"/>
            <wp:docPr id="18" name="Diagram 114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7" r:lo="rId188" r:qs="rId189" r:cs="rId190"/>
              </a:graphicData>
            </a:graphic>
          </wp:inline>
        </w:drawing>
      </w:r>
    </w:p>
    <w:p w14:paraId="750F78D8" w14:textId="77777777" w:rsidR="00B650E5" w:rsidRDefault="00B650E5">
      <w:pPr>
        <w:pStyle w:val="Odsekzoznamu"/>
        <w:spacing w:before="120" w:after="120"/>
        <w:ind w:left="426"/>
        <w:jc w:val="both"/>
      </w:pPr>
    </w:p>
    <w:p w14:paraId="6D9BE450" w14:textId="3658A83E" w:rsidR="00B650E5" w:rsidRDefault="00B650E5">
      <w:pPr>
        <w:pStyle w:val="Odsekzoznamu"/>
        <w:numPr>
          <w:ilvl w:val="0"/>
          <w:numId w:val="34"/>
        </w:numPr>
        <w:spacing w:before="120" w:after="120"/>
        <w:ind w:left="426" w:hanging="426"/>
        <w:contextualSpacing w:val="0"/>
        <w:jc w:val="both"/>
      </w:pPr>
      <w:r>
        <w:t>V súvislosti s výberom osobitného predmetu kontroly si RO zvolí aj formu výkonu kontroly pri zachovaní pravidla vykonania povinnej kontroly každej ŽoP minimálne formou administratívnej finančnej kontroly, pričom je RO povinný zvoliť si osobitný predmet kontroly uvedený v </w:t>
      </w:r>
      <w:hyperlink w:anchor="kapitola_33621_ods_4a" w:tooltip="ods. 4 písm. a)" w:history="1">
        <w:r>
          <w:rPr>
            <w:rStyle w:val="Hypertextovprepojenie"/>
          </w:rPr>
          <w:t xml:space="preserve">ods. </w:t>
        </w:r>
        <w:r w:rsidR="00802367">
          <w:rPr>
            <w:rStyle w:val="Hypertextovprepojenie"/>
          </w:rPr>
          <w:t>4</w:t>
        </w:r>
        <w:r w:rsidR="00CE2A88">
          <w:rPr>
            <w:rStyle w:val="Hypertextovprepojenie"/>
          </w:rPr>
          <w:t xml:space="preserve"> </w:t>
        </w:r>
        <w:r>
          <w:rPr>
            <w:rStyle w:val="Hypertextovprepojenie"/>
          </w:rPr>
          <w:t>písm. a)</w:t>
        </w:r>
      </w:hyperlink>
      <w:r>
        <w:t xml:space="preserve"> a pravidla zvolenia si osobitných predmetov kontroly uvedených v </w:t>
      </w:r>
      <w:hyperlink w:anchor="kapitola_33621_ods_4b_až_d_z" w:tooltip="ods. 4 písm. b) – d) a z)" w:history="1">
        <w:r>
          <w:rPr>
            <w:rStyle w:val="Hypertextovprepojenie"/>
          </w:rPr>
          <w:t xml:space="preserve">ods. </w:t>
        </w:r>
        <w:r w:rsidR="00802367">
          <w:rPr>
            <w:rStyle w:val="Hypertextovprepojenie"/>
          </w:rPr>
          <w:t>4</w:t>
        </w:r>
        <w:r w:rsidR="00CE2A88">
          <w:rPr>
            <w:rStyle w:val="Hypertextovprepojenie"/>
          </w:rPr>
          <w:t xml:space="preserve"> </w:t>
        </w:r>
        <w:r>
          <w:rPr>
            <w:rStyle w:val="Hypertextovprepojenie"/>
          </w:rPr>
          <w:t>písm. b) – d) a </w:t>
        </w:r>
        <w:r w:rsidR="0076096E">
          <w:rPr>
            <w:rStyle w:val="Hypertextovprepojenie"/>
          </w:rPr>
          <w:t>aa</w:t>
        </w:r>
        <w:r>
          <w:rPr>
            <w:rStyle w:val="Hypertextovprepojenie"/>
          </w:rPr>
          <w:t>)</w:t>
        </w:r>
      </w:hyperlink>
      <w:r>
        <w:t xml:space="preserve"> počas výkonu kontroly formou finančnej kontroly na mieste minimálne jedenkrát počas realizácie projektu.</w:t>
      </w:r>
    </w:p>
    <w:p w14:paraId="1092B5FE" w14:textId="77777777" w:rsidR="00B650E5" w:rsidRDefault="00B650E5">
      <w:pPr>
        <w:pStyle w:val="Odsekzoznamu"/>
        <w:numPr>
          <w:ilvl w:val="0"/>
          <w:numId w:val="34"/>
        </w:numPr>
        <w:spacing w:before="120" w:after="120"/>
        <w:ind w:left="426" w:hanging="426"/>
        <w:contextualSpacing w:val="0"/>
        <w:jc w:val="both"/>
      </w:pPr>
      <w:bookmarkStart w:id="312" w:name="kapitola_33621_ods_4"/>
      <w:r>
        <w:t>Osobitné predmety kontroly:</w:t>
      </w:r>
    </w:p>
    <w:p w14:paraId="675C9E86" w14:textId="77777777" w:rsidR="00B650E5" w:rsidRDefault="00B650E5">
      <w:pPr>
        <w:pStyle w:val="Odsekzoznamu"/>
        <w:numPr>
          <w:ilvl w:val="3"/>
          <w:numId w:val="234"/>
        </w:numPr>
        <w:spacing w:before="120" w:after="120"/>
        <w:ind w:left="851" w:hanging="425"/>
        <w:contextualSpacing w:val="0"/>
        <w:jc w:val="both"/>
      </w:pPr>
      <w:bookmarkStart w:id="313" w:name="kapitola_33621_ods_4a"/>
      <w:bookmarkEnd w:id="312"/>
      <w:r>
        <w:t xml:space="preserve">ŽoP; </w:t>
      </w:r>
    </w:p>
    <w:p w14:paraId="673A5EEF" w14:textId="77777777" w:rsidR="00B650E5" w:rsidRDefault="00B650E5">
      <w:pPr>
        <w:pStyle w:val="Odsekzoznamu"/>
        <w:numPr>
          <w:ilvl w:val="3"/>
          <w:numId w:val="234"/>
        </w:numPr>
        <w:spacing w:before="120" w:after="120"/>
        <w:ind w:left="851" w:hanging="425"/>
        <w:contextualSpacing w:val="0"/>
        <w:jc w:val="both"/>
      </w:pPr>
      <w:bookmarkStart w:id="314" w:name="kapitola_33621_ods_4b_až_d_z"/>
      <w:bookmarkEnd w:id="313"/>
      <w:r>
        <w:t>dodanie predmetu plnenia (tovarov, služieb, stavebných prác) pri využití preddavkových platieb</w:t>
      </w:r>
      <w:r>
        <w:rPr>
          <w:rStyle w:val="Odkaznapoznmkupodiarou"/>
        </w:rPr>
        <w:footnoteReference w:id="89"/>
      </w:r>
      <w:r>
        <w:t>;</w:t>
      </w:r>
    </w:p>
    <w:p w14:paraId="4558D203" w14:textId="77777777" w:rsidR="00B650E5" w:rsidRDefault="00B650E5">
      <w:pPr>
        <w:pStyle w:val="Odsekzoznamu"/>
        <w:numPr>
          <w:ilvl w:val="3"/>
          <w:numId w:val="234"/>
        </w:numPr>
        <w:spacing w:before="120" w:after="120"/>
        <w:ind w:left="851" w:hanging="425"/>
        <w:contextualSpacing w:val="0"/>
        <w:jc w:val="both"/>
      </w:pPr>
      <w:r>
        <w:t>skutočné dodanie výkonov, tovarov, poskytnutie služieb a vykonanie prác;</w:t>
      </w:r>
    </w:p>
    <w:p w14:paraId="7B7D9919" w14:textId="77777777" w:rsidR="00B650E5" w:rsidRDefault="00B650E5">
      <w:pPr>
        <w:pStyle w:val="Odsekzoznamu"/>
        <w:numPr>
          <w:ilvl w:val="3"/>
          <w:numId w:val="234"/>
        </w:numPr>
        <w:spacing w:before="120" w:after="120"/>
        <w:ind w:left="851" w:hanging="425"/>
        <w:contextualSpacing w:val="0"/>
        <w:jc w:val="both"/>
      </w:pPr>
      <w:r>
        <w:t>vedenie účtovníctva o skutočnostiach týkajúcich sa projektu;</w:t>
      </w:r>
    </w:p>
    <w:p w14:paraId="1C675663" w14:textId="77777777" w:rsidR="00B650E5" w:rsidRDefault="00B650E5">
      <w:pPr>
        <w:pStyle w:val="Odsekzoznamu"/>
        <w:numPr>
          <w:ilvl w:val="3"/>
          <w:numId w:val="234"/>
        </w:numPr>
        <w:spacing w:before="120" w:after="120"/>
        <w:ind w:left="851" w:hanging="425"/>
        <w:contextualSpacing w:val="0"/>
        <w:jc w:val="both"/>
      </w:pPr>
      <w:r>
        <w:t>archivácia dokumentov a podkladov súvisiacich s projektom;</w:t>
      </w:r>
    </w:p>
    <w:bookmarkEnd w:id="314"/>
    <w:p w14:paraId="4369C2A5" w14:textId="77777777" w:rsidR="00B650E5" w:rsidRDefault="00B650E5">
      <w:pPr>
        <w:pStyle w:val="Odsekzoznamu"/>
        <w:numPr>
          <w:ilvl w:val="3"/>
          <w:numId w:val="234"/>
        </w:numPr>
        <w:spacing w:before="120" w:after="120"/>
        <w:ind w:left="851" w:hanging="425"/>
        <w:contextualSpacing w:val="0"/>
        <w:jc w:val="both"/>
      </w:pPr>
      <w:r>
        <w:t>cestovné náhrady;</w:t>
      </w:r>
    </w:p>
    <w:p w14:paraId="4B5D1400" w14:textId="77777777" w:rsidR="00B650E5" w:rsidRDefault="00B650E5">
      <w:pPr>
        <w:pStyle w:val="Odsekzoznamu"/>
        <w:numPr>
          <w:ilvl w:val="3"/>
          <w:numId w:val="234"/>
        </w:numPr>
        <w:spacing w:before="120" w:after="120"/>
        <w:ind w:left="851" w:hanging="425"/>
        <w:contextualSpacing w:val="0"/>
        <w:jc w:val="both"/>
      </w:pPr>
      <w:r>
        <w:t>dokladovanie výdavkov;</w:t>
      </w:r>
    </w:p>
    <w:p w14:paraId="4CD51898" w14:textId="77777777" w:rsidR="00B650E5" w:rsidRDefault="00B650E5">
      <w:pPr>
        <w:pStyle w:val="Odsekzoznamu"/>
        <w:numPr>
          <w:ilvl w:val="3"/>
          <w:numId w:val="234"/>
        </w:numPr>
        <w:spacing w:before="120" w:after="120"/>
        <w:ind w:left="851" w:hanging="425"/>
        <w:contextualSpacing w:val="0"/>
        <w:jc w:val="both"/>
      </w:pPr>
      <w:r>
        <w:t>ostatné výdavky – externé služby (outsourcing);</w:t>
      </w:r>
    </w:p>
    <w:p w14:paraId="261D5BD5" w14:textId="77777777" w:rsidR="00B650E5" w:rsidRDefault="00B650E5">
      <w:pPr>
        <w:pStyle w:val="Odsekzoznamu"/>
        <w:numPr>
          <w:ilvl w:val="3"/>
          <w:numId w:val="234"/>
        </w:numPr>
        <w:spacing w:before="120" w:after="120"/>
        <w:ind w:left="851" w:hanging="425"/>
        <w:contextualSpacing w:val="0"/>
        <w:jc w:val="both"/>
      </w:pPr>
      <w:r>
        <w:t>finančné výdavky a poplatky;</w:t>
      </w:r>
    </w:p>
    <w:p w14:paraId="4F58C156" w14:textId="77777777" w:rsidR="00B650E5" w:rsidRDefault="00B650E5">
      <w:pPr>
        <w:pStyle w:val="Odsekzoznamu"/>
        <w:numPr>
          <w:ilvl w:val="3"/>
          <w:numId w:val="234"/>
        </w:numPr>
        <w:spacing w:before="120" w:after="120"/>
        <w:ind w:left="851" w:hanging="425"/>
        <w:contextualSpacing w:val="0"/>
        <w:jc w:val="both"/>
      </w:pPr>
      <w:r>
        <w:t>generovanie príjmov z projektu;</w:t>
      </w:r>
    </w:p>
    <w:p w14:paraId="1AFDDA9C" w14:textId="77777777" w:rsidR="00B650E5" w:rsidRDefault="00B650E5">
      <w:pPr>
        <w:pStyle w:val="Odsekzoznamu"/>
        <w:numPr>
          <w:ilvl w:val="3"/>
          <w:numId w:val="234"/>
        </w:numPr>
        <w:spacing w:before="120" w:after="120"/>
        <w:ind w:left="851" w:hanging="425"/>
        <w:contextualSpacing w:val="0"/>
        <w:jc w:val="both"/>
      </w:pPr>
      <w:r>
        <w:t>hospodárnosť, efektívnosť, účelnosť a účinnosť výdavkov;</w:t>
      </w:r>
    </w:p>
    <w:p w14:paraId="17B84866" w14:textId="77777777" w:rsidR="00B650E5" w:rsidRDefault="00B650E5">
      <w:pPr>
        <w:pStyle w:val="Odsekzoznamu"/>
        <w:numPr>
          <w:ilvl w:val="3"/>
          <w:numId w:val="234"/>
        </w:numPr>
        <w:spacing w:before="120" w:after="120"/>
        <w:ind w:left="851" w:hanging="425"/>
        <w:contextualSpacing w:val="0"/>
        <w:jc w:val="both"/>
      </w:pPr>
      <w:r>
        <w:t>krížové financovanie;</w:t>
      </w:r>
    </w:p>
    <w:p w14:paraId="13BE2D9A" w14:textId="77777777" w:rsidR="00B650E5" w:rsidRDefault="00B650E5">
      <w:pPr>
        <w:pStyle w:val="Odsekzoznamu"/>
        <w:numPr>
          <w:ilvl w:val="3"/>
          <w:numId w:val="234"/>
        </w:numPr>
        <w:spacing w:before="120" w:after="120"/>
        <w:ind w:left="851" w:hanging="425"/>
        <w:contextualSpacing w:val="0"/>
        <w:jc w:val="both"/>
      </w:pPr>
      <w:r>
        <w:lastRenderedPageBreak/>
        <w:t>nákup použitého materiálu;</w:t>
      </w:r>
    </w:p>
    <w:p w14:paraId="01E8176F" w14:textId="77777777" w:rsidR="00B650E5" w:rsidRDefault="00B650E5">
      <w:pPr>
        <w:pStyle w:val="Odsekzoznamu"/>
        <w:numPr>
          <w:ilvl w:val="3"/>
          <w:numId w:val="234"/>
        </w:numPr>
        <w:spacing w:before="120" w:after="120"/>
        <w:ind w:left="851" w:hanging="425"/>
        <w:contextualSpacing w:val="0"/>
        <w:jc w:val="both"/>
      </w:pPr>
      <w:r>
        <w:t>nákup pozemkov;</w:t>
      </w:r>
    </w:p>
    <w:p w14:paraId="3FD7B06D" w14:textId="77777777" w:rsidR="00B650E5" w:rsidRDefault="00B650E5">
      <w:pPr>
        <w:pStyle w:val="Odsekzoznamu"/>
        <w:numPr>
          <w:ilvl w:val="3"/>
          <w:numId w:val="234"/>
        </w:numPr>
        <w:spacing w:before="120" w:after="120"/>
        <w:ind w:left="851" w:hanging="425"/>
        <w:contextualSpacing w:val="0"/>
        <w:jc w:val="both"/>
      </w:pPr>
      <w:r>
        <w:t>nákup stavieb;</w:t>
      </w:r>
    </w:p>
    <w:p w14:paraId="50981ACB" w14:textId="77777777" w:rsidR="00B650E5" w:rsidRDefault="00B650E5">
      <w:pPr>
        <w:pStyle w:val="Odsekzoznamu"/>
        <w:numPr>
          <w:ilvl w:val="3"/>
          <w:numId w:val="234"/>
        </w:numPr>
        <w:spacing w:before="120" w:after="120"/>
        <w:ind w:left="851" w:hanging="425"/>
        <w:contextualSpacing w:val="0"/>
        <w:jc w:val="both"/>
      </w:pPr>
      <w:r>
        <w:t>napĺňanie merateľných ukazovateľov projektu;</w:t>
      </w:r>
    </w:p>
    <w:p w14:paraId="7648BC61" w14:textId="77777777" w:rsidR="00B650E5" w:rsidRDefault="00B650E5">
      <w:pPr>
        <w:pStyle w:val="Odsekzoznamu"/>
        <w:numPr>
          <w:ilvl w:val="3"/>
          <w:numId w:val="234"/>
        </w:numPr>
        <w:spacing w:before="120" w:after="120"/>
        <w:ind w:left="851" w:hanging="425"/>
        <w:contextualSpacing w:val="0"/>
        <w:jc w:val="both"/>
      </w:pPr>
      <w:r>
        <w:t xml:space="preserve">neprekrývanie sa výdavkov; </w:t>
      </w:r>
    </w:p>
    <w:p w14:paraId="5F6FBEE3" w14:textId="77777777" w:rsidR="00B650E5" w:rsidRDefault="00B650E5">
      <w:pPr>
        <w:pStyle w:val="Odsekzoznamu"/>
        <w:numPr>
          <w:ilvl w:val="3"/>
          <w:numId w:val="234"/>
        </w:numPr>
        <w:spacing w:before="120" w:after="120"/>
        <w:ind w:left="851" w:hanging="425"/>
        <w:contextualSpacing w:val="0"/>
        <w:jc w:val="both"/>
      </w:pPr>
      <w:r>
        <w:t xml:space="preserve">vykonanie  stavebných prác; </w:t>
      </w:r>
    </w:p>
    <w:p w14:paraId="5CFAE8CC" w14:textId="77777777" w:rsidR="00B650E5" w:rsidRDefault="00B650E5">
      <w:pPr>
        <w:pStyle w:val="Odsekzoznamu"/>
        <w:numPr>
          <w:ilvl w:val="3"/>
          <w:numId w:val="234"/>
        </w:numPr>
        <w:spacing w:before="120" w:after="120"/>
        <w:ind w:left="851" w:hanging="425"/>
        <w:contextualSpacing w:val="0"/>
        <w:jc w:val="both"/>
      </w:pPr>
      <w:r>
        <w:t>odpisy, režijné náklady a vecné príspevky;</w:t>
      </w:r>
    </w:p>
    <w:p w14:paraId="20C1CE40" w14:textId="77777777" w:rsidR="00B650E5" w:rsidRDefault="00B650E5">
      <w:pPr>
        <w:pStyle w:val="Odsekzoznamu"/>
        <w:numPr>
          <w:ilvl w:val="3"/>
          <w:numId w:val="234"/>
        </w:numPr>
        <w:spacing w:before="120" w:after="120"/>
        <w:ind w:left="851" w:hanging="425"/>
        <w:contextualSpacing w:val="0"/>
        <w:jc w:val="both"/>
      </w:pPr>
      <w:r>
        <w:t xml:space="preserve">opatrenia prijaté na základe vykonaných kontrol; </w:t>
      </w:r>
    </w:p>
    <w:p w14:paraId="4612358E" w14:textId="77777777" w:rsidR="00B650E5" w:rsidRDefault="00B650E5">
      <w:pPr>
        <w:pStyle w:val="Odsekzoznamu"/>
        <w:numPr>
          <w:ilvl w:val="3"/>
          <w:numId w:val="234"/>
        </w:numPr>
        <w:spacing w:before="120" w:after="120"/>
        <w:ind w:left="851" w:hanging="425"/>
        <w:contextualSpacing w:val="0"/>
        <w:jc w:val="both"/>
      </w:pPr>
      <w:r>
        <w:t>osobné výdavky;</w:t>
      </w:r>
    </w:p>
    <w:p w14:paraId="439D6D4A" w14:textId="77777777" w:rsidR="00B650E5" w:rsidRDefault="00B650E5">
      <w:pPr>
        <w:pStyle w:val="Odsekzoznamu"/>
        <w:numPr>
          <w:ilvl w:val="3"/>
          <w:numId w:val="234"/>
        </w:numPr>
        <w:spacing w:before="120" w:after="120"/>
        <w:ind w:left="851" w:hanging="425"/>
        <w:contextualSpacing w:val="0"/>
        <w:jc w:val="both"/>
      </w:pPr>
      <w:r>
        <w:t>štátna pomoc a pomoc de minimis;</w:t>
      </w:r>
    </w:p>
    <w:p w14:paraId="09768E85" w14:textId="77777777" w:rsidR="00B650E5" w:rsidRDefault="00B650E5">
      <w:pPr>
        <w:pStyle w:val="Odsekzoznamu"/>
        <w:numPr>
          <w:ilvl w:val="3"/>
          <w:numId w:val="234"/>
        </w:numPr>
        <w:spacing w:before="120" w:after="120"/>
        <w:ind w:left="851" w:hanging="425"/>
        <w:contextualSpacing w:val="0"/>
        <w:jc w:val="both"/>
      </w:pPr>
      <w:r>
        <w:t>vecná, časová a územná oprávnenosť výdavkov;</w:t>
      </w:r>
    </w:p>
    <w:p w14:paraId="2446479B" w14:textId="77777777" w:rsidR="00B650E5" w:rsidRDefault="00B650E5">
      <w:pPr>
        <w:pStyle w:val="Odsekzoznamu"/>
        <w:numPr>
          <w:ilvl w:val="3"/>
          <w:numId w:val="234"/>
        </w:numPr>
        <w:spacing w:before="120" w:after="120"/>
        <w:ind w:left="851" w:hanging="425"/>
        <w:contextualSpacing w:val="0"/>
        <w:jc w:val="both"/>
      </w:pPr>
      <w:r>
        <w:t>finančný prenájom a operatívny nájom;</w:t>
      </w:r>
    </w:p>
    <w:p w14:paraId="3735BD22" w14:textId="77777777" w:rsidR="00B650E5" w:rsidRDefault="00B650E5">
      <w:pPr>
        <w:pStyle w:val="Odsekzoznamu"/>
        <w:numPr>
          <w:ilvl w:val="3"/>
          <w:numId w:val="234"/>
        </w:numPr>
        <w:spacing w:before="120" w:after="120"/>
        <w:ind w:left="851" w:hanging="425"/>
        <w:contextualSpacing w:val="0"/>
        <w:jc w:val="both"/>
      </w:pPr>
      <w:r>
        <w:t>fyzická kontrola prebiehajúcich aktivít;</w:t>
      </w:r>
    </w:p>
    <w:p w14:paraId="23A58131" w14:textId="77777777" w:rsidR="00B650E5" w:rsidRDefault="00B650E5">
      <w:pPr>
        <w:pStyle w:val="Odsekzoznamu"/>
        <w:numPr>
          <w:ilvl w:val="3"/>
          <w:numId w:val="234"/>
        </w:numPr>
        <w:spacing w:before="120" w:after="120"/>
        <w:ind w:left="851" w:hanging="425"/>
        <w:contextualSpacing w:val="0"/>
        <w:jc w:val="both"/>
      </w:pPr>
      <w:r>
        <w:t xml:space="preserve">nakladanie s majetkom nadobudnutým z NFP; </w:t>
      </w:r>
    </w:p>
    <w:p w14:paraId="1F5A055A" w14:textId="77777777" w:rsidR="00B650E5" w:rsidRDefault="00B650E5">
      <w:pPr>
        <w:pStyle w:val="Odsekzoznamu"/>
        <w:numPr>
          <w:ilvl w:val="3"/>
          <w:numId w:val="234"/>
        </w:numPr>
        <w:spacing w:before="120" w:after="120"/>
        <w:ind w:left="851" w:hanging="425"/>
        <w:contextualSpacing w:val="0"/>
        <w:jc w:val="both"/>
      </w:pPr>
      <w:r>
        <w:t>publicita projektu;</w:t>
      </w:r>
    </w:p>
    <w:p w14:paraId="5B8C0B49" w14:textId="77777777" w:rsidR="00B650E5" w:rsidRDefault="00B650E5">
      <w:pPr>
        <w:pStyle w:val="Odsekzoznamu"/>
        <w:numPr>
          <w:ilvl w:val="3"/>
          <w:numId w:val="234"/>
        </w:numPr>
        <w:spacing w:before="120" w:after="120"/>
        <w:ind w:left="851" w:hanging="425"/>
        <w:contextualSpacing w:val="0"/>
        <w:jc w:val="both"/>
      </w:pPr>
      <w:r>
        <w:t>finančná kontrola VO a obstarávania;</w:t>
      </w:r>
    </w:p>
    <w:p w14:paraId="2699D533" w14:textId="77777777" w:rsidR="00B650E5" w:rsidRDefault="00B650E5">
      <w:pPr>
        <w:pStyle w:val="Odsekzoznamu"/>
        <w:numPr>
          <w:ilvl w:val="3"/>
          <w:numId w:val="234"/>
        </w:numPr>
        <w:spacing w:before="120" w:after="120"/>
        <w:ind w:left="851" w:hanging="425"/>
        <w:contextualSpacing w:val="0"/>
        <w:jc w:val="both"/>
      </w:pPr>
      <w:r>
        <w:t>kontrola dokumentácie VO v rámci finančnej kontroly na mieste;</w:t>
      </w:r>
    </w:p>
    <w:p w14:paraId="7694CBA8" w14:textId="77777777" w:rsidR="00B650E5" w:rsidRDefault="00B650E5">
      <w:pPr>
        <w:pStyle w:val="Odsekzoznamu"/>
        <w:numPr>
          <w:ilvl w:val="3"/>
          <w:numId w:val="234"/>
        </w:numPr>
        <w:spacing w:before="120" w:after="120"/>
        <w:ind w:left="851" w:hanging="425"/>
        <w:contextualSpacing w:val="0"/>
        <w:jc w:val="both"/>
      </w:pPr>
      <w:r>
        <w:t>cieľová skupina a s ňou súvisiace dáta;</w:t>
      </w:r>
    </w:p>
    <w:p w14:paraId="4555ECD5" w14:textId="77777777" w:rsidR="00B650E5" w:rsidRDefault="00B650E5">
      <w:pPr>
        <w:pStyle w:val="Odsekzoznamu"/>
        <w:numPr>
          <w:ilvl w:val="3"/>
          <w:numId w:val="234"/>
        </w:numPr>
        <w:spacing w:before="120" w:after="120"/>
        <w:ind w:left="851" w:hanging="425"/>
        <w:contextualSpacing w:val="0"/>
        <w:jc w:val="both"/>
      </w:pPr>
      <w:r>
        <w:t>konflikt záujmov;</w:t>
      </w:r>
    </w:p>
    <w:p w14:paraId="0C6B8A83" w14:textId="77777777" w:rsidR="00B650E5" w:rsidRDefault="00B650E5">
      <w:pPr>
        <w:pStyle w:val="Odsekzoznamu"/>
        <w:numPr>
          <w:ilvl w:val="3"/>
          <w:numId w:val="234"/>
        </w:numPr>
        <w:spacing w:before="120" w:after="120"/>
        <w:ind w:left="851" w:hanging="425"/>
        <w:contextualSpacing w:val="0"/>
        <w:jc w:val="both"/>
      </w:pPr>
      <w:r>
        <w:t>iný predmet kontroly definovaný RO.</w:t>
      </w:r>
    </w:p>
    <w:p w14:paraId="14AD82FB" w14:textId="77777777" w:rsidR="00B650E5" w:rsidRDefault="00B650E5">
      <w:pPr>
        <w:pStyle w:val="SRK5"/>
      </w:pPr>
      <w:bookmarkStart w:id="315" w:name="_Toc453234026"/>
      <w:bookmarkStart w:id="316" w:name="_Toc495649385"/>
      <w:bookmarkStart w:id="317" w:name="kapitola_33622"/>
      <w:r>
        <w:t>3.3.6.2.2 Kontrola žiadosti o platbu</w:t>
      </w:r>
      <w:bookmarkEnd w:id="315"/>
      <w:bookmarkEnd w:id="316"/>
      <w:r>
        <w:t xml:space="preserve"> </w:t>
      </w:r>
    </w:p>
    <w:bookmarkEnd w:id="317"/>
    <w:p w14:paraId="5F86A449" w14:textId="77777777" w:rsidR="00B650E5" w:rsidRDefault="00B650E5" w:rsidP="00997CB0">
      <w:pPr>
        <w:pStyle w:val="Odsekzoznamu"/>
        <w:numPr>
          <w:ilvl w:val="0"/>
          <w:numId w:val="33"/>
        </w:numPr>
        <w:spacing w:before="120" w:after="120"/>
        <w:ind w:left="426" w:hanging="426"/>
        <w:contextualSpacing w:val="0"/>
        <w:jc w:val="both"/>
      </w:pPr>
      <w:r>
        <w:t xml:space="preserve">NFP na realizáciu projektu, ktorý je predmetom schválenej ŽoNFP, sa prijímateľovi poskytuje na základe ŽoP. Formulár ŽoP definuje Ministerstvo financií SR v Systéme finančného riadenia. RO je povinný zabezpečiť, aby boli ŽoP prijímateľom vypracované a elektronicky odosielané prostredníctvom elektronického formulára v rámci verejnej časti ITMS 2014+ a následne v originálnom vyhotovení v písomnej forme </w:t>
      </w:r>
      <w:r w:rsidR="00C864A0" w:rsidRPr="00C864A0">
        <w:t>(tzn. v listinnej podobe, alebo elektronicky prostredníctvom Ústredného portálu verejnej správy, podpísanú kvalifikovaným elektronickým podpisom, kvalifikovaným elektronickým podpisom s mandátnym certifikátom alebo kvalifikovanou elektronickou pečaťou)</w:t>
      </w:r>
      <w:r w:rsidR="00C864A0">
        <w:t xml:space="preserve"> </w:t>
      </w:r>
      <w:r>
        <w:t xml:space="preserve">predložené RO v stanovených termínoch spolu s povinnými prílohami. Momentom začatia kontroly ŽoP je doručenie písomnej formy ŽoP.  </w:t>
      </w:r>
    </w:p>
    <w:p w14:paraId="4B595AD6" w14:textId="023B2493" w:rsidR="00B650E5" w:rsidRDefault="00B650E5">
      <w:pPr>
        <w:pStyle w:val="Odsekzoznamu"/>
        <w:numPr>
          <w:ilvl w:val="0"/>
          <w:numId w:val="33"/>
        </w:numPr>
        <w:spacing w:before="120" w:after="120"/>
        <w:ind w:left="426" w:hanging="426"/>
        <w:contextualSpacing w:val="0"/>
        <w:jc w:val="both"/>
      </w:pPr>
      <w:r>
        <w:t xml:space="preserve">Všetky prijaté ŽoP prijímateľa musia byť podrobené administratívnej finančnej kontrole RO v plnom rozsahu. Pri výkone kontroly ŽoP vypĺňa RO kontrolný zoznam, ktorého minimálne náležitosti sú stanovené vo vzore vydanom CKO pričom RO je oprávnený rozšíriť si okruh kontrolných otázok v nadväznosti na špecifiká a potreby OP. V rámci kontroly ŽoP vykonanej formou administratívnej finančnej kontroly je RO povinný vykonať taktiež kontrolu relevantnej podpornej dokumentácie, ktorá tvorí prílohu ŽoP. Minimálny rozsah podpornej dokumentácie pre najčastejšie sa vyskytujúce skupiny výdavkov </w:t>
      </w:r>
      <w:r w:rsidR="00043F2B" w:rsidRPr="00997CB0">
        <w:rPr>
          <w:strike/>
        </w:rPr>
        <w:t>budú</w:t>
      </w:r>
      <w:r w:rsidR="00043F2B" w:rsidRPr="007C2CE4">
        <w:t xml:space="preserve">sú </w:t>
      </w:r>
      <w:r w:rsidRPr="000F7D38">
        <w:t>uvedené v</w:t>
      </w:r>
      <w:r>
        <w:t> metodickom pokyne</w:t>
      </w:r>
      <w:r>
        <w:rPr>
          <w:rStyle w:val="Odkaznapoznmkupodiarou"/>
        </w:rPr>
        <w:footnoteReference w:id="90"/>
      </w:r>
      <w:r>
        <w:t xml:space="preserve">. </w:t>
      </w:r>
    </w:p>
    <w:p w14:paraId="3DFEA72C" w14:textId="77777777" w:rsidR="00B650E5" w:rsidRDefault="00B650E5">
      <w:pPr>
        <w:pStyle w:val="Odsekzoznamu"/>
        <w:numPr>
          <w:ilvl w:val="0"/>
          <w:numId w:val="33"/>
        </w:numPr>
        <w:spacing w:before="120" w:after="120"/>
        <w:ind w:left="426" w:hanging="426"/>
        <w:contextualSpacing w:val="0"/>
        <w:jc w:val="both"/>
      </w:pPr>
      <w:r>
        <w:lastRenderedPageBreak/>
        <w:t xml:space="preserve">Na to, aby bola prijímateľovi schválená ŽoP, musí byť kontrola celej ŽoP vykonaná vždy formou administratívnej finančnej kontroly, v prípade potreby môže byť doplnená aj formou finančnej kontroly na mieste, pričom platí pravidlo, že kontrola ŽoP formou finančnej kontroly na mieste nemôže nahradiť kontrolu ŽoP formou administratívnej finančnej kontroly.  </w:t>
      </w:r>
    </w:p>
    <w:p w14:paraId="6D601E3F" w14:textId="31F6CAE8" w:rsidR="00B650E5" w:rsidRDefault="00B650E5">
      <w:pPr>
        <w:pStyle w:val="Odsekzoznamu"/>
        <w:numPr>
          <w:ilvl w:val="0"/>
          <w:numId w:val="33"/>
        </w:numPr>
        <w:spacing w:before="120" w:after="120"/>
        <w:ind w:left="426" w:hanging="426"/>
        <w:contextualSpacing w:val="0"/>
        <w:jc w:val="both"/>
      </w:pPr>
      <w:r>
        <w:t xml:space="preserve">RO je oprávnený rozhodnúť, že počas výkonu administratívnej finančnej kontroly ŽoP  je potrebné overiť deklarované výdavky a ostatné skutočnosti uvedené v ŽoP aj formou finančnej kontroly na mieste. Ak RO vykoná počas kontroly ŽoP vykonanej formou administratívnej finančnej kontroly finančnú kontrolu na mieste, </w:t>
      </w:r>
      <w:r w:rsidR="008B7D1F">
        <w:t>ide</w:t>
      </w:r>
      <w:r>
        <w:t xml:space="preserve"> o prerušenie výkonu kontroly ŽoP formou administratívnej finančnej kontroly len v prípade, ak je dôvodom na prerušenie výkonu minimálne jedna zo skutočností uvedených v článku 132 ods. 2 všeobecného nariadenia (napr. v prípade, ak ŽoP nie je správna, ak povinná podporná dokumentácia nie je súčasťou ŽoP, ak podporná dokumentácia, ktorá je súčasťou ŽoP nie je úplná, alebo ak je nesprávne vyplnená). V tomto prípade je RO povinný písomne oznámiť prijímateľovi prerušenie plynutia lehoty na spracovanie ŽoP a dôvody tohto prerušenia (napr. prostredníctvom výzvy na doplnenie podpornej dokumentácie). Ak je dôvodom na výkon finančnej kontroly na mieste skutočnosť, ktorú nie je možné začleniť pod článok 132 ods. 2 všeobecného nariadenia, lehota určená na výkon kontroly ŽoP formou administratívnej finančnej kontroly naďalej plynie.  </w:t>
      </w:r>
    </w:p>
    <w:p w14:paraId="1B7539DF" w14:textId="77777777" w:rsidR="00B650E5" w:rsidRDefault="00B650E5">
      <w:pPr>
        <w:pStyle w:val="Odsekzoznamu"/>
        <w:numPr>
          <w:ilvl w:val="0"/>
          <w:numId w:val="33"/>
        </w:numPr>
        <w:spacing w:before="120" w:after="120"/>
        <w:ind w:left="426" w:hanging="426"/>
        <w:contextualSpacing w:val="0"/>
        <w:jc w:val="both"/>
        <w:rPr>
          <w:caps/>
        </w:rPr>
      </w:pPr>
      <w:r>
        <w:t xml:space="preserve">Cieľom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 </w:t>
      </w:r>
    </w:p>
    <w:p w14:paraId="7B39D189" w14:textId="31A44355" w:rsidR="00B650E5" w:rsidRDefault="00B650E5" w:rsidP="00997CB0">
      <w:pPr>
        <w:pStyle w:val="Odsekzoznamu"/>
        <w:numPr>
          <w:ilvl w:val="0"/>
          <w:numId w:val="33"/>
        </w:numPr>
        <w:spacing w:before="120" w:after="120"/>
        <w:ind w:left="426" w:hanging="426"/>
        <w:contextualSpacing w:val="0"/>
        <w:jc w:val="both"/>
      </w:pPr>
      <w:r>
        <w:t xml:space="preserve">Po doručení ŽoP vykoná RO kontrolu správnosti nárokovaných finančných prostriedkov/deklarovaných výdavkov a ostatných skutočností uvedených v ŽoP v lehote stanovenej Systémom finančného riadenia. RO je povinný vykonať  kontrolu správnosti nárokovaných finančných prostriedkov/deklarovaných výdavkov a ostatných skutočností uvedených v ŽoP vo vzťahu ku všetkým nárokovaným finančným prostriedkom/deklarovaným výdavkom a ostatných skutočností uvedených v ŽoP prijímateľa pred ich uhradením/zúčtovaním. </w:t>
      </w:r>
      <w:r w:rsidR="002575CE" w:rsidRPr="002575CE">
        <w:t xml:space="preserve">Ak sa v predloženej ŽoP nachádzajú výdavky, ktoré podliehajú </w:t>
      </w:r>
      <w:r w:rsidR="002575CE" w:rsidRPr="00935F66">
        <w:t>kontrole VO</w:t>
      </w:r>
      <w:r w:rsidR="008C2015" w:rsidRPr="00935F66">
        <w:t>,</w:t>
      </w:r>
      <w:r w:rsidR="002575CE" w:rsidRPr="00935F66">
        <w:t xml:space="preserve"> upraven</w:t>
      </w:r>
      <w:r w:rsidR="008C2015" w:rsidRPr="00935F66">
        <w:t>ej</w:t>
      </w:r>
      <w:r w:rsidR="002575CE" w:rsidRPr="00935F66">
        <w:t xml:space="preserve"> v</w:t>
      </w:r>
      <w:r w:rsidR="002575CE" w:rsidRPr="002575CE">
        <w:t xml:space="preserve"> časti 3.3.7, v takýchto prípadoch RO postupuje podľa časti </w:t>
      </w:r>
      <w:hyperlink w:anchor="kapitola_3371_ods_8" w:history="1">
        <w:r w:rsidR="002575CE" w:rsidRPr="00997CB0">
          <w:rPr>
            <w:rStyle w:val="Hypertextovprepojenie"/>
          </w:rPr>
          <w:t>3.3.7.1 ods. 8</w:t>
        </w:r>
      </w:hyperlink>
      <w:r w:rsidR="002575CE" w:rsidRPr="002575CE">
        <w:t>.</w:t>
      </w:r>
    </w:p>
    <w:p w14:paraId="74287771" w14:textId="77777777" w:rsidR="00B650E5" w:rsidRDefault="00B650E5">
      <w:pPr>
        <w:pStyle w:val="Odsekzoznamu"/>
        <w:numPr>
          <w:ilvl w:val="0"/>
          <w:numId w:val="33"/>
        </w:numPr>
        <w:spacing w:before="120" w:after="120"/>
        <w:ind w:left="426" w:hanging="426"/>
        <w:contextualSpacing w:val="0"/>
        <w:jc w:val="both"/>
      </w:pPr>
      <w:r>
        <w:t>RO v rámci kontroly správnosti predložených nárokovaných finančných prostriedkov/deklarovaných výdavkov a ostatných skutočností uvedených v ŽoP overí, či vo 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w:t>
      </w:r>
      <w:r w:rsidR="007324D5">
        <w:t>,</w:t>
      </w:r>
      <w:r>
        <w:t xml:space="preserve">  a to najmä z hľadiska:</w:t>
      </w:r>
    </w:p>
    <w:p w14:paraId="4F7B21DC" w14:textId="77777777" w:rsidR="00B650E5" w:rsidRDefault="00B650E5">
      <w:pPr>
        <w:pStyle w:val="Odsekzoznamu"/>
        <w:numPr>
          <w:ilvl w:val="1"/>
          <w:numId w:val="33"/>
        </w:numPr>
        <w:spacing w:before="120" w:after="120"/>
        <w:ind w:left="851" w:hanging="425"/>
        <w:contextualSpacing w:val="0"/>
        <w:jc w:val="both"/>
      </w:pPr>
      <w:r>
        <w:t xml:space="preserve">jednoznačnej </w:t>
      </w:r>
      <w:r>
        <w:rPr>
          <w:u w:val="single"/>
        </w:rPr>
        <w:t>identifikácie</w:t>
      </w:r>
      <w:r>
        <w:t xml:space="preserve"> prijímateľa, údajov a ostatných skutočností uvedených k deklarovaným výdavkom,</w:t>
      </w:r>
    </w:p>
    <w:p w14:paraId="41CEDFD8" w14:textId="77777777" w:rsidR="00B650E5" w:rsidRDefault="00B650E5">
      <w:pPr>
        <w:pStyle w:val="Odsekzoznamu"/>
        <w:numPr>
          <w:ilvl w:val="1"/>
          <w:numId w:val="33"/>
        </w:numPr>
        <w:spacing w:before="120" w:after="120"/>
        <w:ind w:left="851" w:hanging="425"/>
        <w:contextualSpacing w:val="0"/>
        <w:jc w:val="both"/>
      </w:pPr>
      <w:r>
        <w:t xml:space="preserve">oprávnenosti výdavkov vo väzbe na príslušnú </w:t>
      </w:r>
      <w:r>
        <w:rPr>
          <w:u w:val="single"/>
        </w:rPr>
        <w:t>aktivitu</w:t>
      </w:r>
      <w:r>
        <w:t xml:space="preserve"> projektu,</w:t>
      </w:r>
    </w:p>
    <w:p w14:paraId="386E4307" w14:textId="77777777" w:rsidR="00B650E5" w:rsidRDefault="00B650E5">
      <w:pPr>
        <w:pStyle w:val="Odsekzoznamu"/>
        <w:numPr>
          <w:ilvl w:val="1"/>
          <w:numId w:val="33"/>
        </w:numPr>
        <w:spacing w:before="120" w:after="120"/>
        <w:ind w:left="851" w:hanging="425"/>
        <w:contextualSpacing w:val="0"/>
        <w:jc w:val="both"/>
      </w:pPr>
      <w:r>
        <w:t xml:space="preserve">oprávnenosti výdavkov vo vzťahu k </w:t>
      </w:r>
      <w:r>
        <w:rPr>
          <w:u w:val="single"/>
        </w:rPr>
        <w:t>miestu realizácie</w:t>
      </w:r>
      <w:r>
        <w:t xml:space="preserve"> projektu,</w:t>
      </w:r>
    </w:p>
    <w:p w14:paraId="790E2A0C" w14:textId="77777777" w:rsidR="00B650E5" w:rsidRDefault="00B650E5">
      <w:pPr>
        <w:pStyle w:val="Odsekzoznamu"/>
        <w:numPr>
          <w:ilvl w:val="1"/>
          <w:numId w:val="33"/>
        </w:numPr>
        <w:spacing w:before="120" w:after="120"/>
        <w:ind w:left="851" w:hanging="425"/>
        <w:contextualSpacing w:val="0"/>
        <w:jc w:val="both"/>
      </w:pPr>
      <w:r>
        <w:t xml:space="preserve">kontroly </w:t>
      </w:r>
      <w:r>
        <w:rPr>
          <w:u w:val="single"/>
        </w:rPr>
        <w:t>hospodárnosti, efektívnosti, účinnosti a účelnosti</w:t>
      </w:r>
      <w:r>
        <w:t xml:space="preserve"> výdavkov, </w:t>
      </w:r>
    </w:p>
    <w:p w14:paraId="2F700BA4" w14:textId="77777777" w:rsidR="00B650E5" w:rsidRDefault="00B650E5">
      <w:pPr>
        <w:pStyle w:val="Odsekzoznamu"/>
        <w:numPr>
          <w:ilvl w:val="1"/>
          <w:numId w:val="33"/>
        </w:numPr>
        <w:spacing w:before="120" w:after="120"/>
        <w:ind w:left="851" w:hanging="425"/>
        <w:contextualSpacing w:val="0"/>
        <w:jc w:val="both"/>
      </w:pPr>
      <w:r>
        <w:rPr>
          <w:u w:val="single"/>
        </w:rPr>
        <w:t>časovej</w:t>
      </w:r>
      <w:r>
        <w:t xml:space="preserve"> oprávnenosti výdavkov, </w:t>
      </w:r>
    </w:p>
    <w:p w14:paraId="787B6106" w14:textId="77777777" w:rsidR="00B650E5" w:rsidRDefault="00B650E5">
      <w:pPr>
        <w:pStyle w:val="Odsekzoznamu"/>
        <w:numPr>
          <w:ilvl w:val="1"/>
          <w:numId w:val="33"/>
        </w:numPr>
        <w:spacing w:before="120" w:after="120"/>
        <w:ind w:left="851" w:hanging="425"/>
        <w:contextualSpacing w:val="0"/>
        <w:jc w:val="both"/>
      </w:pPr>
      <w:r>
        <w:t xml:space="preserve">oprávnenosti výdavkov vo vzťahu k </w:t>
      </w:r>
      <w:r>
        <w:rPr>
          <w:u w:val="single"/>
        </w:rPr>
        <w:t>cieľovej skupine</w:t>
      </w:r>
      <w:r>
        <w:t xml:space="preserve">, </w:t>
      </w:r>
    </w:p>
    <w:p w14:paraId="30462A34" w14:textId="77777777" w:rsidR="00B650E5" w:rsidRDefault="00B650E5">
      <w:pPr>
        <w:pStyle w:val="Odsekzoznamu"/>
        <w:numPr>
          <w:ilvl w:val="1"/>
          <w:numId w:val="33"/>
        </w:numPr>
        <w:spacing w:before="120" w:after="120"/>
        <w:ind w:left="851" w:hanging="425"/>
        <w:contextualSpacing w:val="0"/>
        <w:jc w:val="both"/>
      </w:pPr>
      <w:r>
        <w:t xml:space="preserve">realizácie </w:t>
      </w:r>
      <w:r>
        <w:rPr>
          <w:u w:val="single"/>
        </w:rPr>
        <w:t>VO alebo  obstarávania a</w:t>
      </w:r>
      <w:r>
        <w:t xml:space="preserve"> overenie oprávnenosti výdavkov z pohľadu záverov už </w:t>
      </w:r>
      <w:r w:rsidRPr="003425F6">
        <w:t xml:space="preserve">vykonanej </w:t>
      </w:r>
      <w:r w:rsidRPr="002576AF">
        <w:t>finančnej kontroly VO</w:t>
      </w:r>
      <w:r w:rsidRPr="00AB2DCC">
        <w:t xml:space="preserve"> alebo</w:t>
      </w:r>
      <w:r>
        <w:t xml:space="preserve"> obstarávania,  </w:t>
      </w:r>
    </w:p>
    <w:p w14:paraId="0ECDCCA8" w14:textId="77777777" w:rsidR="00B650E5" w:rsidRDefault="00B650E5">
      <w:pPr>
        <w:pStyle w:val="Odsekzoznamu"/>
        <w:numPr>
          <w:ilvl w:val="1"/>
          <w:numId w:val="33"/>
        </w:numPr>
        <w:spacing w:before="120" w:after="120"/>
        <w:ind w:left="851" w:hanging="425"/>
        <w:contextualSpacing w:val="0"/>
        <w:jc w:val="both"/>
      </w:pPr>
      <w:r>
        <w:rPr>
          <w:u w:val="single"/>
        </w:rPr>
        <w:lastRenderedPageBreak/>
        <w:t>preukázateľnej matematickej správnosti</w:t>
      </w:r>
      <w:r>
        <w:t xml:space="preserve"> výpočtu výdavkov, </w:t>
      </w:r>
    </w:p>
    <w:p w14:paraId="0831129D" w14:textId="77777777" w:rsidR="00B650E5" w:rsidRDefault="00B650E5">
      <w:pPr>
        <w:pStyle w:val="Odsekzoznamu"/>
        <w:numPr>
          <w:ilvl w:val="1"/>
          <w:numId w:val="33"/>
        </w:numPr>
        <w:spacing w:before="120" w:after="120"/>
        <w:ind w:left="851" w:hanging="425"/>
        <w:contextualSpacing w:val="0"/>
        <w:jc w:val="both"/>
      </w:pPr>
      <w:r>
        <w:rPr>
          <w:u w:val="single"/>
        </w:rPr>
        <w:t>finančnej správnosti</w:t>
      </w:r>
      <w:r>
        <w:t xml:space="preserve"> výdavkov vo vzťahu k rozpočtu projektu (</w:t>
      </w:r>
      <w:r w:rsidR="00C93F30">
        <w:t xml:space="preserve">t. j. </w:t>
      </w:r>
      <w:r>
        <w:t xml:space="preserve"> vo vzťahu k čerpaniu rozpočtu a v prípade, že je rozpočet stanovený v jednotkových cenách aj kontrola neprekročenia jednotkovej ceny),</w:t>
      </w:r>
    </w:p>
    <w:p w14:paraId="5DA3D2BF" w14:textId="77777777" w:rsidR="00B650E5" w:rsidRDefault="00B650E5">
      <w:pPr>
        <w:pStyle w:val="Odsekzoznamu"/>
        <w:numPr>
          <w:ilvl w:val="1"/>
          <w:numId w:val="33"/>
        </w:numPr>
        <w:spacing w:before="120" w:after="120"/>
        <w:ind w:left="851" w:hanging="425"/>
        <w:contextualSpacing w:val="0"/>
        <w:jc w:val="both"/>
      </w:pPr>
      <w:r>
        <w:rPr>
          <w:u w:val="single"/>
        </w:rPr>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doklady - faktúry, pokladničné bloky, dodacie listy v prípadoch, že dodanie tovaru nie je zdokladované priamo na faktúre, dodávateľsko-odberateľské zmluvy a pod.),</w:t>
      </w:r>
    </w:p>
    <w:p w14:paraId="70D8CEB0" w14:textId="77777777" w:rsidR="00B650E5" w:rsidRDefault="00B650E5">
      <w:pPr>
        <w:pStyle w:val="Odsekzoznamu"/>
        <w:numPr>
          <w:ilvl w:val="1"/>
          <w:numId w:val="33"/>
        </w:numPr>
        <w:spacing w:before="120" w:after="120"/>
        <w:ind w:left="851" w:hanging="425"/>
        <w:contextualSpacing w:val="0"/>
        <w:jc w:val="both"/>
      </w:pPr>
      <w:r>
        <w:t>preukázanie zverejnenia zmluvy s úspešným uchádzačom v zmysle § 5a zákona  o slobode informácií (aplikuje sa v prípade, ak toto overenie nebolo predmetom finančnej kontroly VO alebo obstarávania),</w:t>
      </w:r>
    </w:p>
    <w:p w14:paraId="487E25F5" w14:textId="77777777" w:rsidR="00B650E5" w:rsidRDefault="00B650E5">
      <w:pPr>
        <w:pStyle w:val="Odsekzoznamu"/>
        <w:numPr>
          <w:ilvl w:val="1"/>
          <w:numId w:val="33"/>
        </w:numPr>
        <w:spacing w:before="120" w:after="120"/>
        <w:ind w:left="851" w:hanging="425"/>
        <w:contextualSpacing w:val="0"/>
        <w:jc w:val="both"/>
      </w:pPr>
      <w:r>
        <w:rPr>
          <w:u w:val="single"/>
        </w:rPr>
        <w:t>preukázateľnosti reálneho vyplatenia</w:t>
      </w:r>
      <w:r>
        <w:t xml:space="preserve"> výdavku prijímateľom (napr. potvrdenie výdavkovými pokladničnými blokmi, výpismi z bankového účtu) ak je relevantné, </w:t>
      </w:r>
    </w:p>
    <w:p w14:paraId="2A82F0C3" w14:textId="77777777" w:rsidR="00B650E5" w:rsidRDefault="00B650E5">
      <w:pPr>
        <w:pStyle w:val="Odsekzoznamu"/>
        <w:numPr>
          <w:ilvl w:val="1"/>
          <w:numId w:val="33"/>
        </w:numPr>
        <w:spacing w:before="120" w:after="120"/>
        <w:ind w:left="851" w:hanging="425"/>
        <w:contextualSpacing w:val="0"/>
        <w:jc w:val="both"/>
      </w:pPr>
      <w:r>
        <w:rPr>
          <w:u w:val="single"/>
        </w:rPr>
        <w:t>súladu</w:t>
      </w:r>
      <w:r>
        <w:t xml:space="preserve"> predloženého výdavku </w:t>
      </w:r>
      <w:r>
        <w:rPr>
          <w:u w:val="single"/>
        </w:rPr>
        <w:t>so štandardnou stupnicou</w:t>
      </w:r>
      <w:r>
        <w:t xml:space="preserve"> jednotkových výdavkov v prípade využitia zjednodušeného vykazovania výdavkov formou štandardnej stupnice jednotkových výdavkov,</w:t>
      </w:r>
    </w:p>
    <w:p w14:paraId="7C5B2AA0" w14:textId="77777777" w:rsidR="00B650E5" w:rsidRDefault="00B650E5">
      <w:pPr>
        <w:pStyle w:val="Odsekzoznamu"/>
        <w:numPr>
          <w:ilvl w:val="1"/>
          <w:numId w:val="33"/>
        </w:numPr>
        <w:spacing w:before="120" w:after="120"/>
        <w:ind w:left="851" w:hanging="425"/>
        <w:contextualSpacing w:val="0"/>
        <w:jc w:val="both"/>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14:paraId="507F2865" w14:textId="77777777" w:rsidR="00B650E5" w:rsidRDefault="00B650E5">
      <w:pPr>
        <w:pStyle w:val="Odsekzoznamu"/>
        <w:numPr>
          <w:ilvl w:val="1"/>
          <w:numId w:val="33"/>
        </w:numPr>
        <w:spacing w:before="120" w:after="120"/>
        <w:ind w:left="851" w:hanging="425"/>
        <w:contextualSpacing w:val="0"/>
        <w:jc w:val="both"/>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14:paraId="393D96AA" w14:textId="77777777" w:rsidR="00B650E5" w:rsidRDefault="00B650E5">
      <w:pPr>
        <w:pStyle w:val="Odsekzoznamu"/>
        <w:numPr>
          <w:ilvl w:val="1"/>
          <w:numId w:val="33"/>
        </w:numPr>
        <w:spacing w:before="120" w:after="120"/>
        <w:ind w:left="851" w:hanging="425"/>
        <w:contextualSpacing w:val="0"/>
        <w:jc w:val="both"/>
      </w:pPr>
      <w:r>
        <w:t xml:space="preserve">dodržania </w:t>
      </w:r>
      <w:r>
        <w:rPr>
          <w:u w:val="single"/>
        </w:rPr>
        <w:t>harmonogramu realizácie aktivít</w:t>
      </w:r>
      <w:r>
        <w:t xml:space="preserve"> projektu,</w:t>
      </w:r>
    </w:p>
    <w:p w14:paraId="0AC9C7C9" w14:textId="77777777" w:rsidR="00B650E5" w:rsidRDefault="00B650E5">
      <w:pPr>
        <w:pStyle w:val="Odsekzoznamu"/>
        <w:numPr>
          <w:ilvl w:val="1"/>
          <w:numId w:val="33"/>
        </w:numPr>
        <w:spacing w:before="120" w:after="120"/>
        <w:ind w:left="851" w:hanging="425"/>
        <w:contextualSpacing w:val="0"/>
        <w:jc w:val="both"/>
      </w:pPr>
      <w:r>
        <w:t xml:space="preserve">realizácie </w:t>
      </w:r>
      <w:r>
        <w:rPr>
          <w:u w:val="single"/>
        </w:rPr>
        <w:t>oprávnených aktivít</w:t>
      </w:r>
      <w:r>
        <w:t xml:space="preserve"> v zmysle zmluvy o NFP, resp. dokumentu, na ktorý sa zmluva o NFP odkazuje,</w:t>
      </w:r>
    </w:p>
    <w:p w14:paraId="7A021D31" w14:textId="77777777" w:rsidR="00B650E5" w:rsidRDefault="00B650E5">
      <w:pPr>
        <w:pStyle w:val="Odsekzoznamu"/>
        <w:numPr>
          <w:ilvl w:val="1"/>
          <w:numId w:val="33"/>
        </w:numPr>
        <w:spacing w:before="120" w:after="120"/>
        <w:ind w:left="851" w:hanging="425"/>
        <w:contextualSpacing w:val="0"/>
        <w:jc w:val="both"/>
      </w:pPr>
      <w:r>
        <w:t xml:space="preserve">dosiahnutia </w:t>
      </w:r>
      <w:r>
        <w:rPr>
          <w:u w:val="single"/>
        </w:rPr>
        <w:t>merateľných ukazovateľov</w:t>
      </w:r>
      <w:r>
        <w:t xml:space="preserve"> projektu v zmysle zmluvy o NFP (ak je relevantné),</w:t>
      </w:r>
    </w:p>
    <w:p w14:paraId="3E26E354" w14:textId="77777777" w:rsidR="00B650E5" w:rsidRDefault="00B650E5">
      <w:pPr>
        <w:pStyle w:val="Odsekzoznamu"/>
        <w:numPr>
          <w:ilvl w:val="1"/>
          <w:numId w:val="33"/>
        </w:numPr>
        <w:spacing w:before="120" w:after="120"/>
        <w:ind w:left="851" w:hanging="425"/>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14:paraId="74EBD12C" w14:textId="77777777" w:rsidR="00B650E5" w:rsidRDefault="00B650E5">
      <w:pPr>
        <w:pStyle w:val="Odsekzoznamu"/>
        <w:numPr>
          <w:ilvl w:val="1"/>
          <w:numId w:val="33"/>
        </w:numPr>
        <w:spacing w:before="120" w:after="120"/>
        <w:ind w:left="851" w:hanging="425"/>
        <w:contextualSpacing w:val="0"/>
        <w:jc w:val="both"/>
      </w:pPr>
      <w:r>
        <w:rPr>
          <w:u w:val="single"/>
        </w:rPr>
        <w:t>prijatia opatrení</w:t>
      </w:r>
      <w:r>
        <w:t xml:space="preserve"> prijímateľom na odstránenie nedostatkov zistených pri inej kontrole alebo audite vykonaných do času ukončenia kontroly deklarovaných výdavkov (ak je relevantné), </w:t>
      </w:r>
    </w:p>
    <w:p w14:paraId="15C48604" w14:textId="77777777" w:rsidR="00B650E5" w:rsidRDefault="00B650E5">
      <w:pPr>
        <w:pStyle w:val="Odsekzoznamu"/>
        <w:numPr>
          <w:ilvl w:val="1"/>
          <w:numId w:val="33"/>
        </w:numPr>
        <w:spacing w:before="120" w:after="120"/>
        <w:ind w:left="851" w:hanging="425"/>
        <w:contextualSpacing w:val="0"/>
        <w:jc w:val="both"/>
      </w:pPr>
      <w:r>
        <w:t xml:space="preserve">dodržania </w:t>
      </w:r>
      <w:r>
        <w:rPr>
          <w:u w:val="single"/>
        </w:rPr>
        <w:t>zníženia oprávnených výdavkov</w:t>
      </w:r>
      <w:r>
        <w:t xml:space="preserve"> z dôvodu vykonania finančnej opravy a pod.,</w:t>
      </w:r>
    </w:p>
    <w:p w14:paraId="2F55F2D7" w14:textId="77777777" w:rsidR="00B650E5" w:rsidRDefault="00B650E5">
      <w:pPr>
        <w:pStyle w:val="Odsekzoznamu"/>
        <w:numPr>
          <w:ilvl w:val="1"/>
          <w:numId w:val="33"/>
        </w:numPr>
        <w:spacing w:before="120" w:after="120"/>
        <w:ind w:left="851" w:hanging="425"/>
        <w:contextualSpacing w:val="0"/>
        <w:jc w:val="both"/>
      </w:pPr>
      <w:r>
        <w:t>kontroly iných skutočností stanovených RO.</w:t>
      </w:r>
    </w:p>
    <w:p w14:paraId="0F51DC1A" w14:textId="77777777" w:rsidR="00B650E5" w:rsidRDefault="00B650E5">
      <w:pPr>
        <w:pStyle w:val="Odsekzoznamu"/>
        <w:numPr>
          <w:ilvl w:val="0"/>
          <w:numId w:val="33"/>
        </w:numPr>
        <w:spacing w:before="120" w:after="120"/>
        <w:ind w:left="426" w:hanging="426"/>
        <w:contextualSpacing w:val="0"/>
        <w:jc w:val="both"/>
      </w:pPr>
      <w:r>
        <w:t xml:space="preserve">Výdavky prijímateľa deklarované v ŽoP musia spĺňať najmä tieto podmienky: </w:t>
      </w:r>
    </w:p>
    <w:p w14:paraId="52759B8C" w14:textId="77777777" w:rsidR="00B650E5" w:rsidRDefault="00B650E5">
      <w:pPr>
        <w:numPr>
          <w:ilvl w:val="0"/>
          <w:numId w:val="38"/>
        </w:numPr>
        <w:spacing w:before="120" w:after="120"/>
        <w:ind w:left="851" w:hanging="425"/>
        <w:jc w:val="both"/>
      </w:pPr>
      <w:r>
        <w:t xml:space="preserve">výdavok je v súlade s platnými všeobecne záväznými právnymi predpismi (napr. zákon o rozpočtových pravidlách, ZVO, zákon o štátnej pomoci, zákonník práce, zákon o slobode informácií); </w:t>
      </w:r>
    </w:p>
    <w:p w14:paraId="04DD3C5B" w14:textId="77777777" w:rsidR="00B650E5" w:rsidRDefault="00B650E5">
      <w:pPr>
        <w:numPr>
          <w:ilvl w:val="0"/>
          <w:numId w:val="38"/>
        </w:numPr>
        <w:spacing w:before="120" w:after="120"/>
        <w:ind w:left="851" w:hanging="425"/>
        <w:jc w:val="both"/>
      </w:pPr>
      <w:r>
        <w:t xml:space="preserve">výdavok je vynaložený na projekt (existencia priameho spojenia s projektom), schválený RO a realizovaný v zmysle podmienok výzvy na predkladanie ŽoNFP, podmienok schémy pomoci de minimis, príp. schémy štátnej pomoci, ktoré tvoria neoddeliteľnú súčasť výzvy, podmienok zmluvy o NFP; </w:t>
      </w:r>
    </w:p>
    <w:p w14:paraId="36611127" w14:textId="77777777" w:rsidR="00B650E5" w:rsidRDefault="00B650E5">
      <w:pPr>
        <w:numPr>
          <w:ilvl w:val="0"/>
          <w:numId w:val="38"/>
        </w:numPr>
        <w:spacing w:before="120" w:after="120"/>
        <w:ind w:left="851" w:hanging="425"/>
        <w:jc w:val="both"/>
      </w:pPr>
      <w:r>
        <w:lastRenderedPageBreak/>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14:paraId="44DBD172" w14:textId="77777777" w:rsidR="00B650E5" w:rsidRDefault="00B650E5">
      <w:pPr>
        <w:numPr>
          <w:ilvl w:val="0"/>
          <w:numId w:val="38"/>
        </w:numPr>
        <w:spacing w:before="120" w:after="120"/>
        <w:ind w:left="851" w:hanging="425"/>
        <w:jc w:val="both"/>
      </w:pPr>
      <w:r>
        <w:t xml:space="preserve">výdavok je primeraný, </w:t>
      </w:r>
      <w:r w:rsidR="00C93F30">
        <w:t xml:space="preserve">t. j. </w:t>
      </w:r>
      <w:r>
        <w:t xml:space="preserve"> zodpovedá obvyklým cenám v danom mieste a čase a zodpovedá potrebám projektu; </w:t>
      </w:r>
    </w:p>
    <w:p w14:paraId="3FFED8CF" w14:textId="77777777" w:rsidR="00B650E5" w:rsidRDefault="00B650E5">
      <w:pPr>
        <w:numPr>
          <w:ilvl w:val="0"/>
          <w:numId w:val="38"/>
        </w:numPr>
        <w:spacing w:before="120" w:after="120"/>
        <w:ind w:left="851" w:hanging="425"/>
        <w:jc w:val="both"/>
      </w:pPr>
      <w:r>
        <w:t xml:space="preserve">výdavok spĺňa podmienky hospodárnosti, efektívnosti, účelnosti a účinnosti; </w:t>
      </w:r>
    </w:p>
    <w:p w14:paraId="2ED0413C" w14:textId="7BD42143" w:rsidR="00B650E5" w:rsidRDefault="00B650E5">
      <w:pPr>
        <w:numPr>
          <w:ilvl w:val="0"/>
          <w:numId w:val="38"/>
        </w:numPr>
        <w:spacing w:before="120" w:after="120"/>
        <w:ind w:left="851" w:hanging="425"/>
        <w:jc w:val="both"/>
      </w:pPr>
      <w:r>
        <w:t>výdavky musia byť identifikovateľné a preukázateľné a musia byť doložené účtovnými dokladmi,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14:paraId="066371F1" w14:textId="77777777" w:rsidR="00B650E5" w:rsidRPr="000F7D38" w:rsidRDefault="00B650E5" w:rsidP="00AB2DCC">
      <w:pPr>
        <w:numPr>
          <w:ilvl w:val="0"/>
          <w:numId w:val="38"/>
        </w:numPr>
        <w:ind w:left="851"/>
        <w:jc w:val="both"/>
        <w:rPr>
          <w:rFonts w:cs="Arial"/>
          <w:b/>
          <w:bCs/>
          <w:i/>
          <w:iCs/>
        </w:rPr>
      </w:pPr>
      <w:r w:rsidRPr="00DE5D89">
        <w:rPr>
          <w:rFonts w:cs="Arial"/>
        </w:rPr>
        <w:t xml:space="preserve">výdavky súvisiace s preddavkovou platbou spĺňajú podmienky uvedené v písm. a) - e) tohto </w:t>
      </w:r>
      <w:r w:rsidRPr="000F7D38">
        <w:rPr>
          <w:rFonts w:cs="Arial"/>
        </w:rPr>
        <w:t>odseku, ako aj podmienky uvedené v </w:t>
      </w:r>
      <w:hyperlink w:anchor="kapitola_3510" w:history="1">
        <w:r w:rsidRPr="000F7D38">
          <w:rPr>
            <w:rStyle w:val="Hypertextovprepojenie"/>
            <w:rFonts w:cs="Arial"/>
          </w:rPr>
          <w:t>kapito</w:t>
        </w:r>
        <w:r w:rsidRPr="007C2CE4">
          <w:rPr>
            <w:rStyle w:val="Hypertextovprepojenie"/>
            <w:rFonts w:cs="Arial"/>
          </w:rPr>
          <w:t>le 3.5.10</w:t>
        </w:r>
      </w:hyperlink>
      <w:r w:rsidRPr="000F7D38">
        <w:rPr>
          <w:rFonts w:cs="Arial"/>
          <w:bCs/>
          <w:i/>
          <w:iCs/>
        </w:rPr>
        <w:t>.</w:t>
      </w:r>
    </w:p>
    <w:p w14:paraId="3016E78B" w14:textId="52B09410" w:rsidR="00B650E5" w:rsidRPr="00997CB0" w:rsidRDefault="00B650E5">
      <w:pPr>
        <w:pStyle w:val="Odsekzoznamu"/>
        <w:numPr>
          <w:ilvl w:val="0"/>
          <w:numId w:val="33"/>
        </w:numPr>
        <w:spacing w:before="120" w:after="120"/>
        <w:ind w:left="426" w:hanging="426"/>
        <w:contextualSpacing w:val="0"/>
        <w:jc w:val="both"/>
        <w:rPr>
          <w:color w:val="000000" w:themeColor="text1"/>
        </w:rPr>
      </w:pPr>
      <w:r w:rsidRPr="007C2CE4">
        <w:t>Ak RO pri kontr</w:t>
      </w:r>
      <w:r w:rsidRPr="000F7D38">
        <w:t xml:space="preserve">ole ŽoP zistí, že je potrebné niektoré skutočnosti overiť na mieste, príp. vyplynie táto povinnosť z vykonanej analýzy rizík, vykoná RO finančnú kontrolu na mieste. </w:t>
      </w:r>
      <w:r w:rsidR="00043F2B" w:rsidRPr="00997CB0">
        <w:rPr>
          <w:color w:val="000000" w:themeColor="text1"/>
        </w:rPr>
        <w:t>Ak sa vykonáva administratívna finančná kontrola aj finančná kontrola na mieste tej istej finančnej operácie alebo jej časti, môže sa vypracovať návrh čiastkovej správy alebo návrh správy a čiastková správa alebo správa len z finančnej kontroly na mieste (§ 22 ods. 1 zákona o finančnej kontrole</w:t>
      </w:r>
      <w:r w:rsidR="000F7D38" w:rsidRPr="00997CB0">
        <w:rPr>
          <w:color w:val="000000" w:themeColor="text1"/>
        </w:rPr>
        <w:t>)</w:t>
      </w:r>
      <w:r w:rsidR="00043F2B" w:rsidRPr="00997CB0">
        <w:rPr>
          <w:color w:val="000000" w:themeColor="text1"/>
        </w:rPr>
        <w:t>. V takomto prípade sa vypracovaný dokument vkladá do ITMS</w:t>
      </w:r>
      <w:r w:rsidR="00FB3000">
        <w:rPr>
          <w:color w:val="000000" w:themeColor="text1"/>
        </w:rPr>
        <w:t xml:space="preserve"> </w:t>
      </w:r>
      <w:r w:rsidR="00043F2B" w:rsidRPr="00997CB0">
        <w:rPr>
          <w:color w:val="000000" w:themeColor="text1"/>
        </w:rPr>
        <w:t>2014+ k finančnej kontrole na mieste aj k administratívnej finančnej kontrole.</w:t>
      </w:r>
    </w:p>
    <w:p w14:paraId="79BD93CA" w14:textId="17147DBC" w:rsidR="00B650E5" w:rsidRDefault="00B650E5">
      <w:pPr>
        <w:pStyle w:val="Odsekzoznamu"/>
        <w:numPr>
          <w:ilvl w:val="0"/>
          <w:numId w:val="33"/>
        </w:numPr>
        <w:spacing w:before="120" w:after="120"/>
        <w:ind w:left="426" w:hanging="426"/>
        <w:contextualSpacing w:val="0"/>
        <w:jc w:val="both"/>
      </w:pPr>
      <w:r w:rsidRPr="000F7D38">
        <w:t>V prípade, ak RO počas kontroly ŽoP zistí, že je potrebné údaje v súvislosti s nárokovanými finančnými prostriedkami/deklarovanými výdavkami a ostatnými skutočnosťami</w:t>
      </w:r>
      <w:r>
        <w:t xml:space="preserve"> uvedenými v ŽoP zo strany prijímateľa doplniť/opraviť, vyzve RO prijímateľa na doplnenie týchto údajov. RO je oprávnený rozhodnúť, že za výzvu na doplnenie/opravu týchto údajov bude považovať doručený návrh </w:t>
      </w:r>
      <w:r w:rsidR="00D85F55">
        <w:t xml:space="preserve">čiastkovej správy z kontroly/správy </w:t>
      </w:r>
      <w:r>
        <w:t xml:space="preserve">z kontroly. Lehota na doplnenie/opravu je minimálne 5 pracovných dní odo dňa doručenia výzvy. Lehota na uskutočnenie kontroly ŽoP neplynie počas plynutia lehoty stanovenej na doplnenie/opravu údajov len v prípade, ak je dôvodom na prerušenie výkonu minimálne jedna zo skutočností uvedených v článku 132 ods. 2 všeobecného nariadenia. </w:t>
      </w:r>
      <w:r w:rsidR="00D85F55">
        <w:t>RO je však povinný písomne oznámiť prijímateľovi prerušenie lehoty na spracovanie ŽoP a dôvod tohto prerušenia.</w:t>
      </w:r>
    </w:p>
    <w:p w14:paraId="78DB937B" w14:textId="36E596CF" w:rsidR="00540841" w:rsidRPr="00540841" w:rsidRDefault="00B650E5" w:rsidP="00540841">
      <w:pPr>
        <w:pStyle w:val="Odsekzoznamu"/>
        <w:numPr>
          <w:ilvl w:val="0"/>
          <w:numId w:val="33"/>
        </w:numPr>
        <w:spacing w:before="120" w:after="120"/>
        <w:ind w:left="426" w:hanging="426"/>
        <w:contextualSpacing w:val="0"/>
        <w:jc w:val="both"/>
      </w:pPr>
      <w:r>
        <w:t xml:space="preserve">RO je </w:t>
      </w:r>
      <w:r w:rsidR="00D85F55">
        <w:t xml:space="preserve">v prípadoch uvedených v ustanovení § 22 ods. 2 písm. a), b) a c) zákona o finančnej kontrole </w:t>
      </w:r>
      <w:r>
        <w:t xml:space="preserve">oprávnený rozhodnúť, že časť deklarovaných výdavkov, ktorá si vyžaduje </w:t>
      </w:r>
      <w:r w:rsidR="00D85F55">
        <w:t xml:space="preserve">napr. </w:t>
      </w:r>
      <w:r>
        <w:t>doplnenie/opravu/overenie niektorých skutočností na mieste</w:t>
      </w:r>
      <w:r w:rsidR="00D85F55">
        <w:t>/overenie u ďalších osôb</w:t>
      </w:r>
      <w:r w:rsidR="00D85F55">
        <w:rPr>
          <w:rStyle w:val="Odkaznapoznmkupodiarou"/>
        </w:rPr>
        <w:footnoteReference w:id="91"/>
      </w:r>
      <w:r>
        <w:t>,  bude vyčlenená do predmetu samostatnej kontroly</w:t>
      </w:r>
      <w:r w:rsidR="00D85F55">
        <w:t>.</w:t>
      </w:r>
      <w:r>
        <w:rPr>
          <w:rStyle w:val="Odkaznapoznmkupodiarou"/>
        </w:rPr>
        <w:footnoteReference w:id="92"/>
      </w:r>
      <w:r>
        <w:t xml:space="preserve"> V prípade, ak RO </w:t>
      </w:r>
      <w:r w:rsidR="00D85F55">
        <w:t xml:space="preserve">z doručenej ŽoP </w:t>
      </w:r>
      <w:r>
        <w:t xml:space="preserve">vyčlení časť výdavkov na samostatnú kontrolu, lehota, ktorá uplynula od </w:t>
      </w:r>
      <w:r w:rsidR="00D85F55">
        <w:t xml:space="preserve">jej </w:t>
      </w:r>
      <w:r>
        <w:t>doručenia</w:t>
      </w:r>
      <w:r w:rsidR="00D85F55">
        <w:t xml:space="preserve"> až po jej úplné ukončenie</w:t>
      </w:r>
      <w:r w:rsidRPr="00AB2DCC">
        <w:t xml:space="preserve">, sa započítava do lehoty stanovenej na </w:t>
      </w:r>
      <w:r w:rsidRPr="007E4476">
        <w:t xml:space="preserve">kontrolu ŽoP vykonanú administratívnou </w:t>
      </w:r>
      <w:r w:rsidR="00540841">
        <w:t>finančnou kontrolou</w:t>
      </w:r>
      <w:r w:rsidRPr="007E4476">
        <w:t xml:space="preserve">. </w:t>
      </w:r>
      <w:r w:rsidR="00540841" w:rsidRPr="00540841">
        <w:t>Lehota neplynie len v prípade, ak výkon kontroly bol prerušený z dôvodu minimálne jednej zo skutočností uvedených v článku 132 ods. 2 všeobecného nariadenia a ak RO skutočnosť a dôvody o prerušení plynutia lehoty na spracovanie ŽoP prijímateľovi písomne oznámil.</w:t>
      </w:r>
    </w:p>
    <w:p w14:paraId="4C7F3B59" w14:textId="14C26C84" w:rsidR="00B650E5" w:rsidRPr="003425F6" w:rsidRDefault="00B650E5" w:rsidP="003425F6">
      <w:pPr>
        <w:pStyle w:val="Odsekzoznamu"/>
        <w:numPr>
          <w:ilvl w:val="0"/>
          <w:numId w:val="33"/>
        </w:numPr>
        <w:spacing w:before="120" w:after="120"/>
        <w:ind w:left="426" w:hanging="426"/>
        <w:contextualSpacing w:val="0"/>
        <w:jc w:val="both"/>
      </w:pPr>
      <w:r w:rsidRPr="003425F6">
        <w:t>Pr</w:t>
      </w:r>
      <w:r w:rsidRPr="002576AF">
        <w:t xml:space="preserve">e výkon kontroly deklarovaných výdavkov vyčlenených na samostatnú kontrolu platia pre RO rovnaké práva a povinnosti ako pre výkon kontroly ŽoP vykonanej formou administratívnej </w:t>
      </w:r>
      <w:r w:rsidRPr="007E4476">
        <w:lastRenderedPageBreak/>
        <w:t xml:space="preserve">finančnej kontroly. RO je aj v tomto prípade povinný </w:t>
      </w:r>
      <w:r w:rsidR="00540841">
        <w:t xml:space="preserve">v zmysle ustanovenia § 22 ods. 2 zákona o finančnej kontrole </w:t>
      </w:r>
      <w:r w:rsidRPr="007E4476">
        <w:t>vypracovať návrh čiastkovej správy</w:t>
      </w:r>
      <w:r>
        <w:t xml:space="preserve"> z kontroly</w:t>
      </w:r>
      <w:r w:rsidR="00540841">
        <w:t xml:space="preserve"> </w:t>
      </w:r>
      <w:r w:rsidRPr="007E4476">
        <w:t>(v prípade zistenia nedostatkov) a čiastkovú správu</w:t>
      </w:r>
      <w:r>
        <w:t xml:space="preserve"> z kontroly</w:t>
      </w:r>
      <w:r w:rsidRPr="007E4476">
        <w:t xml:space="preserve">.  </w:t>
      </w:r>
    </w:p>
    <w:p w14:paraId="4814B679" w14:textId="4D8B62ED" w:rsidR="00B650E5" w:rsidRDefault="00B650E5">
      <w:pPr>
        <w:pStyle w:val="Odsekzoznamu"/>
        <w:numPr>
          <w:ilvl w:val="0"/>
          <w:numId w:val="33"/>
        </w:numPr>
        <w:spacing w:before="120" w:after="120"/>
        <w:ind w:left="426" w:hanging="426"/>
        <w:contextualSpacing w:val="0"/>
        <w:jc w:val="both"/>
      </w:pPr>
      <w:r>
        <w:t>Do ukončenia kontroly ŽoP je RO povinný vyplniť kontrolný zoznam priradený ku kontrole ŽoP, pričom rozsah kontrolných otázok stanovených k osobitnému predmetu kontroly uvedenom v </w:t>
      </w:r>
      <w:hyperlink w:anchor="kapitola_33621_ods_4a" w:tooltip="kapitole 3.3.6.2.1, ods. 4, písm. a)" w:history="1">
        <w:r>
          <w:rPr>
            <w:rStyle w:val="Hypertextovprepojenie"/>
          </w:rPr>
          <w:t>k</w:t>
        </w:r>
        <w:r w:rsidRPr="00935F66">
          <w:rPr>
            <w:rStyle w:val="Hypertextovprepojenie"/>
          </w:rPr>
          <w:t xml:space="preserve">apitole 3.3.6.2.1 ods. </w:t>
        </w:r>
        <w:r w:rsidR="00FB3000">
          <w:rPr>
            <w:rStyle w:val="Hypertextovprepojenie"/>
          </w:rPr>
          <w:t>4</w:t>
        </w:r>
        <w:r w:rsidRPr="00935F66">
          <w:rPr>
            <w:rStyle w:val="Hypertextovprepojenie"/>
          </w:rPr>
          <w:t>, písm. a)</w:t>
        </w:r>
      </w:hyperlink>
      <w:r>
        <w:t xml:space="preserve"> predstavuje minimálnu základňu, ktorá je pre RO povinná. RO je oprávnený doplniť zoznam kontrolných otázok podľa špecifického charakteru daného OP, PO a pod. </w:t>
      </w:r>
    </w:p>
    <w:p w14:paraId="5DA9246F" w14:textId="77777777" w:rsidR="00B650E5" w:rsidRDefault="00B650E5">
      <w:pPr>
        <w:pStyle w:val="Odsekzoznamu"/>
        <w:numPr>
          <w:ilvl w:val="0"/>
          <w:numId w:val="33"/>
        </w:numPr>
        <w:spacing w:before="120" w:after="120"/>
        <w:ind w:left="426" w:hanging="426"/>
        <w:contextualSpacing w:val="0"/>
        <w:jc w:val="both"/>
      </w:pPr>
      <w:r>
        <w:t>Po vykonaní kontroly ŽoP vypracuje RO návrh čiastkovej správy z kontroly/návrh správy z kontroly ŽoP (ak sú zistené nedostatky) a čiastkovú správu z kontroly/správu z kontroly. Bližšie ustanovenia k vypracovaniu návrhu čiastkovej správy z kontroly/návrhu správy z kontroly a čiastkovej správy z kontroly/ správy z kontroly sú uvedené v </w:t>
      </w:r>
      <w:hyperlink w:anchor="kapitola_33613" w:tooltip="kapitole 3.3.6.1.3" w:history="1">
        <w:r w:rsidRPr="00935F66">
          <w:rPr>
            <w:rStyle w:val="Hypertextovprepojenie"/>
          </w:rPr>
          <w:t>kapitole 3.3.6.1.3</w:t>
        </w:r>
      </w:hyperlink>
      <w:r w:rsidRPr="00935F66">
        <w:t>.</w:t>
      </w:r>
      <w:r>
        <w:t xml:space="preserve">  </w:t>
      </w:r>
    </w:p>
    <w:p w14:paraId="3CE7A66B" w14:textId="77777777" w:rsidR="00B650E5" w:rsidRDefault="00B650E5">
      <w:pPr>
        <w:pStyle w:val="Odsekzoznamu"/>
        <w:numPr>
          <w:ilvl w:val="0"/>
          <w:numId w:val="33"/>
        </w:numPr>
        <w:spacing w:before="120" w:after="120"/>
        <w:ind w:left="426" w:hanging="426"/>
        <w:contextualSpacing w:val="0"/>
        <w:jc w:val="both"/>
      </w:pPr>
      <w:bookmarkStart w:id="318" w:name="kapitola_33622_ods_15"/>
      <w:r>
        <w:t xml:space="preserve">Záverom kontroly ŽoP vo vzťahu k nárokovaným finančným prostriedkom/deklarovaným výdavkom, pri zohľadnení jednotlivých typov ŽoP uvedených v Systéme finančného riadenia, môže byť jedna z týchto skutočností: </w:t>
      </w:r>
    </w:p>
    <w:bookmarkEnd w:id="318"/>
    <w:p w14:paraId="1DE82686" w14:textId="77777777" w:rsidR="00B650E5" w:rsidRDefault="00B650E5">
      <w:pPr>
        <w:pStyle w:val="Odsekzoznamu"/>
        <w:numPr>
          <w:ilvl w:val="1"/>
          <w:numId w:val="33"/>
        </w:numPr>
        <w:spacing w:before="120" w:after="120"/>
        <w:ind w:left="851" w:hanging="425"/>
        <w:contextualSpacing w:val="0"/>
        <w:jc w:val="both"/>
      </w:pPr>
      <w:r>
        <w:t>RO navrhuje schváliť nárokované finančné prostriedky (platí v prípade ŽoP – poskytnutie predfinancovania, poskytnutie zálohovej platby)/deklarované výdavky prijímateľa v plnej výške (výdavky spĺňajú požiadavky vyplývajúce z legislatívy EÚ a SR a sú v súlade so zmluvou o NFP),</w:t>
      </w:r>
    </w:p>
    <w:p w14:paraId="6E1A9960" w14:textId="77777777" w:rsidR="00B650E5" w:rsidRDefault="00B650E5">
      <w:pPr>
        <w:pStyle w:val="Odsekzoznamu"/>
        <w:numPr>
          <w:ilvl w:val="1"/>
          <w:numId w:val="33"/>
        </w:numPr>
        <w:spacing w:before="120" w:after="120"/>
        <w:ind w:left="851" w:hanging="425"/>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14:paraId="0D7AE8A5" w14:textId="775F093E" w:rsidR="00B650E5" w:rsidRDefault="00B650E5">
      <w:pPr>
        <w:pStyle w:val="Odsekzoznamu"/>
        <w:numPr>
          <w:ilvl w:val="1"/>
          <w:numId w:val="33"/>
        </w:numPr>
        <w:spacing w:before="120" w:after="120"/>
        <w:ind w:left="851" w:hanging="425"/>
        <w:contextualSpacing w:val="0"/>
        <w:jc w:val="both"/>
      </w:pPr>
      <w:r>
        <w:t>RO navrhuje schváliť nárokované finančné prostriedky (platí v prípade ŽoP – poskytnutie predfinancovania)/deklarované výdavky alebo skupinu nárokovaných finančných prostriedkov/deklarovaných výdavkov bez nárokovaných/deklarovaných výdavkov, u ktorých počas výkonu kontroly rozhodol, že budú predmetom samostatnej kontroly z dôvodu doplnenia/opravy/overenia skutočností na mieste a pod. (RO je oprávnený rozhodnúť, že niektoré z nárokovaných finančných prostriedkov/deklarovaných výdavkov prijímateľa budú z opodstatnených dôvodov predmetom ďalšej kontroly bez potreby opätovného predkladania výdavkov zo strany prijímateľa, napr. z dôvodu potreby kontroly konkrétnych výdavkov na mieste alebo neukončenej finančnej kontroly VO súvisiaceho s daným výdavkom a pod.),</w:t>
      </w:r>
    </w:p>
    <w:p w14:paraId="3F3BC3A7" w14:textId="77777777" w:rsidR="00B650E5" w:rsidRDefault="00B650E5">
      <w:pPr>
        <w:pStyle w:val="Odsekzoznamu"/>
        <w:numPr>
          <w:ilvl w:val="1"/>
          <w:numId w:val="33"/>
        </w:numPr>
        <w:spacing w:before="120" w:after="120"/>
        <w:ind w:left="851" w:hanging="425"/>
        <w:contextualSpacing w:val="0"/>
        <w:jc w:val="both"/>
      </w:pPr>
      <w:r>
        <w:t>RO navrhuje zamietnuť všetky nárokované finančné prostriedky (platí v prípade žiadosti ŽoP – poskytnutie predfinancovania, poskytnutie zálohovej platby)/deklarované výdavky, ktoré boli predmetom kontroly (napr. všetky deklarované výdavky nespĺňajú pravidlá oprávnenosti, prijímateľ po vyzvaní zo strany RO nedoložil údaje/doklady a toto nedoloženie má vplyv na všetky výdavky).</w:t>
      </w:r>
    </w:p>
    <w:p w14:paraId="72CDC2F8" w14:textId="77777777" w:rsidR="00B650E5" w:rsidRDefault="00B650E5" w:rsidP="00997CB0">
      <w:pPr>
        <w:pStyle w:val="Odsekzoznamu"/>
        <w:numPr>
          <w:ilvl w:val="0"/>
          <w:numId w:val="33"/>
        </w:numPr>
        <w:spacing w:before="120" w:after="120"/>
        <w:ind w:left="426" w:hanging="426"/>
        <w:contextualSpacing w:val="0"/>
        <w:jc w:val="both"/>
      </w:pPr>
      <w:r>
        <w:t>Momentom ukončenia kontroly ŽoP je zaslanie správy z kontroly prijímateľovi pri zachovaní postupov uvedených v </w:t>
      </w:r>
      <w:hyperlink w:anchor="kapitola_33622_ods_17" w:tooltip="ods. 17-19" w:history="1">
        <w:r>
          <w:rPr>
            <w:rStyle w:val="Hypertextovprepojenie"/>
          </w:rPr>
          <w:t>ods. 17-19</w:t>
        </w:r>
      </w:hyperlink>
      <w:r>
        <w:t xml:space="preserve">. </w:t>
      </w:r>
      <w:r w:rsidRPr="002F1E31">
        <w:t>Zaslaním čiastkovej správy z kontroly je skončená tá časť finančnej kontroly, ktorej sa čiastková správa z kontroly týka.</w:t>
      </w:r>
      <w:r>
        <w:t xml:space="preserve"> Vo vzťahu k  ŽoP postupuje ďalej RO podľa podmienok a postupov definovaných v Systéme finančného riadenia.</w:t>
      </w:r>
    </w:p>
    <w:p w14:paraId="5ABD941C" w14:textId="77777777" w:rsidR="00B650E5" w:rsidRDefault="00B650E5">
      <w:pPr>
        <w:pStyle w:val="Odsekzoznamu"/>
        <w:numPr>
          <w:ilvl w:val="0"/>
          <w:numId w:val="33"/>
        </w:numPr>
        <w:spacing w:before="120" w:after="120"/>
        <w:ind w:left="426" w:hanging="426"/>
        <w:contextualSpacing w:val="0"/>
        <w:jc w:val="both"/>
      </w:pPr>
      <w:bookmarkStart w:id="319" w:name="kapitola_33622_ods_17"/>
      <w:r>
        <w:lastRenderedPageBreak/>
        <w:t>Ak kontrolou neboli zistené nedostatky je momentom ukončenia kontroly zaslanie čiastkovej správy z kontroly/správy z kontroly prijímateľovi bez potreby vyžiadania si prípadných námietok zo strany prijímateľa. Vo vzťahu ku kontrole deklarovaných výdavkov tak nastane vždy v prípade uvedenom v </w:t>
      </w:r>
      <w:hyperlink w:anchor="kapitola_33622_ods_15" w:tooltip="ods. 15" w:history="1">
        <w:r>
          <w:rPr>
            <w:rStyle w:val="Hypertextovprepojenie"/>
          </w:rPr>
          <w:t>ods. 15</w:t>
        </w:r>
      </w:hyperlink>
      <w:r>
        <w:t>:</w:t>
      </w:r>
    </w:p>
    <w:bookmarkEnd w:id="319"/>
    <w:p w14:paraId="35E7E54B" w14:textId="77777777" w:rsidR="00B650E5" w:rsidRDefault="00B650E5">
      <w:pPr>
        <w:pStyle w:val="Odsekzoznamu"/>
        <w:numPr>
          <w:ilvl w:val="1"/>
          <w:numId w:val="33"/>
        </w:numPr>
        <w:spacing w:before="120" w:after="120"/>
        <w:ind w:left="851" w:hanging="425"/>
        <w:contextualSpacing w:val="0"/>
        <w:jc w:val="both"/>
      </w:pPr>
      <w:r>
        <w:t>písm. a) a </w:t>
      </w:r>
    </w:p>
    <w:p w14:paraId="1C543009" w14:textId="77777777" w:rsidR="00B650E5" w:rsidRDefault="00B650E5">
      <w:pPr>
        <w:pStyle w:val="Odsekzoznamu"/>
        <w:numPr>
          <w:ilvl w:val="1"/>
          <w:numId w:val="33"/>
        </w:numPr>
        <w:spacing w:before="120" w:after="120"/>
        <w:ind w:left="851" w:hanging="425"/>
        <w:contextualSpacing w:val="0"/>
        <w:jc w:val="both"/>
      </w:pPr>
      <w:r>
        <w:t xml:space="preserve">písm. c) vtedy, ak RO schváli nárokované finančné prostriedky/deklarované výdavky  bez deklarovaných výdavkov, ktoré  budú predmetom samostatnej kontroly z dôvodu doplnenia/zmeny/overenia skutočností na mieste a pod. </w:t>
      </w:r>
    </w:p>
    <w:p w14:paraId="64C38F2D" w14:textId="77777777" w:rsidR="00B650E5" w:rsidRDefault="00B650E5">
      <w:pPr>
        <w:pStyle w:val="Odsekzoznamu"/>
        <w:numPr>
          <w:ilvl w:val="0"/>
          <w:numId w:val="33"/>
        </w:numPr>
        <w:spacing w:before="120" w:after="120"/>
        <w:ind w:left="426" w:hanging="426"/>
        <w:contextualSpacing w:val="0"/>
        <w:jc w:val="both"/>
      </w:pPr>
      <w:r>
        <w:t>Ak je záverom kontroly skutočnosť uvedená v </w:t>
      </w:r>
      <w:hyperlink w:anchor="kapitola_33622_ods_15" w:tooltip="ods. 15" w:history="1">
        <w:r>
          <w:rPr>
            <w:rStyle w:val="Hypertextovprepojenie"/>
          </w:rPr>
          <w:t>ods. 15</w:t>
        </w:r>
      </w:hyperlink>
      <w:r>
        <w:t>:</w:t>
      </w:r>
    </w:p>
    <w:p w14:paraId="3D589D3F" w14:textId="77777777" w:rsidR="00B650E5" w:rsidRDefault="00B650E5">
      <w:pPr>
        <w:pStyle w:val="Odsekzoznamu"/>
        <w:numPr>
          <w:ilvl w:val="1"/>
          <w:numId w:val="33"/>
        </w:numPr>
        <w:spacing w:before="120" w:after="120"/>
        <w:ind w:left="851" w:hanging="425"/>
        <w:contextualSpacing w:val="0"/>
        <w:jc w:val="both"/>
      </w:pPr>
      <w:r>
        <w:t xml:space="preserve">písm. b), a </w:t>
      </w:r>
    </w:p>
    <w:p w14:paraId="0B9542F2" w14:textId="77777777" w:rsidR="00B650E5" w:rsidRDefault="00B650E5">
      <w:pPr>
        <w:pStyle w:val="Odsekzoznamu"/>
        <w:numPr>
          <w:ilvl w:val="1"/>
          <w:numId w:val="33"/>
        </w:numPr>
        <w:spacing w:before="120" w:after="120"/>
        <w:ind w:left="851" w:hanging="425"/>
        <w:contextualSpacing w:val="0"/>
        <w:jc w:val="both"/>
      </w:pPr>
      <w:r>
        <w:t>písm. c) vtedy, ak RO schváli niektoré z nárokovaných finančných prostriedkov/deklarovaných výdavkov bez nárokovaných finančných prostriedkov/deklarovaných výdavkov, ktoré budú predmetom samostatnej kontroly z dôvodu dopĺňania/zmeny/overenia skutočností na mieste a pod. a</w:t>
      </w:r>
    </w:p>
    <w:p w14:paraId="7835F535" w14:textId="60A2F1B8" w:rsidR="00B650E5" w:rsidRDefault="00B650E5" w:rsidP="00997CB0">
      <w:pPr>
        <w:pStyle w:val="Odsekzoznamu"/>
        <w:numPr>
          <w:ilvl w:val="1"/>
          <w:numId w:val="33"/>
        </w:numPr>
        <w:spacing w:before="120" w:after="120"/>
        <w:ind w:left="851" w:hanging="425"/>
        <w:contextualSpacing w:val="0"/>
        <w:jc w:val="both"/>
      </w:pPr>
      <w:r>
        <w:t>písm. d) je RO povinný doručiť návrh čiastkovej správy z kontroly/návrh správy z kontroly prijímateľovi s určením lehoty na podanie námietok. RO je povinný poskytnúť prijímateľovi lehotu na podanie námietok v trvaní minimálne 5 pracovných dní. Ak prijímateľ nepodá námietky k</w:t>
      </w:r>
      <w:r w:rsidR="00DC7EAF">
        <w:t> zisteným nedostatkom</w:t>
      </w:r>
      <w:r w:rsidR="0053066F">
        <w:t>, navrhnutým odporúčaniam, opatreniam alebo k lehote na</w:t>
      </w:r>
      <w:r w:rsidR="00FB3000">
        <w:t> </w:t>
      </w:r>
      <w:r w:rsidR="0053066F">
        <w:t xml:space="preserve">predloženie písomného zoznamu splnených opatrení prijatých na nápravu zistených nedostatkov a na odstránenie príčin ich vzniku uvedených </w:t>
      </w:r>
      <w:r w:rsidR="00985B3E">
        <w:t xml:space="preserve">v </w:t>
      </w:r>
      <w:r>
        <w:t>návrhu čiastkovej správy z</w:t>
      </w:r>
      <w:r w:rsidR="00FB3000">
        <w:t> </w:t>
      </w:r>
      <w:r>
        <w:t xml:space="preserve">kontroly/návrhu správy </w:t>
      </w:r>
      <w:r w:rsidR="00985B3E">
        <w:t>z</w:t>
      </w:r>
      <w:r w:rsidR="000F7E20">
        <w:t> </w:t>
      </w:r>
      <w:r w:rsidR="00985B3E">
        <w:t>kontroly</w:t>
      </w:r>
      <w:r w:rsidR="007C2CE4">
        <w:t xml:space="preserve"> </w:t>
      </w:r>
      <w:r>
        <w:t>v lehote stanovenej RO</w:t>
      </w:r>
      <w:r w:rsidR="007C2CE4">
        <w:t>,</w:t>
      </w:r>
      <w:r>
        <w:t xml:space="preserve"> </w:t>
      </w:r>
      <w:r w:rsidR="000F7D38">
        <w:t xml:space="preserve">alebo prijímateľ </w:t>
      </w:r>
      <w:r>
        <w:t>zašle oznámenie o tom, že nemá k</w:t>
      </w:r>
      <w:r w:rsidR="00DC7EAF">
        <w:t> </w:t>
      </w:r>
      <w:r w:rsidR="00985B3E">
        <w:t>zisten</w:t>
      </w:r>
      <w:r w:rsidR="00DC7EAF">
        <w:t>ým nedostatkom</w:t>
      </w:r>
      <w:r w:rsidR="000F7E20">
        <w:t xml:space="preserve">, navrhnutým odporúčaniam, opatreniam alebo k lehote na predloženie písomného zoznamu splnených opatrení prijatých na nápravu zistených nedostatkov a na odstránenie príčin ich vzniku </w:t>
      </w:r>
      <w:r w:rsidR="00985B3E">
        <w:t>uvedený</w:t>
      </w:r>
      <w:r w:rsidR="00DC7EAF">
        <w:t>ch</w:t>
      </w:r>
      <w:r w:rsidR="00985B3E">
        <w:t xml:space="preserve"> v </w:t>
      </w:r>
      <w:r>
        <w:t xml:space="preserve">návrhu čiastkovej správy z kontroly/návrhu správy námietky, </w:t>
      </w:r>
      <w:r w:rsidR="000F7D38">
        <w:t xml:space="preserve">RO </w:t>
      </w:r>
      <w:r>
        <w:t>vypracuje čiastkovú správu z kontroly/správu z kontroly a zašle ju prijímateľovi, pričom momentom ukončenia kontroly je z</w:t>
      </w:r>
      <w:r w:rsidRPr="0053066F">
        <w:t>aslanie</w:t>
      </w:r>
      <w:r>
        <w:t xml:space="preserve"> čiastkovej správy z kontroly/správy z kontroly. V prípade, že prijímateľ zašle v lehote stanovenej RO námietky k</w:t>
      </w:r>
      <w:r w:rsidR="00340770">
        <w:t> </w:t>
      </w:r>
      <w:r w:rsidR="00985B3E">
        <w:t>zisten</w:t>
      </w:r>
      <w:r w:rsidR="00340770">
        <w:t>ým nedostatkom</w:t>
      </w:r>
      <w:r w:rsidR="00B128EA">
        <w:t xml:space="preserve">, navrhnutým odporúčaniam, opatreniam alebo k lehote na predloženie písomného zoznamu splnených opatrení prijatých na nápravu zistených nedostatkov a na odstránenie príčin ich vzniku uvedených v návrhu </w:t>
      </w:r>
      <w:r>
        <w:t xml:space="preserve">čiastkovej správy z kontroly/návrhu správy z kontroly, je RO povinný </w:t>
      </w:r>
      <w:r w:rsidR="00B128EA">
        <w:t xml:space="preserve">zohľadniť </w:t>
      </w:r>
      <w:r>
        <w:t xml:space="preserve">tieto námietky </w:t>
      </w:r>
      <w:r w:rsidR="00985B3E">
        <w:t>a</w:t>
      </w:r>
      <w:r w:rsidR="00B128EA">
        <w:t> odôvodniť ich neopodstatnenosť v čiastkovej správe z kontroly/správe z kontroly.</w:t>
      </w:r>
      <w:r>
        <w:t xml:space="preserve"> RO je povinný zaslať túto čiastkovú správu z kontroly/ správu </w:t>
      </w:r>
      <w:r w:rsidR="00985B3E">
        <w:t xml:space="preserve">z kontroly </w:t>
      </w:r>
      <w:r>
        <w:t xml:space="preserve">prijímateľovi. Kontrola je v tomto prípade ukončená zaslaním správy z kontroly prijímateľovi. </w:t>
      </w:r>
    </w:p>
    <w:p w14:paraId="490CF467" w14:textId="77777777" w:rsidR="00B650E5" w:rsidRDefault="00B650E5">
      <w:pPr>
        <w:pStyle w:val="Odsekzoznamu"/>
        <w:numPr>
          <w:ilvl w:val="0"/>
          <w:numId w:val="33"/>
        </w:numPr>
        <w:spacing w:before="120" w:after="120"/>
        <w:ind w:left="426" w:hanging="426"/>
        <w:contextualSpacing w:val="0"/>
        <w:jc w:val="both"/>
      </w:pPr>
      <w:r>
        <w:t>V prípade, ak RO vyčlenil časť nárokovaných finančných prostriedkov/deklarovaných výdavkov do samostatnej kontroly, môžu byť záverom z tejto samostatnej kontroly deklarovaných výdavkov skutočnosti uvedené v </w:t>
      </w:r>
      <w:hyperlink w:anchor="kapitola_33622_ods_15" w:tooltip="ods. 15" w:history="1">
        <w:r>
          <w:rPr>
            <w:rStyle w:val="Hypertextovprepojenie"/>
          </w:rPr>
          <w:t>ods. 15</w:t>
        </w:r>
      </w:hyperlink>
      <w:r>
        <w:t xml:space="preserve">.  </w:t>
      </w:r>
    </w:p>
    <w:p w14:paraId="110900E4" w14:textId="766C6134" w:rsidR="00B650E5" w:rsidRDefault="00B650E5">
      <w:pPr>
        <w:pStyle w:val="Odsekzoznamu"/>
        <w:numPr>
          <w:ilvl w:val="0"/>
          <w:numId w:val="33"/>
        </w:numPr>
        <w:spacing w:before="120" w:after="120"/>
        <w:ind w:left="426" w:hanging="426"/>
        <w:contextualSpacing w:val="0"/>
        <w:jc w:val="both"/>
      </w:pPr>
      <w:r>
        <w:t xml:space="preserve">V prípade, ak po ukončení kontroly ŽoP bude ŽoP vrátená na RO (napr. z dôvodu zistenia nedostatkov pri kontrole ŽoP z úrovne CO), je RO povinný v stanovenej lehote vykonať novú kontrolu ŽoP. Pri výkone opakovanej kontroly z iného podnetu ako podnetu prijímateľa, RO túto kontrolu vykoná formou finančnej kontroly na mieste </w:t>
      </w:r>
      <w:hyperlink w:anchor="kapitola_33611_ods_9" w:history="1">
        <w:r w:rsidRPr="00D11A8F">
          <w:rPr>
            <w:rStyle w:val="Hypertextovprepojenie"/>
          </w:rPr>
          <w:t>(</w:t>
        </w:r>
        <w:r>
          <w:rPr>
            <w:rStyle w:val="Hypertextovprepojenie"/>
          </w:rPr>
          <w:t>kapitola 3.3.6.1.1 ods.</w:t>
        </w:r>
        <w:r w:rsidR="004E0189">
          <w:rPr>
            <w:rStyle w:val="Hypertextovprepojenie"/>
          </w:rPr>
          <w:t xml:space="preserve"> 10</w:t>
        </w:r>
        <w:r>
          <w:rPr>
            <w:rStyle w:val="Hypertextovprepojenie"/>
          </w:rPr>
          <w:t>).</w:t>
        </w:r>
      </w:hyperlink>
    </w:p>
    <w:p w14:paraId="2173ECC4" w14:textId="77777777" w:rsidR="00B650E5" w:rsidRDefault="0053588C">
      <w:pPr>
        <w:spacing w:before="120" w:after="120"/>
        <w:jc w:val="both"/>
      </w:pPr>
      <w:r>
        <w:rPr>
          <w:noProof/>
        </w:rPr>
        <w:lastRenderedPageBreak/>
        <w:drawing>
          <wp:anchor distT="0" distB="0" distL="138684" distR="138684" simplePos="0" relativeHeight="251663360" behindDoc="0" locked="0" layoutInCell="1" allowOverlap="1" wp14:anchorId="2DAD9F35" wp14:editId="78C181F4">
            <wp:simplePos x="0" y="0"/>
            <wp:positionH relativeFrom="column">
              <wp:posOffset>181229</wp:posOffset>
            </wp:positionH>
            <wp:positionV relativeFrom="paragraph">
              <wp:posOffset>21209</wp:posOffset>
            </wp:positionV>
            <wp:extent cx="5486400" cy="2895600"/>
            <wp:effectExtent l="57150" t="0" r="57150" b="0"/>
            <wp:wrapSquare wrapText="bothSides"/>
            <wp:docPr id="64" name="Diagram 11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2" r:lo="rId193" r:qs="rId194" r:cs="rId195"/>
              </a:graphicData>
            </a:graphic>
            <wp14:sizeRelH relativeFrom="page">
              <wp14:pctWidth>0</wp14:pctWidth>
            </wp14:sizeRelH>
            <wp14:sizeRelV relativeFrom="page">
              <wp14:pctHeight>0</wp14:pctHeight>
            </wp14:sizeRelV>
          </wp:anchor>
        </w:drawing>
      </w:r>
    </w:p>
    <w:p w14:paraId="774EEF0B" w14:textId="77777777" w:rsidR="00B650E5" w:rsidRDefault="00B650E5">
      <w:pPr>
        <w:pStyle w:val="Odsekzoznamu"/>
        <w:spacing w:before="120" w:after="120"/>
        <w:ind w:left="426"/>
        <w:contextualSpacing w:val="0"/>
        <w:jc w:val="both"/>
      </w:pPr>
    </w:p>
    <w:p w14:paraId="2A358304" w14:textId="77777777" w:rsidR="00B650E5" w:rsidRDefault="00B650E5">
      <w:pPr>
        <w:pStyle w:val="Odsekzoznamu"/>
        <w:spacing w:before="120" w:after="120"/>
        <w:ind w:left="426"/>
        <w:contextualSpacing w:val="0"/>
        <w:jc w:val="both"/>
      </w:pPr>
    </w:p>
    <w:p w14:paraId="61EFFA68" w14:textId="77777777" w:rsidR="00B650E5" w:rsidRDefault="00B650E5">
      <w:pPr>
        <w:pStyle w:val="Odsekzoznamu"/>
        <w:spacing w:before="120" w:after="120"/>
        <w:ind w:left="426"/>
        <w:contextualSpacing w:val="0"/>
        <w:jc w:val="both"/>
      </w:pPr>
    </w:p>
    <w:p w14:paraId="4E664C56" w14:textId="77777777" w:rsidR="00B650E5" w:rsidRDefault="00B650E5">
      <w:pPr>
        <w:pStyle w:val="Odsekzoznamu"/>
        <w:spacing w:before="120" w:after="120"/>
        <w:ind w:left="426"/>
        <w:contextualSpacing w:val="0"/>
        <w:jc w:val="both"/>
      </w:pPr>
    </w:p>
    <w:p w14:paraId="458B4FF1" w14:textId="77777777" w:rsidR="00B650E5" w:rsidRDefault="00B650E5">
      <w:pPr>
        <w:pStyle w:val="Odsekzoznamu"/>
        <w:spacing w:before="120" w:after="120"/>
        <w:ind w:left="426"/>
        <w:contextualSpacing w:val="0"/>
        <w:jc w:val="both"/>
      </w:pPr>
    </w:p>
    <w:p w14:paraId="0C869C15" w14:textId="77777777" w:rsidR="00B650E5" w:rsidRDefault="00B650E5">
      <w:pPr>
        <w:pStyle w:val="Odsekzoznamu"/>
        <w:spacing w:before="120" w:after="120"/>
        <w:ind w:left="426"/>
        <w:contextualSpacing w:val="0"/>
        <w:jc w:val="both"/>
      </w:pPr>
    </w:p>
    <w:p w14:paraId="231E88B4" w14:textId="77777777" w:rsidR="00B650E5" w:rsidRDefault="00B650E5">
      <w:pPr>
        <w:pStyle w:val="Odsekzoznamu"/>
        <w:spacing w:before="120" w:after="120"/>
        <w:ind w:left="426"/>
        <w:contextualSpacing w:val="0"/>
        <w:jc w:val="both"/>
      </w:pPr>
    </w:p>
    <w:p w14:paraId="656F2845" w14:textId="77777777" w:rsidR="00B650E5" w:rsidRDefault="00B650E5">
      <w:pPr>
        <w:pStyle w:val="Odsekzoznamu"/>
        <w:spacing w:before="120" w:after="120"/>
        <w:ind w:left="426"/>
        <w:contextualSpacing w:val="0"/>
        <w:jc w:val="both"/>
      </w:pPr>
    </w:p>
    <w:p w14:paraId="7468D8D2" w14:textId="77777777" w:rsidR="00B650E5" w:rsidRDefault="00B650E5">
      <w:pPr>
        <w:pStyle w:val="Odsekzoznamu"/>
        <w:spacing w:before="120" w:after="120"/>
        <w:ind w:left="426"/>
        <w:contextualSpacing w:val="0"/>
        <w:jc w:val="both"/>
      </w:pPr>
    </w:p>
    <w:p w14:paraId="7552F6DB" w14:textId="77777777" w:rsidR="00B650E5" w:rsidRDefault="00B650E5">
      <w:pPr>
        <w:pStyle w:val="Odsekzoznamu"/>
        <w:spacing w:before="120" w:after="120"/>
        <w:ind w:left="426"/>
        <w:contextualSpacing w:val="0"/>
        <w:jc w:val="both"/>
      </w:pPr>
    </w:p>
    <w:p w14:paraId="0AD53875" w14:textId="77777777" w:rsidR="00B650E5" w:rsidRDefault="00B650E5">
      <w:pPr>
        <w:pStyle w:val="Odsekzoznamu"/>
        <w:spacing w:before="120" w:after="120"/>
        <w:ind w:left="426"/>
        <w:contextualSpacing w:val="0"/>
        <w:jc w:val="both"/>
      </w:pPr>
    </w:p>
    <w:p w14:paraId="30E38E96" w14:textId="77777777" w:rsidR="00B650E5" w:rsidRDefault="00B650E5">
      <w:pPr>
        <w:jc w:val="center"/>
        <w:rPr>
          <w:i/>
          <w:sz w:val="20"/>
        </w:rPr>
      </w:pPr>
      <w:bookmarkStart w:id="320" w:name="_Toc390248450"/>
      <w:r>
        <w:rPr>
          <w:i/>
          <w:sz w:val="20"/>
        </w:rPr>
        <w:t xml:space="preserve">Príklady procesov v rámci výkonu kontroly ŽoP formou administratívnej finančnej </w:t>
      </w:r>
    </w:p>
    <w:p w14:paraId="24E1DF2B" w14:textId="77777777" w:rsidR="00B650E5" w:rsidRDefault="00B650E5">
      <w:pPr>
        <w:jc w:val="center"/>
        <w:rPr>
          <w:sz w:val="22"/>
        </w:rPr>
      </w:pPr>
      <w:r>
        <w:rPr>
          <w:i/>
          <w:sz w:val="20"/>
        </w:rPr>
        <w:t>kontroly v prípade, ak nie sú kontrolou zistené nedostatky</w:t>
      </w:r>
      <w:r>
        <w:rPr>
          <w:sz w:val="22"/>
        </w:rPr>
        <w:t>.</w:t>
      </w:r>
    </w:p>
    <w:p w14:paraId="083B43D3" w14:textId="77777777" w:rsidR="00B650E5" w:rsidRDefault="0053588C">
      <w:pPr>
        <w:jc w:val="center"/>
        <w:rPr>
          <w:i/>
          <w:sz w:val="20"/>
        </w:rPr>
      </w:pPr>
      <w:r>
        <w:rPr>
          <w:noProof/>
        </w:rPr>
        <w:drawing>
          <wp:anchor distT="0" distB="0" distL="138684" distR="138684" simplePos="0" relativeHeight="251664384" behindDoc="0" locked="0" layoutInCell="1" allowOverlap="1" wp14:anchorId="32A35558" wp14:editId="3F0DD36E">
            <wp:simplePos x="0" y="0"/>
            <wp:positionH relativeFrom="column">
              <wp:posOffset>266954</wp:posOffset>
            </wp:positionH>
            <wp:positionV relativeFrom="paragraph">
              <wp:posOffset>121793</wp:posOffset>
            </wp:positionV>
            <wp:extent cx="5486400" cy="3104515"/>
            <wp:effectExtent l="57150" t="0" r="57150" b="0"/>
            <wp:wrapTopAndBottom/>
            <wp:docPr id="63" name="Diagram 114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7" r:lo="rId198" r:qs="rId199" r:cs="rId200"/>
              </a:graphicData>
            </a:graphic>
            <wp14:sizeRelH relativeFrom="page">
              <wp14:pctWidth>0</wp14:pctWidth>
            </wp14:sizeRelH>
            <wp14:sizeRelV relativeFrom="page">
              <wp14:pctHeight>0</wp14:pctHeight>
            </wp14:sizeRelV>
          </wp:anchor>
        </w:drawing>
      </w:r>
      <w:r w:rsidR="00B650E5">
        <w:rPr>
          <w:i/>
          <w:sz w:val="20"/>
        </w:rPr>
        <w:t>Príklady procesov v rámci výkonu kontroly ŽoP formou administratívnej finančnej</w:t>
      </w:r>
    </w:p>
    <w:p w14:paraId="64A5A8E7" w14:textId="77777777" w:rsidR="00B650E5" w:rsidRDefault="00B650E5">
      <w:pPr>
        <w:jc w:val="center"/>
        <w:rPr>
          <w:i/>
          <w:sz w:val="20"/>
        </w:rPr>
      </w:pPr>
      <w:r>
        <w:rPr>
          <w:i/>
          <w:sz w:val="20"/>
        </w:rPr>
        <w:t>kontroly v prípade, ak sú kontrolou zistené nedostatky.</w:t>
      </w:r>
    </w:p>
    <w:p w14:paraId="424D890C" w14:textId="77777777" w:rsidR="00B650E5" w:rsidRDefault="00B650E5">
      <w:pPr>
        <w:pStyle w:val="SRK3"/>
      </w:pPr>
      <w:bookmarkStart w:id="321" w:name="_Toc453234027"/>
      <w:bookmarkStart w:id="322" w:name="_Toc495649386"/>
      <w:bookmarkStart w:id="323" w:name="kapitola_337"/>
      <w:r>
        <w:t>3.3.7 Kontrola verejného obstarávania</w:t>
      </w:r>
      <w:bookmarkEnd w:id="320"/>
      <w:bookmarkEnd w:id="321"/>
      <w:bookmarkEnd w:id="322"/>
    </w:p>
    <w:p w14:paraId="338F771D" w14:textId="77777777" w:rsidR="00B650E5" w:rsidRDefault="00B650E5" w:rsidP="0045286B">
      <w:pPr>
        <w:pStyle w:val="SRK4"/>
      </w:pPr>
      <w:bookmarkStart w:id="324" w:name="_Toc386529562"/>
      <w:bookmarkStart w:id="325" w:name="_Toc390248452"/>
      <w:bookmarkStart w:id="326" w:name="_Toc453234028"/>
      <w:bookmarkStart w:id="327" w:name="_Toc495649387"/>
      <w:bookmarkEnd w:id="323"/>
      <w:r>
        <w:t>3.3.7.1. Všeobecné ustanovenia k výkonu finančnej  kontroly verejného obstarávania</w:t>
      </w:r>
      <w:bookmarkEnd w:id="324"/>
      <w:bookmarkEnd w:id="325"/>
      <w:bookmarkEnd w:id="326"/>
      <w:bookmarkEnd w:id="327"/>
    </w:p>
    <w:p w14:paraId="21D960A3" w14:textId="77777777" w:rsidR="00B650E5" w:rsidRPr="005279E2" w:rsidRDefault="00B650E5" w:rsidP="000E286B"/>
    <w:p w14:paraId="2B5D2389" w14:textId="5C6F9EAC" w:rsidR="00B650E5" w:rsidRDefault="00B650E5" w:rsidP="000E286B">
      <w:pPr>
        <w:pStyle w:val="Odsekzoznamu"/>
        <w:numPr>
          <w:ilvl w:val="0"/>
          <w:numId w:val="235"/>
        </w:numPr>
        <w:jc w:val="both"/>
      </w:pPr>
      <w:bookmarkStart w:id="328" w:name="_Toc386529563"/>
      <w:bookmarkStart w:id="329" w:name="_Toc390248453"/>
      <w:r w:rsidRPr="00763BA9">
        <w:t xml:space="preserve">Kontrola verejného obstarávania, ktorej predmetom je postup zadávania zákazky, preukázateľne začatý </w:t>
      </w:r>
      <w:r>
        <w:t xml:space="preserve">do 17. apríla </w:t>
      </w:r>
      <w:r w:rsidRPr="00763BA9">
        <w:t xml:space="preserve">2016, sa vykoná podľa Systému riadenia EŠIF, verzia 3. </w:t>
      </w:r>
      <w:r w:rsidR="00394938">
        <w:t>U</w:t>
      </w:r>
      <w:r w:rsidR="00B96084">
        <w:t>rčenie finančných opráv</w:t>
      </w:r>
      <w:r w:rsidR="00394938">
        <w:t xml:space="preserve"> sa riadi pravidlami, ktoré sú platné v čase vypracovania návrhu správy z kontroly.</w:t>
      </w:r>
      <w:r>
        <w:t xml:space="preserve">  </w:t>
      </w:r>
    </w:p>
    <w:p w14:paraId="2F28FBD6" w14:textId="15E49962" w:rsidR="00B650E5" w:rsidRDefault="00B650E5" w:rsidP="00B5173D">
      <w:pPr>
        <w:numPr>
          <w:ilvl w:val="0"/>
          <w:numId w:val="235"/>
        </w:numPr>
        <w:spacing w:before="120" w:after="120"/>
        <w:ind w:left="426" w:hanging="426"/>
        <w:jc w:val="both"/>
      </w:pPr>
      <w:r>
        <w:t xml:space="preserve">ÚVO vykonáva kontrolu verejného obstarávania financovaného čo aj z časti z prostriedkov Európskej únie podľa ZVO a na základe Dohody o spolupráci medzi CKO a ÚVO. </w:t>
      </w:r>
    </w:p>
    <w:p w14:paraId="52521C01" w14:textId="46BAAB54" w:rsidR="00B650E5" w:rsidRDefault="00B650E5">
      <w:pPr>
        <w:numPr>
          <w:ilvl w:val="0"/>
          <w:numId w:val="235"/>
        </w:numPr>
        <w:spacing w:before="120" w:after="120"/>
        <w:ind w:left="426" w:hanging="426"/>
        <w:jc w:val="both"/>
      </w:pPr>
      <w:r>
        <w:lastRenderedPageBreak/>
        <w:t>RO vykonáva finančnú kontrolu dodržania pravidiel SR a EÚ pri obstarávaní tovarov, služieb, stavebných prác a súvisiacich postupov na základe zákona o finančnej kontrole, ktorá zahŕňa kontrolu:</w:t>
      </w:r>
    </w:p>
    <w:p w14:paraId="33093558" w14:textId="024B8146" w:rsidR="00B650E5" w:rsidRDefault="00F8333A">
      <w:pPr>
        <w:numPr>
          <w:ilvl w:val="0"/>
          <w:numId w:val="40"/>
        </w:numPr>
        <w:spacing w:before="120" w:after="120"/>
        <w:ind w:left="851" w:hanging="426"/>
        <w:jc w:val="both"/>
      </w:pPr>
      <w:r>
        <w:t>pravidiel</w:t>
      </w:r>
      <w:r w:rsidR="00B650E5">
        <w:t xml:space="preserve"> a postupov stanovených ZVO (ďalej len „finančná kontrola VO“); </w:t>
      </w:r>
    </w:p>
    <w:p w14:paraId="035048CA" w14:textId="77777777" w:rsidR="00B650E5" w:rsidRDefault="00B650E5">
      <w:pPr>
        <w:numPr>
          <w:ilvl w:val="0"/>
          <w:numId w:val="40"/>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kapitola 3.3.7.3</w:t>
        </w:r>
      </w:hyperlink>
      <w:r>
        <w:t>.</w:t>
      </w:r>
    </w:p>
    <w:p w14:paraId="3A051C5D" w14:textId="77777777" w:rsidR="00B650E5" w:rsidRDefault="00B650E5" w:rsidP="009D0812">
      <w:pPr>
        <w:numPr>
          <w:ilvl w:val="0"/>
          <w:numId w:val="235"/>
        </w:numPr>
        <w:spacing w:before="120" w:after="120"/>
        <w:ind w:left="425" w:hanging="425"/>
        <w:jc w:val="both"/>
      </w:pPr>
      <w:r>
        <w:t>Cieľom finančnej kontroly VO a kontroly obstarávania je kontrola súladu finančnej operácie s právom SR a EÚ a usmerneniami a metodickými pokynmi CKO a RO. Činnosťou RO nie je dotknutá výlučná a konečná zodpovednosť prijímateľa ako verejného obstarávateľa, obstarávateľa alebo osoby podľa § 8 ZVO za vykonanie VO pri dodržaní všeobecne záväzných právnych predpisov SR a EÚ, základných princípov verejného obstarávania a zmluvy o NFP. Rovnako činnosťou RO nie je dotknutá výlučná a konečná zodpovednosť prijímateľa za obstarávanie aj v prípade, ak tento nie je pri obstarávaní povinný postupovať  podľa ZVO.</w:t>
      </w:r>
    </w:p>
    <w:p w14:paraId="711DF15A" w14:textId="77777777" w:rsidR="00B650E5" w:rsidRDefault="00B650E5">
      <w:pPr>
        <w:numPr>
          <w:ilvl w:val="0"/>
          <w:numId w:val="235"/>
        </w:numPr>
        <w:spacing w:before="120" w:after="120"/>
        <w:ind w:left="425" w:hanging="425"/>
        <w:jc w:val="both"/>
      </w:pPr>
      <w:r>
        <w:t xml:space="preserve">V zmysle článku 125 ods. 4 všeobecného nariadenia je zároveň RO zodpovedný za overenie súladu výdavkov s predpismi EÚ a všeobecne záväznými právnymi predpismi SR. Uvedená povinnosť sa teda vzťahuje aj na kontrolu VO a kontrolu obstarávania. </w:t>
      </w:r>
    </w:p>
    <w:p w14:paraId="24C10B2C" w14:textId="77777777" w:rsidR="00B650E5" w:rsidRDefault="00B650E5">
      <w:pPr>
        <w:numPr>
          <w:ilvl w:val="0"/>
          <w:numId w:val="235"/>
        </w:numPr>
        <w:spacing w:before="120" w:after="120"/>
        <w:ind w:left="425" w:hanging="425"/>
        <w:jc w:val="both"/>
      </w:pPr>
      <w:r>
        <w:t>RO kontroluje dodržiavanie základných princípov VO, ktorými sú:</w:t>
      </w:r>
    </w:p>
    <w:p w14:paraId="1CD66C08" w14:textId="77777777" w:rsidR="00B650E5" w:rsidRDefault="00B650E5">
      <w:pPr>
        <w:numPr>
          <w:ilvl w:val="0"/>
          <w:numId w:val="41"/>
        </w:numPr>
        <w:tabs>
          <w:tab w:val="clear" w:pos="720"/>
        </w:tabs>
        <w:spacing w:before="120" w:after="120"/>
        <w:ind w:left="850" w:hanging="425"/>
        <w:jc w:val="both"/>
      </w:pPr>
      <w:r>
        <w:t>rovnaké zaobchádzanie;</w:t>
      </w:r>
    </w:p>
    <w:p w14:paraId="68FB2899" w14:textId="77777777" w:rsidR="00B650E5" w:rsidRDefault="00B650E5">
      <w:pPr>
        <w:numPr>
          <w:ilvl w:val="0"/>
          <w:numId w:val="41"/>
        </w:numPr>
        <w:tabs>
          <w:tab w:val="clear" w:pos="720"/>
        </w:tabs>
        <w:spacing w:before="120" w:after="120"/>
        <w:ind w:left="850" w:hanging="425"/>
        <w:jc w:val="both"/>
      </w:pPr>
      <w:r>
        <w:t>nediskriminácia hospodárskych subjektov;</w:t>
      </w:r>
    </w:p>
    <w:p w14:paraId="0651708B" w14:textId="77777777" w:rsidR="00B650E5" w:rsidRDefault="00B650E5">
      <w:pPr>
        <w:numPr>
          <w:ilvl w:val="0"/>
          <w:numId w:val="41"/>
        </w:numPr>
        <w:tabs>
          <w:tab w:val="clear" w:pos="720"/>
        </w:tabs>
        <w:spacing w:before="120" w:after="120"/>
        <w:ind w:left="850" w:hanging="425"/>
        <w:jc w:val="both"/>
      </w:pPr>
      <w:r>
        <w:t>transparentnosť vrátane vylúčenia konfliktu záujmov; problematika konfliktu záujmov v rámci výkonu kontroly je upravená v metodickom pokyne CKO</w:t>
      </w:r>
      <w:r>
        <w:rPr>
          <w:rStyle w:val="Odkaznapoznmkupodiarou"/>
        </w:rPr>
        <w:footnoteReference w:id="93"/>
      </w:r>
      <w:r>
        <w:t>;</w:t>
      </w:r>
    </w:p>
    <w:p w14:paraId="7D573ABE" w14:textId="77777777" w:rsidR="00B650E5" w:rsidRDefault="00B650E5">
      <w:pPr>
        <w:numPr>
          <w:ilvl w:val="0"/>
          <w:numId w:val="41"/>
        </w:numPr>
        <w:tabs>
          <w:tab w:val="clear" w:pos="720"/>
        </w:tabs>
        <w:spacing w:before="120" w:after="120"/>
        <w:ind w:left="850" w:hanging="425"/>
        <w:jc w:val="both"/>
      </w:pPr>
      <w:r>
        <w:t>hospodárnosť a efektívnosť,</w:t>
      </w:r>
    </w:p>
    <w:p w14:paraId="16757859" w14:textId="77777777" w:rsidR="00B650E5" w:rsidRDefault="00B650E5">
      <w:pPr>
        <w:numPr>
          <w:ilvl w:val="0"/>
          <w:numId w:val="41"/>
        </w:numPr>
        <w:tabs>
          <w:tab w:val="clear" w:pos="720"/>
        </w:tabs>
        <w:spacing w:before="120" w:after="120"/>
        <w:ind w:left="850" w:hanging="425"/>
        <w:jc w:val="both"/>
      </w:pPr>
      <w:r>
        <w:t>proporcionalita.</w:t>
      </w:r>
    </w:p>
    <w:p w14:paraId="3396A269" w14:textId="699C5142" w:rsidR="00B650E5" w:rsidRDefault="00B650E5">
      <w:pPr>
        <w:numPr>
          <w:ilvl w:val="0"/>
          <w:numId w:val="235"/>
        </w:numPr>
        <w:spacing w:before="120" w:after="120"/>
        <w:ind w:left="426" w:hanging="426"/>
        <w:jc w:val="both"/>
      </w:pPr>
      <w:r>
        <w:t>Účelom finančnej kontroly VO a kontroly obstarávania je zabezpečiť hospodárne a efektívne, účinné a účelné využitie prostriedkov rozpočtu verejnej správy vyčlenených na príslušný OP a overiť primeranosť nárokovaných výdavkov pri dodržaní podmienok zmluvy o NFP a príslušných všeobecne záväzných právnych predpisov SR a EÚ. RO postupuje pri overovaní hospodárnosti a primeranosti výdavkov v rámci finančnej kontroly VO a kontroly obstarávania podľa základných pravidiel overovania hospodárnosti výdavkov, pričom medzi najčastejšie používané pomocné nástroje patria finančné limity na úrovni jednotkových výdavkov, percentuálne limity pre jednotlivé skupiny výdavkov, prieskum trhu alebo stanovenie benchmarkov. Pravidlá overovania hospodárnosti výdavkov upravil CKO v metodickom pokyne</w:t>
      </w:r>
      <w:r>
        <w:rPr>
          <w:rStyle w:val="Odkaznapoznmkupodiarou"/>
        </w:rPr>
        <w:footnoteReference w:id="94"/>
      </w:r>
      <w:r>
        <w:t xml:space="preserve">. </w:t>
      </w:r>
    </w:p>
    <w:p w14:paraId="34E152D6" w14:textId="77777777" w:rsidR="00B650E5" w:rsidRDefault="00B650E5">
      <w:pPr>
        <w:numPr>
          <w:ilvl w:val="0"/>
          <w:numId w:val="235"/>
        </w:numPr>
        <w:spacing w:before="120" w:after="120"/>
        <w:ind w:left="426" w:hanging="426"/>
        <w:jc w:val="both"/>
      </w:pPr>
      <w:bookmarkStart w:id="330" w:name="kapitola_3371_ods_7"/>
      <w:bookmarkStart w:id="331" w:name="kapitola_3371_ods_8"/>
      <w:bookmarkEnd w:id="330"/>
      <w:bookmarkEnd w:id="331"/>
      <w:r>
        <w:t>Výdavky deklarované v ŽoP, ktoré vznikli v súvislosti s realizáciou výsledku VO alebo obstarávania nemôžu byť zo strany RO schválené skôr, ako RO riadne ukončí kontrolu VO, pričom záverom RO je na základe vykonanej kontroly pripustenie predmetných výdavkov do financovania.  Ak napriek uvedenému prijímateľ predloží takúto ŽoP na RO, je RO oprávnený takúto ŽoP zamietnuť.  Ak zo strany RO nedôjde k zamietnutiu ŽoP, pokračuje RO vo výkone kontroly ŽoP, pričom je oprávnený rozhodnúť o prerušení plynutia tejto lehoty v zmysle článku 132 všeobecného nariadenia do momentu ukončenia finančnej kontroly VO alebo kontroly obstarávania.</w:t>
      </w:r>
    </w:p>
    <w:p w14:paraId="4333BA87" w14:textId="77777777" w:rsidR="00B650E5" w:rsidRDefault="00B650E5" w:rsidP="00D63995">
      <w:pPr>
        <w:numPr>
          <w:ilvl w:val="0"/>
          <w:numId w:val="235"/>
        </w:numPr>
        <w:spacing w:before="120" w:after="120"/>
        <w:jc w:val="both"/>
      </w:pPr>
      <w:r>
        <w:lastRenderedPageBreak/>
        <w:t xml:space="preserve">Predmetom kontroly vykonávanej RO 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zadaním/riešením a pod.), a to ako súčasť finančnej kontroly VO, kontroly obstarávania, alebo ako súčasť kontroly ŽoP. V prípade projektov podľa kapitoly 3.3.7.2.8 môže byť súčasťou kontroly VO alebo kontroly obstarávania aj vecná kontrola súladu  predmetu obstarávania, návrhu zmluvných podmienok a iných údajov s opisom projektu. Pokiaľ RO určí, že predmetom finančnej kontroly VO, kontroly obstarávania bude aj takéto posúdenie, zadefinuje si túto kontrolnú oblasť vo svojej riadiacej dokumentácii a v zmluve o NFP, resp. v inom záväznom dokumente, na ktorý zmluva o NFP odkazuje, pričom v tomto prípade sa jedná o rozšírenie finančnej kontroly VO alebo kontroly obstarávania, nie o samostatný druh kontroly. Pokiaľ RO určí vo svojej riadiacej dokumentácii aj výkon takejto kontroly, ktorá bude súčasťou finančnej kontroly VO alebo kontroly obstarávania, je povinný  pri výkone tejto kontroly jasne zadefinovať rozsah a obsah tejto kontroly a dodržiavať pri jej uplatňovaní princíp rovnakého zaobchádzania. Vecná kontrola </w:t>
      </w:r>
      <w:r w:rsidRPr="00D028D0">
        <w:t>súladu predmetu obstarávania, návrhu zmluvných podmienok a iných údajov so schválenou ŽoNFP</w:t>
      </w:r>
      <w:r>
        <w:t xml:space="preserve">, </w:t>
      </w:r>
      <w:r w:rsidRPr="00D028D0">
        <w:t>účinnou zmluvou o</w:t>
      </w:r>
      <w:r>
        <w:t> </w:t>
      </w:r>
      <w:r w:rsidRPr="00D028D0">
        <w:t>NFP</w:t>
      </w:r>
      <w:r>
        <w:t>, resp. opisom projektu v prípade projektov podľa kapitoly 3.3.7.2.8</w:t>
      </w:r>
      <w:r w:rsidRPr="00D028D0">
        <w:t xml:space="preserve"> </w:t>
      </w:r>
      <w:r>
        <w:t>(ďalej aj ako „vecná kontrola verejného obstarávania“) je v kompetencii RO aj v prípade, že kontrolu súladu postupu prijímateľa so ZVO vykonal ÚVO. Pokiaľ RO neurčí, že súčasťou finančnej kontroly VO alebo kontroly obstarávania bude aj takéto posúdenie, je povinný doplniť tento predmet kontroly ku kontrole ŽoP</w:t>
      </w:r>
      <w:r w:rsidR="007324D5">
        <w:t>,</w:t>
      </w:r>
      <w:r>
        <w:t xml:space="preserve"> a to najneskôr pri kontrole oprávnenosti príslušných výdavkov pri kontrole ŽoP. Ustanovenia tohto odseku sa vzťahujú aj na údaje v rozhodnutí o schválení ŽoNFP v prípade, ak prijímateľ a RO je tá istá osoba. </w:t>
      </w:r>
    </w:p>
    <w:p w14:paraId="32879E44" w14:textId="593C0958" w:rsidR="00B650E5" w:rsidRDefault="00B650E5">
      <w:pPr>
        <w:numPr>
          <w:ilvl w:val="0"/>
          <w:numId w:val="235"/>
        </w:numPr>
        <w:spacing w:before="120" w:after="120"/>
        <w:ind w:left="426" w:hanging="426"/>
        <w:jc w:val="both"/>
      </w:pPr>
      <w:r>
        <w:t xml:space="preserve">Povinnosť  predloženia dokumentácie na </w:t>
      </w:r>
      <w:r w:rsidR="009549C1">
        <w:t xml:space="preserve">finančnú </w:t>
      </w:r>
      <w:r>
        <w:t xml:space="preserve">kontrolu VO pred predložením prvej ŽoP v zmysle </w:t>
      </w:r>
      <w:r w:rsidRPr="000E286B">
        <w:t xml:space="preserve">ods. </w:t>
      </w:r>
      <w:r>
        <w:t>9 sa nevzťahuje na zákazky s nízkymi hodnotami podľa § 117 ZVO, ktoré môže prijímateľ predložiť na kontrolu aj súčasne so ŽoP, ktorá obsahuje deklarované výdavky súvisiace s predmetným VO. Možnosť  predložiť dokumentáciu k VO pri zákazkách s nízkymi hodnotami podľa § 117 ZVO súčasne so ŽoP  sa však nevzťahuje na</w:t>
      </w:r>
      <w:r w:rsidR="009549C1">
        <w:t> </w:t>
      </w:r>
      <w:r>
        <w:t>prípady, keď je úhrada týchto deklarovaných výdavkov nárokovaná v ŽoP, ktorá má formu predfinancovania.</w:t>
      </w:r>
    </w:p>
    <w:p w14:paraId="17CF6CA6" w14:textId="6BD93A23" w:rsidR="00B650E5" w:rsidRDefault="00B650E5" w:rsidP="009D6DF9">
      <w:pPr>
        <w:numPr>
          <w:ilvl w:val="0"/>
          <w:numId w:val="235"/>
        </w:numPr>
        <w:spacing w:before="120" w:after="120"/>
        <w:ind w:left="426" w:hanging="426"/>
        <w:jc w:val="both"/>
      </w:pPr>
      <w:r>
        <w:t>Lehoty na výkon finančnej kontroly VO alebo kontroly obstarávania začínajú pre RO plynúť dňom nasledujúcim po dni doručenia dokumentácie</w:t>
      </w:r>
      <w:r w:rsidR="00875045">
        <w:t xml:space="preserve">. Ak dokumentácia nie je kompletná, požiada RO </w:t>
      </w:r>
      <w:r w:rsidR="00AD73AC">
        <w:t>o</w:t>
      </w:r>
      <w:r w:rsidR="00875045">
        <w:t> jej doplnenie a lehota na výkon finančnej kontroly VO sa prerušuje. Rovnako v</w:t>
      </w:r>
      <w:r w:rsidR="006D756C">
        <w:t xml:space="preserve"> prípade podania námietok, resp. plynutia lehoty na podanie námietok proti návrhu správy z kontroly, sa lehota na výkon finančnej kontroly VO prerušuje. </w:t>
      </w:r>
      <w:r>
        <w:t xml:space="preserve">Prijímateľ má možnosť späťvzatia dokumentácie k verejnému obstarávaniu alebo obstarávaniu, ktorá bola predložená na RO za účelom výkonu finančnej kontroly VO alebo kontroly obstarávania, a to so súhlasom dotknutého RO. </w:t>
      </w:r>
      <w:r w:rsidR="00462291">
        <w:t>RO je povinný</w:t>
      </w:r>
      <w:r w:rsidR="00462291" w:rsidRPr="00462291">
        <w:t xml:space="preserve"> dokončiť kontro</w:t>
      </w:r>
      <w:r w:rsidR="00462291">
        <w:t>lu aj späťvzatej dokumentácie, a to formou vydania s</w:t>
      </w:r>
      <w:r w:rsidR="00462291" w:rsidRPr="00462291">
        <w:t xml:space="preserve">právy </w:t>
      </w:r>
      <w:r w:rsidR="00875045">
        <w:t xml:space="preserve">              </w:t>
      </w:r>
      <w:r w:rsidR="00462291" w:rsidRPr="00462291">
        <w:t>z kontroly, kde bud</w:t>
      </w:r>
      <w:r w:rsidR="00875045">
        <w:t xml:space="preserve">e uvedené, že finančnú operáciu </w:t>
      </w:r>
      <w:r w:rsidR="006D756C">
        <w:t xml:space="preserve">je potrebné zastaviť a výdavky </w:t>
      </w:r>
      <w:r w:rsidR="00875045">
        <w:t xml:space="preserve">                                  </w:t>
      </w:r>
      <w:r w:rsidR="00462291" w:rsidRPr="00462291">
        <w:t>z predmetného VO nebudú pripustené do financovania v plnom rozsahu</w:t>
      </w:r>
      <w:r w:rsidR="00462291">
        <w:t xml:space="preserve">. </w:t>
      </w:r>
      <w:r>
        <w:t>Ak prijímateľ opätovne predloží dokumentáciu na finančnú kontrolu, lehoty začínajú plynúť odznovu.</w:t>
      </w:r>
    </w:p>
    <w:p w14:paraId="0B87DCE5" w14:textId="07984C93" w:rsidR="00B650E5" w:rsidRDefault="00B650E5">
      <w:pPr>
        <w:numPr>
          <w:ilvl w:val="0"/>
          <w:numId w:val="235"/>
        </w:numPr>
        <w:spacing w:before="120" w:after="120"/>
        <w:ind w:left="426" w:hanging="426"/>
        <w:jc w:val="both"/>
      </w:pPr>
      <w:r>
        <w:t xml:space="preserve">Pri výkone finančnej kontroly VO a kontroly obstarávania postupuje RO okrem postupov uvedených v tejto časti aj v súlade so základnými povinnosťami a oprávneniami RO pri 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V prípade, ak je určitý postup zadávania zákazky predmetom finančnej kontroly verejného obstarávania alebo obstarávania zo strany viacerých RO, postupuje sa v prípade rôznych záverov kontroly primerane podľa ods. 4 kapitoly 3.3.7.2.6. Na overenie skutočnosti, či je určitý postup zadávania zákazky predmetom finančnej kontroly viacerých RO, je možné využiť ITMS 2014+. Rovnako RO pri výkone finančnej kontroly VO a kontroly obstarávania v oblasti výstupov kontroly </w:t>
      </w:r>
      <w:r>
        <w:lastRenderedPageBreak/>
        <w:t>a ukončenia kontroly postupuje v súlade s postupmi upravenými v rámci kontroly projektov. CKO vyd</w:t>
      </w:r>
      <w:r w:rsidR="00E20643">
        <w:t>al</w:t>
      </w:r>
      <w:r>
        <w:t xml:space="preserve"> vzor</w:t>
      </w:r>
      <w:r>
        <w:rPr>
          <w:rStyle w:val="Odkaznapoznmkupodiarou"/>
        </w:rPr>
        <w:footnoteReference w:id="95"/>
      </w:r>
      <w:r>
        <w:t xml:space="preserve"> kontrolných zoznamov pre výkon finančnej kontroly VO a obstarávania. </w:t>
      </w:r>
    </w:p>
    <w:p w14:paraId="763206B1" w14:textId="0C6EE84D" w:rsidR="00B650E5" w:rsidRDefault="00B650E5">
      <w:pPr>
        <w:numPr>
          <w:ilvl w:val="0"/>
          <w:numId w:val="235"/>
        </w:numPr>
        <w:spacing w:before="120" w:after="120"/>
        <w:ind w:left="426" w:hanging="426"/>
        <w:jc w:val="both"/>
      </w:pPr>
      <w:r>
        <w:t xml:space="preserve">V prípadoch spolupráce pri kontrole VO medzi RO a ÚVO, RO a PMÚ, </w:t>
      </w:r>
      <w:r w:rsidR="00D23763">
        <w:t>RO a</w:t>
      </w:r>
      <w:r w:rsidR="008B7D1F">
        <w:t> orgánmi, činnými v trestnom konaní</w:t>
      </w:r>
      <w:r w:rsidR="00D23763">
        <w:t>,</w:t>
      </w:r>
      <w:r w:rsidR="008B7D1F">
        <w:t xml:space="preserve"> </w:t>
      </w:r>
      <w:r>
        <w:t xml:space="preserve">štatutárny orgán RO </w:t>
      </w:r>
      <w:r w:rsidR="00E20643">
        <w:t xml:space="preserve">oslobodí od povinnosti </w:t>
      </w:r>
      <w:r>
        <w:t xml:space="preserve">mlčanlivosti v zmysle § 27 ods. 3 zákona o finančnej kontrole tých zamestnancov RO alebo prizvané osoby, ktorí sa podieľali na kontrole VO. Rovnaká povinnosť </w:t>
      </w:r>
      <w:r w:rsidR="00E20643">
        <w:t xml:space="preserve">oslobodenia od povinnosti </w:t>
      </w:r>
      <w:r>
        <w:t>mlčanlivosti sa týka aj postupov pri</w:t>
      </w:r>
      <w:r w:rsidR="00E20643">
        <w:t> </w:t>
      </w:r>
      <w:r>
        <w:t>výkone kontroly centrálnych VO podľa kapitoly 3.3.7.2.6.</w:t>
      </w:r>
    </w:p>
    <w:p w14:paraId="7837BBC5" w14:textId="2059B8C4" w:rsidR="00B650E5" w:rsidRDefault="00E20643" w:rsidP="009D6DF9">
      <w:pPr>
        <w:numPr>
          <w:ilvl w:val="0"/>
          <w:numId w:val="235"/>
        </w:numPr>
        <w:spacing w:before="120" w:after="120"/>
        <w:ind w:left="426" w:hanging="426"/>
        <w:jc w:val="both"/>
      </w:pPr>
      <w:r w:rsidRPr="00E20643">
        <w:t>Ak RO vykonáva kontrolu opakovane, kontrolu vykonáva ako administratívnu finančnú kontrolu alebo finančnú kontrolu na mieste. Administratívna finančná kontrola začína prvým úkonom povinnej osoby (prijímateľ</w:t>
      </w:r>
      <w:r w:rsidR="0039101A">
        <w:t>a</w:t>
      </w:r>
      <w:r w:rsidRPr="00E20643">
        <w:t xml:space="preserve">) voči oprávnenej osobe (RO). Prvým úkonom povinnej osoby sa </w:t>
      </w:r>
      <w:r w:rsidR="00875045">
        <w:t xml:space="preserve">                  </w:t>
      </w:r>
      <w:r w:rsidRPr="00E20643">
        <w:t xml:space="preserve">v rámci opakovane vykonávanej kontroly môže rozumieť napr. aj predloženie dokumentácie RO (napr. dodatočná dokumentácia k ŽoP/VO a pod.), opakované predloženie súpisu kompletnej dokumentácie na základe žiadosti RO, predloženie výsledku kontroly iného orgánu, ktorý súvisí so skutočnosťami overovanými RO v rámci kontroly, potvrdenie prijímateľa o tom, či nastali/nenastali nové skutočnosti, ktoré by mal RO zohľadniť pri opakovane vykonanej kontrole, ktoré je predložené na základe žiadosti RO. </w:t>
      </w:r>
      <w:r w:rsidR="0039101A">
        <w:t>U</w:t>
      </w:r>
      <w:r w:rsidRPr="00E20643">
        <w:t>vedené je potrebné bližšie upraviť v záväzných dokumentoch určených prijímateľovi. Ak RO plánuje opakovanú kontrolu vykonať ako administratívnu finančnú kontrolu, odporúča sa, aby RO o potrebe vykonať kontrolu opakovane informoval prijímateľa. Ak prijímateľ ako povinná osoba nevykoná úkon, ktorý by mohol byť v</w:t>
      </w:r>
      <w:r w:rsidR="00CC48CB">
        <w:t> </w:t>
      </w:r>
      <w:r w:rsidRPr="00E20643">
        <w:t>zmysle § 20 ods. 1 zákona o finančnej kontrole považovaný za prvý úkon povinnej osoby, potom RO vykoná opakovanú kontrolu ako finančnú kontrolu na mieste. Finančná kontrola na mieste sa vykonáva spravidla na mieste realizácie projektu alebo v priestoroch prijímateľa</w:t>
      </w:r>
      <w:r w:rsidR="0039101A">
        <w:t>.</w:t>
      </w:r>
    </w:p>
    <w:p w14:paraId="0D2B5DFE" w14:textId="77777777" w:rsidR="00B650E5" w:rsidRDefault="00B650E5" w:rsidP="009D6DF9">
      <w:pPr>
        <w:numPr>
          <w:ilvl w:val="0"/>
          <w:numId w:val="235"/>
        </w:numPr>
        <w:spacing w:before="120" w:after="120"/>
        <w:ind w:left="426" w:hanging="426"/>
        <w:jc w:val="both"/>
      </w:pPr>
      <w:r w:rsidRPr="00AE7867">
        <w:t xml:space="preserve">Pod pojmom návrh správy z kontroly/správa z kontroly sa pre účely kapitoly 3.3.7 </w:t>
      </w:r>
      <w:r>
        <w:t xml:space="preserve">a jej podkapitol </w:t>
      </w:r>
      <w:r w:rsidRPr="00AE7867">
        <w:t xml:space="preserve">rozumie aj návrh čiastkovej správy z kontroly/čiastková správa z kontroly, ak </w:t>
      </w:r>
      <w:r>
        <w:t>je to relevantné.</w:t>
      </w:r>
    </w:p>
    <w:p w14:paraId="53C1A2A1" w14:textId="77777777" w:rsidR="00B650E5" w:rsidRDefault="00B650E5" w:rsidP="0045286B">
      <w:pPr>
        <w:pStyle w:val="SRK4"/>
      </w:pPr>
      <w:bookmarkStart w:id="332" w:name="_Toc453234029"/>
      <w:bookmarkStart w:id="333" w:name="_Toc495649388"/>
      <w:bookmarkStart w:id="334" w:name="kapitola_3372"/>
      <w:bookmarkStart w:id="335" w:name="_Toc378947522"/>
      <w:bookmarkEnd w:id="328"/>
      <w:bookmarkEnd w:id="329"/>
      <w:r>
        <w:t>3.3.7.2</w:t>
      </w:r>
      <w:r w:rsidRPr="005531C5">
        <w:t xml:space="preserve">.  </w:t>
      </w:r>
      <w:r w:rsidRPr="00AB2DCC">
        <w:t>Finančná</w:t>
      </w:r>
      <w:r w:rsidRPr="005531C5">
        <w:t xml:space="preserve"> kontrola</w:t>
      </w:r>
      <w:r w:rsidRPr="00A639B7">
        <w:t xml:space="preserve"> pravidiel</w:t>
      </w:r>
      <w:r>
        <w:t xml:space="preserve"> a postupov stanovených ZVO – všeobecné pravidlá</w:t>
      </w:r>
      <w:bookmarkEnd w:id="332"/>
      <w:bookmarkEnd w:id="333"/>
    </w:p>
    <w:bookmarkEnd w:id="334"/>
    <w:p w14:paraId="4688CDA9" w14:textId="2D120581" w:rsidR="00B650E5" w:rsidRDefault="00B650E5">
      <w:pPr>
        <w:numPr>
          <w:ilvl w:val="0"/>
          <w:numId w:val="236"/>
        </w:numPr>
        <w:spacing w:before="120" w:after="120"/>
        <w:ind w:left="426" w:hanging="426"/>
        <w:jc w:val="both"/>
      </w:pPr>
      <w:r>
        <w:t>Finančná kontrola VO sa podľa času vykonávania, rozsahu a predmetu tejto kontroly delí na nasledovné druhy:</w:t>
      </w:r>
    </w:p>
    <w:p w14:paraId="094697B3" w14:textId="2769F896" w:rsidR="00B650E5" w:rsidRDefault="00B650E5">
      <w:pPr>
        <w:numPr>
          <w:ilvl w:val="0"/>
          <w:numId w:val="42"/>
        </w:numPr>
        <w:spacing w:before="120" w:after="120"/>
        <w:ind w:left="851" w:hanging="426"/>
        <w:jc w:val="both"/>
      </w:pPr>
      <w:r>
        <w:t xml:space="preserve">ex ante kontrola pred vyhlásením VO (ďalej len „prvá </w:t>
      </w:r>
      <w:r w:rsidR="00FB1D18">
        <w:t>ex ante</w:t>
      </w:r>
      <w:r>
        <w:t xml:space="preserve"> kontrola“),</w:t>
      </w:r>
    </w:p>
    <w:p w14:paraId="7436768E" w14:textId="77777777" w:rsidR="00B650E5" w:rsidRDefault="00FB1D18">
      <w:pPr>
        <w:numPr>
          <w:ilvl w:val="0"/>
          <w:numId w:val="42"/>
        </w:numPr>
        <w:spacing w:before="120" w:after="120"/>
        <w:ind w:left="851" w:hanging="426"/>
        <w:jc w:val="both"/>
      </w:pPr>
      <w:r>
        <w:t>ex ante</w:t>
      </w:r>
      <w:r w:rsidR="00B650E5">
        <w:t xml:space="preserve"> kontrola pred podpisom zmluvy s úspešným uchádzačom (ďalej len „druhá </w:t>
      </w:r>
      <w:r>
        <w:t>ex ante</w:t>
      </w:r>
      <w:r w:rsidR="00B650E5">
        <w:t xml:space="preserve"> kontrola“), </w:t>
      </w:r>
    </w:p>
    <w:p w14:paraId="686F1F31" w14:textId="27725A5A" w:rsidR="00B650E5" w:rsidRDefault="00B650E5">
      <w:pPr>
        <w:numPr>
          <w:ilvl w:val="0"/>
          <w:numId w:val="42"/>
        </w:numPr>
        <w:spacing w:before="120" w:after="120"/>
        <w:ind w:left="851" w:hanging="426"/>
        <w:jc w:val="both"/>
      </w:pPr>
      <w:r>
        <w:t xml:space="preserve">ex post kontrola (štandardná alebo následná), </w:t>
      </w:r>
    </w:p>
    <w:p w14:paraId="0A0C9384" w14:textId="77777777" w:rsidR="00B650E5" w:rsidRDefault="00B650E5">
      <w:pPr>
        <w:numPr>
          <w:ilvl w:val="0"/>
          <w:numId w:val="42"/>
        </w:numPr>
        <w:spacing w:before="120" w:after="120"/>
        <w:ind w:left="851" w:hanging="426"/>
        <w:jc w:val="both"/>
      </w:pPr>
      <w:r>
        <w:t>kontrola dodatkov.</w:t>
      </w:r>
    </w:p>
    <w:p w14:paraId="1F83D3F8" w14:textId="77777777" w:rsidR="00B650E5" w:rsidRDefault="00B650E5">
      <w:pPr>
        <w:spacing w:before="120" w:after="120"/>
        <w:ind w:left="426"/>
        <w:jc w:val="both"/>
      </w:pPr>
      <w:r>
        <w:t xml:space="preserve">RO vykoná príslušnú kontrolu vzhľadom na stav, v akom sa VO nachádza v momente po podpise zmluvy o  NFP. </w:t>
      </w:r>
    </w:p>
    <w:p w14:paraId="1F67A098" w14:textId="77777777" w:rsidR="00B650E5" w:rsidRDefault="00B650E5">
      <w:pPr>
        <w:numPr>
          <w:ilvl w:val="0"/>
          <w:numId w:val="236"/>
        </w:numPr>
        <w:spacing w:before="120" w:after="120"/>
        <w:ind w:left="426" w:hanging="426"/>
        <w:jc w:val="both"/>
      </w:pPr>
      <w:r>
        <w:t xml:space="preserve">Prvá </w:t>
      </w:r>
      <w:r w:rsidR="00FB1D18">
        <w:t>ex ante</w:t>
      </w:r>
      <w:r>
        <w:t xml:space="preserve"> kontrola sa vykonáva ako:</w:t>
      </w:r>
    </w:p>
    <w:p w14:paraId="6588B657" w14:textId="77777777" w:rsidR="00B650E5" w:rsidRDefault="00B650E5">
      <w:pPr>
        <w:numPr>
          <w:ilvl w:val="0"/>
          <w:numId w:val="47"/>
        </w:numPr>
        <w:spacing w:before="120" w:after="120"/>
        <w:ind w:left="851" w:hanging="425"/>
        <w:jc w:val="both"/>
      </w:pPr>
      <w:r>
        <w:t>finančná kontrola po podpise zmluvy o NFP, alebo</w:t>
      </w:r>
    </w:p>
    <w:p w14:paraId="48C8209D" w14:textId="77777777" w:rsidR="00B650E5" w:rsidRDefault="00B650E5">
      <w:pPr>
        <w:numPr>
          <w:ilvl w:val="0"/>
          <w:numId w:val="47"/>
        </w:numPr>
        <w:spacing w:before="120" w:after="120"/>
        <w:ind w:left="851" w:hanging="425"/>
        <w:jc w:val="both"/>
      </w:pPr>
      <w:r>
        <w:t>finančná kontrola VO pred podpisom zmluvy o NFP v rámci národných projektov, veľkých projektov, ktoré sú súčasťou zoznamu projektov a kontrola projektov technickej pomoci, pokiaľ RO určil tento typ kontroly ako povinný.</w:t>
      </w:r>
    </w:p>
    <w:p w14:paraId="40980E49" w14:textId="77777777" w:rsidR="00B650E5" w:rsidRDefault="00B650E5" w:rsidP="000E286B">
      <w:pPr>
        <w:spacing w:before="120" w:after="120"/>
        <w:ind w:left="426"/>
        <w:jc w:val="both"/>
      </w:pPr>
      <w:r>
        <w:lastRenderedPageBreak/>
        <w:t xml:space="preserve">V prípade </w:t>
      </w:r>
      <w:r w:rsidRPr="00C65CA5">
        <w:t>VO, v rámci ktorého viacerí prijímatelia nadobúdajú tovary, práce alebo služby prostredníctvom centrálnej obstarávacej organizácie</w:t>
      </w:r>
      <w:r w:rsidRPr="00AD1B11">
        <w:t xml:space="preserve"> </w:t>
      </w:r>
      <w:r>
        <w:t>sa v zmysle kapitoly 3.3.7.2.6 vykoná                 ex ante posúdenie podľa § 168 ZVO. Uvedené pravidlo sa týka centrálnych verejných obstarávaní podľa ods. 1 kapitoly 3.3.7.2.6.</w:t>
      </w:r>
    </w:p>
    <w:p w14:paraId="2468EBE6" w14:textId="77777777" w:rsidR="00B650E5" w:rsidRDefault="00B650E5">
      <w:pPr>
        <w:numPr>
          <w:ilvl w:val="0"/>
          <w:numId w:val="236"/>
        </w:numPr>
        <w:spacing w:before="120" w:after="120"/>
        <w:ind w:left="426" w:hanging="426"/>
        <w:jc w:val="both"/>
      </w:pPr>
      <w:r>
        <w:t xml:space="preserve">Druhá </w:t>
      </w:r>
      <w:r w:rsidR="00FB1D18">
        <w:t>ex ante</w:t>
      </w:r>
      <w:r>
        <w:t xml:space="preserve"> kontrola sa vykonáva ako: </w:t>
      </w:r>
    </w:p>
    <w:p w14:paraId="682EA72D" w14:textId="77777777" w:rsidR="00B650E5" w:rsidRDefault="00B650E5" w:rsidP="008F6B1D">
      <w:pPr>
        <w:numPr>
          <w:ilvl w:val="0"/>
          <w:numId w:val="48"/>
        </w:numPr>
        <w:spacing w:before="120" w:after="120"/>
        <w:jc w:val="both"/>
      </w:pPr>
      <w:r>
        <w:t>finančná kontrola, ktorú vykonáva RO v prípade nadlimitných zákaziek, ktoré nespadajú              pod písm. b) tohto odseku,</w:t>
      </w:r>
    </w:p>
    <w:p w14:paraId="60D05445" w14:textId="77777777" w:rsidR="00B650E5" w:rsidRDefault="00B650E5" w:rsidP="008F6B1D">
      <w:pPr>
        <w:numPr>
          <w:ilvl w:val="0"/>
          <w:numId w:val="48"/>
        </w:numPr>
        <w:spacing w:before="120" w:after="120"/>
        <w:jc w:val="both"/>
      </w:pPr>
      <w:r>
        <w:t>finančná kontrola pred podpisom zmluvy o NFP, ktorú môže vykonávať RO v prípade nadlimitných zákaziek v rámci národných projektov, veľkých projektov, ktoré sú súčasťou zoznamu projektov a nadlimitných zákaziek v rámci projektov technickej pomoci.</w:t>
      </w:r>
    </w:p>
    <w:p w14:paraId="333DBCA0" w14:textId="77777777" w:rsidR="00B650E5" w:rsidRDefault="00B650E5" w:rsidP="000E286B">
      <w:pPr>
        <w:spacing w:before="120" w:after="120"/>
        <w:ind w:left="426"/>
        <w:jc w:val="both"/>
      </w:pPr>
      <w:r>
        <w:t xml:space="preserve">Podkladom pre ukončenie druhej </w:t>
      </w:r>
      <w:r w:rsidR="00FB1D18">
        <w:t>ex ante</w:t>
      </w:r>
      <w:r>
        <w:t xml:space="preserve"> kontroly je podľa kapitoly 3.3.7.2.2 aj kontrola, ktorú vykonáva ÚVO v prípade nadlimitných zákaziek, čo aj z časti financovaných z prostriedkov Európskej únie, vo fáze </w:t>
      </w:r>
      <w:r w:rsidRPr="008F6B1D">
        <w:t xml:space="preserve">pred uzavretím zmluvy, koncesnej zmluvy alebo rámcovej dohody, pred ukončením súťaže návrhov, pred zadaním zákazky na základe rámcovej dohody alebo pred ukončením postupu inovatívneho partnerstva </w:t>
      </w:r>
      <w:r>
        <w:t xml:space="preserve">na základe podnetu prijímateľa podľa § 169 ods. 2 ZVO. </w:t>
      </w:r>
    </w:p>
    <w:p w14:paraId="627A0CA1" w14:textId="6900E996" w:rsidR="00B650E5" w:rsidRDefault="00E57043" w:rsidP="000E286B">
      <w:pPr>
        <w:spacing w:before="120" w:after="120"/>
        <w:ind w:left="426"/>
        <w:jc w:val="both"/>
      </w:pPr>
      <w:r w:rsidRPr="00E57043">
        <w:t xml:space="preserve">Podkladom pre ukončenie druhej </w:t>
      </w:r>
      <w:r w:rsidR="00FB1D18">
        <w:t>ex ante</w:t>
      </w:r>
      <w:r w:rsidRPr="00E57043">
        <w:t xml:space="preserve"> kontroly </w:t>
      </w:r>
      <w:r>
        <w:t>je aj k</w:t>
      </w:r>
      <w:r w:rsidR="00B650E5">
        <w:t>ontrola, ktorú vykonáva ÚVO v prípade nadlimitných zákaziek v rámci národných projektov, veľkých projektov, ktoré sú súčasťou zoznamu projektov a projektov technickej pomoci vo fáze pred podpisom zmluvy o NFP, na základe podnetu budúceho žiadateľa/žiadateľa podľa § 169 ods. 1 písm. b) ZVO.</w:t>
      </w:r>
      <w:r w:rsidR="00B650E5" w:rsidRPr="00455AB3">
        <w:t xml:space="preserve"> Vzťahuje sa na nadlimitné zákazky</w:t>
      </w:r>
      <w:r w:rsidR="00B650E5" w:rsidRPr="00F36036">
        <w:t xml:space="preserve"> v rámci národných projektov, veľkých projektov, ktoré sú súčasťou zoznamu projektov a projektov technickej pomoci</w:t>
      </w:r>
      <w:r w:rsidR="00B650E5" w:rsidRPr="00455AB3">
        <w:t xml:space="preserve">, pri ktorých RO vykonal finančnú kontrolu verejného obstarávania.  </w:t>
      </w:r>
    </w:p>
    <w:p w14:paraId="7F4379C4" w14:textId="77777777" w:rsidR="00B650E5" w:rsidRDefault="00FB1D18">
      <w:pPr>
        <w:numPr>
          <w:ilvl w:val="0"/>
          <w:numId w:val="236"/>
        </w:numPr>
        <w:spacing w:before="120" w:after="120"/>
        <w:ind w:left="426" w:hanging="426"/>
        <w:jc w:val="both"/>
      </w:pPr>
      <w:r>
        <w:t>Ex post</w:t>
      </w:r>
      <w:r w:rsidR="00B650E5">
        <w:t xml:space="preserve"> kontrola sa vykonáva ako: </w:t>
      </w:r>
    </w:p>
    <w:p w14:paraId="5AA34904" w14:textId="77777777" w:rsidR="00B650E5" w:rsidRDefault="00B650E5">
      <w:pPr>
        <w:numPr>
          <w:ilvl w:val="0"/>
          <w:numId w:val="53"/>
        </w:numPr>
        <w:spacing w:before="120" w:after="120"/>
        <w:ind w:left="851" w:hanging="425"/>
        <w:jc w:val="both"/>
      </w:pPr>
      <w:r>
        <w:t xml:space="preserve">finančná kontrola VO, ktoré nespadá pod písm. b) až g) tohto odseku (ďalej len „štandardná </w:t>
      </w:r>
      <w:r w:rsidR="00FB1D18">
        <w:t>ex post</w:t>
      </w:r>
      <w:r>
        <w:t xml:space="preserve"> kontrola“),</w:t>
      </w:r>
    </w:p>
    <w:p w14:paraId="4534FF30" w14:textId="77777777" w:rsidR="00B650E5" w:rsidRDefault="00B650E5">
      <w:pPr>
        <w:numPr>
          <w:ilvl w:val="0"/>
          <w:numId w:val="53"/>
        </w:numPr>
        <w:spacing w:before="120" w:after="120"/>
        <w:ind w:left="851" w:hanging="425"/>
        <w:jc w:val="both"/>
      </w:pPr>
      <w:r>
        <w:t xml:space="preserve">finančná kontrola VO, ktoré bolo predmetom druhej </w:t>
      </w:r>
      <w:r w:rsidR="00FB1D18">
        <w:t>ex ante</w:t>
      </w:r>
      <w:r>
        <w:t xml:space="preserve"> kontroly (ďalej len „následná </w:t>
      </w:r>
      <w:r w:rsidR="00FB1D18">
        <w:t>ex post</w:t>
      </w:r>
      <w:r>
        <w:t xml:space="preserve"> kontrola“),</w:t>
      </w:r>
    </w:p>
    <w:p w14:paraId="1D2E9B06" w14:textId="77777777" w:rsidR="00B650E5" w:rsidRDefault="00B650E5">
      <w:pPr>
        <w:numPr>
          <w:ilvl w:val="0"/>
          <w:numId w:val="53"/>
        </w:numPr>
        <w:spacing w:before="120" w:after="120"/>
        <w:ind w:left="851" w:hanging="425"/>
        <w:jc w:val="both"/>
      </w:pPr>
      <w:r>
        <w:t>finančná kontrola zákaziek s nízkymi hodnotami podľa §  117 ZVO,</w:t>
      </w:r>
    </w:p>
    <w:p w14:paraId="1FFDECB4" w14:textId="77777777" w:rsidR="00B650E5" w:rsidRDefault="00B650E5">
      <w:pPr>
        <w:numPr>
          <w:ilvl w:val="0"/>
          <w:numId w:val="53"/>
        </w:numPr>
        <w:spacing w:before="120" w:after="120"/>
        <w:ind w:left="851" w:hanging="425"/>
        <w:jc w:val="both"/>
      </w:pPr>
      <w:r>
        <w:t xml:space="preserve">finančná kontrola VO, v rámci ktorého viacerí prijímatelia nadobúdajú tovary, práce alebo služby prostredníctvom centrálnej obstarávacej organizácie, </w:t>
      </w:r>
    </w:p>
    <w:p w14:paraId="6B6E7FB8" w14:textId="77777777" w:rsidR="00B650E5" w:rsidRDefault="00B650E5">
      <w:pPr>
        <w:numPr>
          <w:ilvl w:val="0"/>
          <w:numId w:val="53"/>
        </w:numPr>
        <w:spacing w:before="120" w:after="120"/>
        <w:ind w:left="851" w:hanging="425"/>
        <w:jc w:val="both"/>
      </w:pPr>
      <w:r>
        <w:t>finančná kontrola VO v rámci schvaľovacieho procesu ŽoNFP,</w:t>
      </w:r>
    </w:p>
    <w:p w14:paraId="092696E1" w14:textId="630E16DA" w:rsidR="00B650E5" w:rsidRDefault="00B650E5">
      <w:pPr>
        <w:numPr>
          <w:ilvl w:val="0"/>
          <w:numId w:val="53"/>
        </w:numPr>
        <w:spacing w:before="120" w:after="120"/>
        <w:ind w:left="851" w:hanging="425"/>
        <w:jc w:val="both"/>
      </w:pPr>
      <w:r>
        <w:t>finančná kontrola VO národných projektov, veľkých projektov, ktoré sú súčasťou zoznamu projektov a projektov technickej pomoci pred podpisom zmluvy o NFP,</w:t>
      </w:r>
    </w:p>
    <w:p w14:paraId="2876F1E8" w14:textId="77777777" w:rsidR="00B650E5" w:rsidRDefault="00B650E5">
      <w:pPr>
        <w:numPr>
          <w:ilvl w:val="0"/>
          <w:numId w:val="53"/>
        </w:numPr>
        <w:spacing w:before="120" w:after="120"/>
        <w:ind w:left="851" w:hanging="425"/>
        <w:jc w:val="both"/>
      </w:pPr>
      <w:r>
        <w:t xml:space="preserve">kontrola zákaziek realizovaných cez elektronické trhovisko (ďalej aj ako „EKS“). </w:t>
      </w:r>
    </w:p>
    <w:p w14:paraId="762B25A6" w14:textId="300220B0" w:rsidR="00B650E5" w:rsidRDefault="00B650E5">
      <w:pPr>
        <w:numPr>
          <w:ilvl w:val="0"/>
          <w:numId w:val="236"/>
        </w:numPr>
        <w:spacing w:before="120" w:after="120"/>
        <w:ind w:left="426" w:hanging="426"/>
        <w:jc w:val="both"/>
      </w:pPr>
      <w:r>
        <w:t>RO spolupracuje v oblasti kontroly s ÚVO, s </w:t>
      </w:r>
      <w:r w:rsidR="009C717E" w:rsidDel="009C717E">
        <w:t xml:space="preserve"> </w:t>
      </w:r>
      <w:r>
        <w:t xml:space="preserve">PMÚ a s orgánmi činnými v trestnom konaní. Rozsah a záväzné podmienky tejto spolupráce sú obsiahnuté v Dohode o spolupráci uzavretej medzi CKO a ÚVO a v Dohode o spolupráci uzavretej medzi CKO a PMÚ. RO pri využívaní tejto spolupráce postupuje podľa </w:t>
      </w:r>
      <w:hyperlink w:anchor="kapitola_3374" w:tooltip="kapitoly 3.3.7.4" w:history="1">
        <w:r>
          <w:rPr>
            <w:rStyle w:val="Hypertextovprepojenie"/>
          </w:rPr>
          <w:t>kapitoly 3.3.7.4</w:t>
        </w:r>
      </w:hyperlink>
      <w:r>
        <w:t>. Ak RO počas finančnej kontroly VO alebo kontroly obstarávania zistí skutočnosti nasvedčujúce tomu, že bol alebo mohol byť spáchaný trestný čin, uvedenú skutočnosť v zmysle  § 3 ods. 2 Trestného poriadku oznámi bezodkladne orgánom činným v trestnom konaní. RO je povinný pri kontrole zákaziek vykonať kontrolu aplikovania možnosti uvedenej v § 57 ods. 2 ZVO, ktorá sa týka možnosti zrušenia verejného obstarávania ak neboli predložené viac ako dve ponuky</w:t>
      </w:r>
      <w:r w:rsidRPr="008F6B1D">
        <w:rPr>
          <w:rFonts w:ascii="Helvetica" w:hAnsi="Helvetica"/>
          <w:color w:val="494949"/>
          <w:sz w:val="21"/>
          <w:szCs w:val="21"/>
        </w:rPr>
        <w:t xml:space="preserve"> </w:t>
      </w:r>
      <w:r>
        <w:t xml:space="preserve">alebo ak navrhované ceny </w:t>
      </w:r>
      <w:r w:rsidRPr="008F6B1D">
        <w:lastRenderedPageBreak/>
        <w:t>v</w:t>
      </w:r>
      <w:r w:rsidR="00CC48CB">
        <w:t> </w:t>
      </w:r>
      <w:r w:rsidRPr="008F6B1D">
        <w:t>predložených ponukách sú vyššie ako predpokladaná hodnota</w:t>
      </w:r>
      <w:r>
        <w:t xml:space="preserve">. V prípade, že neboli predložené viac ako dve ponuky alebo cena v ponuke uchádzača, ktorý bol vyhodnotený ako úspešný, je vyššia ako predpokladaná hodnota zákazky, RO požaduje od prijímateľa zdôvodnenie, prečo predmetný postup zadávania zákazky nezrušil, ak nejde o zákazku realizovanú cez EKS. V prípade, že v rámci použitého postupu zadávania zákazky bola predložená len jedna ponuka a prijímateľ použitý postup zadávania zákazky nezrušil, RO je povinný požiadať v zmysle Dohody o spolupráci ÚVO o vykonanie kontroly verejného obstarávania, ak v rámci predmetného VO neidentifikuje nedostatky s vplyvom alebo možným vplyvom na výsledok VO a ak ide o podlimitnú zákazku alebo nadlimitnú zákazku, v rámci ktorej nebolo vydané rozhodnutie podľa § 175 ods. 1 alebo ods. 4 ZVO. V prípade, ak ide </w:t>
      </w:r>
      <w:r w:rsidR="001349BB">
        <w:t>o </w:t>
      </w:r>
      <w:r>
        <w:t xml:space="preserve">podlimitnú zákazku realizovanú cez EKS, ide o </w:t>
      </w:r>
      <w:r w:rsidRPr="00997CB0">
        <w:t>možnosť</w:t>
      </w:r>
      <w:r w:rsidRPr="00F43F88">
        <w:t xml:space="preserve"> </w:t>
      </w:r>
      <w:r>
        <w:t>RO požiadať ÚVO o kontrolu predmetného postupu zadávania zákazky, ak je</w:t>
      </w:r>
      <w:r w:rsidRPr="00F43F88">
        <w:t xml:space="preserve"> </w:t>
      </w:r>
      <w:r>
        <w:t>hodnota zákazky rovnaká alebo vyššia ako 40</w:t>
      </w:r>
      <w:r w:rsidR="00AD73AC">
        <w:t>-</w:t>
      </w:r>
      <w:r>
        <w:t>tisíc EUR</w:t>
      </w:r>
      <w:r w:rsidR="00294899">
        <w:t xml:space="preserve"> bez DPH</w:t>
      </w:r>
      <w:r>
        <w:t>. Následný postup RO bude vyplývať z výsledku tejto kontroly.</w:t>
      </w:r>
      <w:r w:rsidR="004227C4">
        <w:t xml:space="preserve"> </w:t>
      </w:r>
      <w:r>
        <w:t xml:space="preserve">Ustanovenia týkajúce sa prípadu, že bola predložená jedna alebo dve ponuky sa nevzťahujú na zákazky s nízkymi hodnotami podľa </w:t>
      </w:r>
      <w:r w:rsidR="004227C4">
        <w:t xml:space="preserve">                    </w:t>
      </w:r>
      <w:r>
        <w:t>§ 117 ZVO.</w:t>
      </w:r>
    </w:p>
    <w:p w14:paraId="70503F5F" w14:textId="7A8E3865" w:rsidR="00B650E5" w:rsidRDefault="00B650E5" w:rsidP="00997CB0">
      <w:pPr>
        <w:numPr>
          <w:ilvl w:val="0"/>
          <w:numId w:val="236"/>
        </w:numPr>
        <w:spacing w:before="120" w:after="120"/>
        <w:ind w:left="426" w:hanging="426"/>
        <w:jc w:val="both"/>
      </w:pPr>
      <w:bookmarkStart w:id="336" w:name="kapitola_3372_ods_6"/>
      <w:r>
        <w:t>Dokumentáciu prijímateľ predkladá na RO písomne</w:t>
      </w:r>
      <w:r w:rsidR="00E20643">
        <w:t xml:space="preserve"> </w:t>
      </w:r>
      <w:r w:rsidR="00E20643" w:rsidRPr="00E20643">
        <w:t>alebo v elektronickej podobe</w:t>
      </w:r>
      <w:r>
        <w:t xml:space="preserve">, pričom časť dokumentácie </w:t>
      </w:r>
      <w:r w:rsidR="00E20643">
        <w:t xml:space="preserve">je povinný </w:t>
      </w:r>
      <w:r>
        <w:t>predložiť aj cez ITMS 2014+.</w:t>
      </w:r>
      <w:r w:rsidR="00B357E4">
        <w:t xml:space="preserve"> </w:t>
      </w:r>
      <w:r w:rsidR="00B357E4" w:rsidRPr="00B357E4">
        <w:t>Určenie dokumentácie, ktorá má byť predložená elektronicky a dokumentácie, ktorá má byť predložená písomne, môže byť predmetom úpravy v príručkách pre prijímateľa, ktoré vydáva príslušný RO.</w:t>
      </w:r>
      <w:r w:rsidR="00B357E4">
        <w:t xml:space="preserve"> </w:t>
      </w:r>
      <w:r>
        <w:t>Minimálny rozsah dokumentácie, ktorú prijímateľ povinne predkladá cez ITMS 2014+ je definovaný rozsahom dokumentácie zverejňovanej v profile podľa § 64 ZVO v závislosti od hodnoty a typu zákazky (pozn. uvedená povinnosť platí pre všetkých prijímateľov</w:t>
      </w:r>
      <w:r w:rsidR="00871B36">
        <w:t xml:space="preserve"> a nevzťahuje sa na informácie podľa </w:t>
      </w:r>
      <w:r w:rsidR="00E57043">
        <w:t xml:space="preserve">              </w:t>
      </w:r>
      <w:r w:rsidR="00F13747">
        <w:t>§ 64 ods. 1</w:t>
      </w:r>
      <w:r w:rsidR="00E57043">
        <w:t xml:space="preserve"> </w:t>
      </w:r>
      <w:r w:rsidR="00F13747">
        <w:t>písm. d)</w:t>
      </w:r>
      <w:r w:rsidR="00887348">
        <w:t xml:space="preserve"> a písm. e)</w:t>
      </w:r>
      <w:r w:rsidR="00F13747">
        <w:t xml:space="preserve"> ZVO</w:t>
      </w:r>
      <w:r>
        <w:t xml:space="preserve">). </w:t>
      </w:r>
      <w:r w:rsidR="00D23763">
        <w:t>V prípade ponúk jednotlivý</w:t>
      </w:r>
      <w:r w:rsidR="00D5024A">
        <w:t>ch uchádzačov, je povinnosťou prijímateľa</w:t>
      </w:r>
      <w:r w:rsidR="00D23763">
        <w:t xml:space="preserve"> predložiť cez ITMS 2014+ iba ponuku úspešného uchádzača. </w:t>
      </w:r>
      <w:r>
        <w:t xml:space="preserve">RO je vo svojej riadiacej dokumentácii oprávnený určiť povinnosť predkladania dokumentácie cez ITMS 2014+ aj inej ako je definované v predošlej vete, pričom stanovenie tejto povinnosti závisí najmä od povahy konkrétneho dokumentu, od skutočnosti či je jeho elektronická podoba využívaná alebo zverejňovaná aj v iných informačných systémoch, alebo či je elektronicky dostupná aj bez neprimeraných administratívnych a technických nárokov na kapacity prijímateľa. </w:t>
      </w:r>
      <w:r w:rsidR="00A74332">
        <w:t xml:space="preserve">RO je povinný s ohľadom na podmienky uvedené v predošlej vete vyžadovať predloženie dokumentácie cez ITMS 2014+ aj v prípade zákaziek realizovaných s využitím elektronického trhoviska a zákaziek s nízkou hodnotou, pričom rozsah takto predkladanej dokumentácie určí RO. </w:t>
      </w:r>
      <w:r>
        <w:t xml:space="preserve">Vo svojom podaní je prijímateľ povinný uviesť, ktorú dokumentáciu predkladá v písomnej podobe, ktorú v elektronickej podobe (napr. na CD/DVD) a ktorú predkladá cez ITMS 2014+. Lehoty uvedené v tejto podkapitole začínajú plynúť od doručenia písomnej dokumentácie. Pre potreby finančnej kontroly VO prijímateľ predkladá na RO kópiu originálnej dokumentácie. Aj dokumentácia predložená elektronicky (teda aj cez ITMS 2014+) sa pre potreby finančnej kontroly VO považuje za kópiu originálnej dokumentácie. Súčasne s dokumentáciou predkladá na RO prijímateľ aj čestné vyhlásenie, v rámci ktorého jasne identifikuje projekt a predkladané VO. Súčasťou tohto dokumentu je súpis všetkej predkladanej dokumentácie vrátane dokumentácie predloženej elektronicky a vyhlásenie, že dokumentácia predložená na kontrolu VO je úplná, kompletná a je totožná s originálom dokumentácie z VO. Zároveň prijímateľ prehlási, že si je vedomý, že na základe predloženej dokumentácie RO rozhodne o pripustení, nepripustení výdavkov súvisiacich s predmetným VO do financovania, o </w:t>
      </w:r>
      <w:r w:rsidR="00FB1D18">
        <w:t>ex ante</w:t>
      </w:r>
      <w:r>
        <w:t xml:space="preserve"> finančnej oprave, resp. </w:t>
      </w:r>
      <w:r w:rsidR="00E57043">
        <w:t xml:space="preserve">                        </w:t>
      </w:r>
      <w:r>
        <w:t xml:space="preserve">o ďalších krokoch, ktoré budú potrebné na základe zistení  RO v rámci kontroly tejto dokumentácie. Čestné vyhlásenie sa rovnako vzťahuje na dokumentáciu predloženú elektronicky v rámci ITMS 2014+. Uvedené pravidlá sa rovnako vzťahujú aj na dopĺňanie dokumentácie. </w:t>
      </w:r>
    </w:p>
    <w:p w14:paraId="519C1945" w14:textId="77777777" w:rsidR="00B650E5" w:rsidRDefault="00B650E5">
      <w:pPr>
        <w:pStyle w:val="Odsekzoznamu"/>
        <w:numPr>
          <w:ilvl w:val="0"/>
          <w:numId w:val="236"/>
        </w:numPr>
        <w:ind w:left="426" w:hanging="426"/>
        <w:jc w:val="both"/>
      </w:pPr>
      <w:bookmarkStart w:id="337" w:name="kapitola_3372_ods_7"/>
      <w:bookmarkEnd w:id="336"/>
      <w:r>
        <w:t xml:space="preserve">RO môže v odôvodnených prípadoch lehoty </w:t>
      </w:r>
      <w:r w:rsidR="00E20643">
        <w:t xml:space="preserve">na výkon kontroly VO alebo výkon kontroly obstarávania </w:t>
      </w:r>
      <w:r>
        <w:t xml:space="preserve">predĺžiť; takéto predĺženie lehoty oznamuje prijímateľovi spôsobom uvedeným </w:t>
      </w:r>
      <w:r w:rsidR="00E57043">
        <w:t xml:space="preserve">                 </w:t>
      </w:r>
      <w:r>
        <w:lastRenderedPageBreak/>
        <w:t>v zmluve o NFP, resp. v inom záväznom dokumente, na ktorý zmluva o NFP odkazuje. V prípade spolupráce RO s ÚVO, PMÚ, resp. s inými orgánmi, alebo v prípade vyžiadania si znaleckého posudku alebo odborného stanoviska, oznámi RO prijímateľovi prerušenie výkonu 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337"/>
    <w:p w14:paraId="6C824C59" w14:textId="2005B114" w:rsidR="00B650E5" w:rsidRPr="00997CB0" w:rsidRDefault="00B650E5" w:rsidP="000E286B">
      <w:pPr>
        <w:numPr>
          <w:ilvl w:val="0"/>
          <w:numId w:val="236"/>
        </w:numPr>
        <w:spacing w:before="120" w:after="120"/>
        <w:ind w:left="426" w:hanging="426"/>
        <w:jc w:val="both"/>
        <w:rPr>
          <w:b/>
        </w:rPr>
      </w:pPr>
      <w:r>
        <w:t xml:space="preserve">Postup v prípade, ak RO v rámci finančnej kontroly VO identifikuje nedodržanie </w:t>
      </w:r>
      <w:r w:rsidR="00F8333A">
        <w:t>pravidiel</w:t>
      </w:r>
      <w:r>
        <w:t xml:space="preserve"> a postupov VO, resp. porušenie pravidiel stanovených v legislatíve SR a EÚ, pričom toto pochybenie malo alebo mohlo mať vplyv na výsledok VO, upravil CKO v metodickom pokyne</w:t>
      </w:r>
      <w:r>
        <w:rPr>
          <w:rStyle w:val="Odkaznapoznmkupodiarou"/>
        </w:rPr>
        <w:footnoteReference w:id="96"/>
      </w:r>
      <w:r>
        <w:t xml:space="preserve">, ktorým upravil </w:t>
      </w:r>
      <w:r w:rsidRPr="000E286B">
        <w:t xml:space="preserve">najmä oblasť vecného posudzovania a určovania % sadzieb finančných opráv za porušenie </w:t>
      </w:r>
      <w:r>
        <w:t>pravidiel a </w:t>
      </w:r>
      <w:r w:rsidR="00F8333A">
        <w:t>postupov</w:t>
      </w:r>
      <w:r>
        <w:t xml:space="preserve"> </w:t>
      </w:r>
      <w:r w:rsidRPr="000E286B">
        <w:t>VO. Následný postup administrácie nezrovnalosti a uplatnenie určenej % sadzby finančnej opravy na jednotlivé výdavky NFP na predmet zákazky je upravený v usmernení MF SR č. 2/2015 – U</w:t>
      </w:r>
      <w:r>
        <w:t xml:space="preserve"> </w:t>
      </w:r>
      <w:r w:rsidRPr="000E286B">
        <w:t>k nezrovnalostiam a finančným opravám v rámci finančného riadenia štrukturálnych fondov, Kohézneho fondu a Európskeho námorného a rybárskeho fondu na programové obdobie 2014 - 2020.</w:t>
      </w:r>
    </w:p>
    <w:p w14:paraId="5DB7DBD4" w14:textId="67F2A245" w:rsidR="00B650E5" w:rsidRPr="00EA316A" w:rsidRDefault="00B650E5" w:rsidP="00E20643">
      <w:pPr>
        <w:numPr>
          <w:ilvl w:val="0"/>
          <w:numId w:val="236"/>
        </w:numPr>
        <w:spacing w:before="120" w:after="120"/>
        <w:ind w:left="426" w:hanging="426"/>
        <w:jc w:val="both"/>
        <w:rPr>
          <w:b/>
        </w:rPr>
      </w:pPr>
      <w:r w:rsidRPr="00D3386A">
        <w:t>Ak RO vykonáva kontrolu pravidiel a</w:t>
      </w:r>
      <w:r w:rsidRPr="00997CB0">
        <w:t> </w:t>
      </w:r>
      <w:r w:rsidRPr="00D3386A">
        <w:t>postupov verejného obstarávania po nadobudnutí účinnosti zmluvy o</w:t>
      </w:r>
      <w:r w:rsidRPr="00997CB0">
        <w:t> </w:t>
      </w:r>
      <w:r w:rsidRPr="00D3386A">
        <w:t>NFP, RO vykonáva kontrolu ako poskytovateľ, ktorý</w:t>
      </w:r>
      <w:r w:rsidRPr="00EA316A">
        <w:t xml:space="preserve"> je zmluvnou stranou zmluvy o</w:t>
      </w:r>
      <w:r w:rsidRPr="00997CB0">
        <w:t> </w:t>
      </w:r>
      <w:r w:rsidRPr="00D3386A">
        <w:t>NFP a</w:t>
      </w:r>
      <w:r w:rsidRPr="00997CB0">
        <w:t> </w:t>
      </w:r>
      <w:r w:rsidRPr="00D3386A">
        <w:t xml:space="preserve">samotný výkon kontroly je výkonom práva poskytovateľa, ktoré mu patrí </w:t>
      </w:r>
      <w:r w:rsidRPr="00EA316A">
        <w:t>v</w:t>
      </w:r>
      <w:r w:rsidRPr="00997CB0">
        <w:t> </w:t>
      </w:r>
      <w:r w:rsidRPr="00D3386A">
        <w:t xml:space="preserve">zmysle </w:t>
      </w:r>
      <w:r w:rsidRPr="00997CB0">
        <w:t xml:space="preserve">príslušných ustanovení </w:t>
      </w:r>
      <w:r w:rsidRPr="00D3386A">
        <w:t>zmluvy o</w:t>
      </w:r>
      <w:r w:rsidR="00E20643">
        <w:t> </w:t>
      </w:r>
      <w:r w:rsidRPr="00D3386A">
        <w:t>NFP</w:t>
      </w:r>
      <w:r w:rsidR="00E20643">
        <w:t xml:space="preserve"> a </w:t>
      </w:r>
      <w:r w:rsidR="00E20643" w:rsidRPr="00E20643">
        <w:t>zákona o finančnej kontrole</w:t>
      </w:r>
      <w:r w:rsidRPr="00D3386A">
        <w:t xml:space="preserve">. </w:t>
      </w:r>
      <w:r w:rsidRPr="00EA316A">
        <w:t>V</w:t>
      </w:r>
      <w:r w:rsidRPr="00997CB0">
        <w:t> </w:t>
      </w:r>
      <w:r w:rsidRPr="00D3386A">
        <w:t>prípade, ak dôjde k</w:t>
      </w:r>
      <w:r w:rsidRPr="00997CB0">
        <w:t> </w:t>
      </w:r>
      <w:r w:rsidRPr="00D3386A">
        <w:t>aplikácii postupov podľa §</w:t>
      </w:r>
      <w:r w:rsidR="00AD73AC">
        <w:t xml:space="preserve"> </w:t>
      </w:r>
      <w:r w:rsidRPr="00D3386A">
        <w:t>41 a §</w:t>
      </w:r>
      <w:r w:rsidR="00AD73AC">
        <w:t xml:space="preserve"> </w:t>
      </w:r>
      <w:r w:rsidRPr="00D3386A">
        <w:t>41</w:t>
      </w:r>
      <w:r w:rsidR="00AD73AC">
        <w:t xml:space="preserve"> </w:t>
      </w:r>
      <w:r w:rsidRPr="00D3386A">
        <w:t>a zákona o</w:t>
      </w:r>
      <w:r w:rsidRPr="00997CB0">
        <w:t> </w:t>
      </w:r>
      <w:r w:rsidRPr="00D3386A">
        <w:t>príspevku z</w:t>
      </w:r>
      <w:r w:rsidRPr="00997CB0">
        <w:t> </w:t>
      </w:r>
      <w:r w:rsidRPr="00D3386A">
        <w:t xml:space="preserve">EŠIF, RO koná ako zmluvná strana až do momentu podania podnetu </w:t>
      </w:r>
      <w:r w:rsidRPr="00EA316A">
        <w:t>správnemu orgánu na konanie podľa</w:t>
      </w:r>
      <w:r w:rsidR="00AD73AC">
        <w:t xml:space="preserve"> </w:t>
      </w:r>
      <w:r w:rsidRPr="00EA316A">
        <w:t>§</w:t>
      </w:r>
      <w:r w:rsidR="00AD73AC">
        <w:t xml:space="preserve"> </w:t>
      </w:r>
      <w:r w:rsidRPr="00EA316A">
        <w:t>41 ods. 5 alebo §</w:t>
      </w:r>
      <w:r w:rsidR="00CC48CB">
        <w:t> </w:t>
      </w:r>
      <w:r w:rsidRPr="00EA316A">
        <w:t>41a ods. 3 zákona o</w:t>
      </w:r>
      <w:r w:rsidRPr="00997CB0">
        <w:t> </w:t>
      </w:r>
      <w:r w:rsidRPr="00D3386A">
        <w:t>príspevku z</w:t>
      </w:r>
      <w:r w:rsidRPr="00997CB0">
        <w:t> </w:t>
      </w:r>
      <w:r w:rsidRPr="00D3386A">
        <w:t>EŠIF. Akýkoľvek úkon, ktorý poskytovateľ vykoná do</w:t>
      </w:r>
      <w:r w:rsidR="00CC48CB">
        <w:t> </w:t>
      </w:r>
      <w:r w:rsidRPr="00D3386A">
        <w:t>momentu podania podnetu správnemu orgánu na konanie podľa §41 ods. 5 alebo</w:t>
      </w:r>
      <w:r w:rsidR="00AD73AC">
        <w:t xml:space="preserve"> </w:t>
      </w:r>
      <w:r w:rsidRPr="00D3386A">
        <w:t>§</w:t>
      </w:r>
      <w:r w:rsidR="00AD73AC">
        <w:t xml:space="preserve"> </w:t>
      </w:r>
      <w:r w:rsidRPr="00D3386A">
        <w:t>41a ods. 3 zákona o</w:t>
      </w:r>
      <w:r w:rsidRPr="00997CB0">
        <w:t> </w:t>
      </w:r>
      <w:r w:rsidRPr="00D3386A">
        <w:t>príspevku z</w:t>
      </w:r>
      <w:r w:rsidRPr="00997CB0">
        <w:t> </w:t>
      </w:r>
      <w:r w:rsidRPr="00D3386A">
        <w:t>EŠIF, je úkonom zmluvnej strany zmluvy o</w:t>
      </w:r>
      <w:r w:rsidRPr="00997CB0">
        <w:t> </w:t>
      </w:r>
      <w:r w:rsidRPr="00D3386A">
        <w:t>NFP, ktorá má súkromnoprávnu povahu a</w:t>
      </w:r>
      <w:r w:rsidRPr="00997CB0">
        <w:t> </w:t>
      </w:r>
      <w:r w:rsidRPr="00D3386A">
        <w:t>nároky z</w:t>
      </w:r>
      <w:r w:rsidRPr="00997CB0">
        <w:t> </w:t>
      </w:r>
      <w:r w:rsidRPr="00D3386A">
        <w:t>ktorej je možné uplatňovať v</w:t>
      </w:r>
      <w:r w:rsidRPr="00997CB0">
        <w:t> </w:t>
      </w:r>
      <w:r w:rsidRPr="00D3386A">
        <w:t>civilnom konaní a</w:t>
      </w:r>
      <w:r w:rsidRPr="00997CB0">
        <w:t> </w:t>
      </w:r>
      <w:r w:rsidRPr="00D3386A">
        <w:t xml:space="preserve">nie prostredníctvom správneho súdnictva. </w:t>
      </w:r>
      <w:r w:rsidRPr="00EA316A">
        <w:t xml:space="preserve"> </w:t>
      </w:r>
    </w:p>
    <w:p w14:paraId="4BD812FD" w14:textId="77777777" w:rsidR="00B650E5" w:rsidRDefault="00B650E5" w:rsidP="000E286B">
      <w:pPr>
        <w:spacing w:before="120" w:after="120"/>
        <w:jc w:val="both"/>
      </w:pPr>
    </w:p>
    <w:p w14:paraId="3B5D467B" w14:textId="77777777" w:rsidR="00B650E5" w:rsidRPr="00DE5D89" w:rsidRDefault="00B650E5" w:rsidP="00DE5D89">
      <w:pPr>
        <w:spacing w:before="120" w:after="120"/>
        <w:jc w:val="both"/>
        <w:rPr>
          <w:b/>
        </w:rPr>
      </w:pPr>
      <w:r w:rsidRPr="00DE5D89">
        <w:rPr>
          <w:b/>
        </w:rPr>
        <w:t xml:space="preserve">Stupne </w:t>
      </w:r>
      <w:r>
        <w:rPr>
          <w:b/>
        </w:rPr>
        <w:t>finančnej</w:t>
      </w:r>
      <w:r w:rsidRPr="00DE5D89">
        <w:rPr>
          <w:b/>
        </w:rPr>
        <w:t xml:space="preserve"> kontroly verejného obstarávania v štádiu pred </w:t>
      </w:r>
      <w:r>
        <w:rPr>
          <w:b/>
        </w:rPr>
        <w:t>podpisom zmluvy o NFP</w:t>
      </w:r>
      <w:r w:rsidRPr="00DE5D89">
        <w:rPr>
          <w:b/>
        </w:rPr>
        <w:t>:</w:t>
      </w:r>
    </w:p>
    <w:p w14:paraId="0465BCF8" w14:textId="77777777" w:rsidR="00B650E5" w:rsidRDefault="0053588C" w:rsidP="00DE5D89">
      <w:pPr>
        <w:spacing w:before="120" w:after="120"/>
        <w:jc w:val="both"/>
      </w:pPr>
      <w:r>
        <w:rPr>
          <w:noProof/>
        </w:rPr>
        <w:drawing>
          <wp:inline distT="0" distB="0" distL="0" distR="0" wp14:anchorId="10750139" wp14:editId="73BCAE83">
            <wp:extent cx="5952490" cy="2148205"/>
            <wp:effectExtent l="0" t="0" r="0" b="0"/>
            <wp:docPr id="19" name="Obrázok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30"/>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5952490" cy="2148205"/>
                    </a:xfrm>
                    <a:prstGeom prst="rect">
                      <a:avLst/>
                    </a:prstGeom>
                    <a:noFill/>
                    <a:ln>
                      <a:noFill/>
                    </a:ln>
                  </pic:spPr>
                </pic:pic>
              </a:graphicData>
            </a:graphic>
          </wp:inline>
        </w:drawing>
      </w:r>
    </w:p>
    <w:p w14:paraId="4E0F393B" w14:textId="77777777" w:rsidR="009D6DF9" w:rsidRDefault="009D6DF9">
      <w:pPr>
        <w:spacing w:before="120" w:after="120"/>
        <w:jc w:val="both"/>
        <w:rPr>
          <w:b/>
        </w:rPr>
      </w:pPr>
    </w:p>
    <w:p w14:paraId="39135CAF" w14:textId="77777777" w:rsidR="009D6DF9" w:rsidRDefault="009D6DF9">
      <w:pPr>
        <w:spacing w:before="120" w:after="120"/>
        <w:jc w:val="both"/>
        <w:rPr>
          <w:b/>
        </w:rPr>
      </w:pPr>
    </w:p>
    <w:p w14:paraId="36D76DA8" w14:textId="77777777" w:rsidR="009D6DF9" w:rsidRDefault="009D6DF9">
      <w:pPr>
        <w:spacing w:before="120" w:after="120"/>
        <w:jc w:val="both"/>
        <w:rPr>
          <w:b/>
        </w:rPr>
      </w:pPr>
    </w:p>
    <w:p w14:paraId="019695D6" w14:textId="77777777" w:rsidR="00B650E5" w:rsidRDefault="00B650E5">
      <w:pPr>
        <w:spacing w:before="120" w:after="120"/>
        <w:jc w:val="both"/>
        <w:rPr>
          <w:b/>
        </w:rPr>
      </w:pPr>
      <w:r>
        <w:rPr>
          <w:b/>
        </w:rPr>
        <w:t>Stupne finančnej kontroly verejného obstarávania v štádiu po podpise Zmluvy o NFP:</w:t>
      </w:r>
    </w:p>
    <w:p w14:paraId="08FED104" w14:textId="77777777" w:rsidR="00B650E5" w:rsidRDefault="0053588C" w:rsidP="00DE5D89">
      <w:pPr>
        <w:spacing w:before="120" w:after="120"/>
        <w:jc w:val="both"/>
      </w:pPr>
      <w:r>
        <w:rPr>
          <w:noProof/>
        </w:rPr>
        <w:drawing>
          <wp:inline distT="0" distB="0" distL="0" distR="0" wp14:anchorId="287FCA62" wp14:editId="4983CF91">
            <wp:extent cx="6184900" cy="3761105"/>
            <wp:effectExtent l="0" t="0" r="0" b="0"/>
            <wp:docPr id="20" name="Obrázok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31"/>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6184900" cy="3761105"/>
                    </a:xfrm>
                    <a:prstGeom prst="rect">
                      <a:avLst/>
                    </a:prstGeom>
                    <a:noFill/>
                    <a:ln>
                      <a:noFill/>
                    </a:ln>
                  </pic:spPr>
                </pic:pic>
              </a:graphicData>
            </a:graphic>
          </wp:inline>
        </w:drawing>
      </w:r>
    </w:p>
    <w:p w14:paraId="32A5489E" w14:textId="77777777" w:rsidR="00B650E5" w:rsidRPr="00DE5D89" w:rsidRDefault="00B650E5">
      <w:pPr>
        <w:pStyle w:val="Default"/>
      </w:pPr>
      <w:r w:rsidRPr="00DE5D89">
        <w:t xml:space="preserve">* </w:t>
      </w:r>
      <w:r w:rsidRPr="00DE5D89">
        <w:rPr>
          <w:rStyle w:val="A7"/>
          <w:sz w:val="24"/>
          <w:u w:val="single"/>
        </w:rPr>
        <w:t>Ex post kontrola sa vykonáva ako:</w:t>
      </w:r>
      <w:r w:rsidRPr="00DE5D89">
        <w:rPr>
          <w:rStyle w:val="A7"/>
          <w:sz w:val="24"/>
        </w:rPr>
        <w:t xml:space="preserve"> </w:t>
      </w:r>
    </w:p>
    <w:p w14:paraId="09DFA34A" w14:textId="77777777" w:rsidR="00B650E5" w:rsidRPr="00DE5D89" w:rsidRDefault="00B650E5" w:rsidP="00DE5D89">
      <w:pPr>
        <w:pStyle w:val="Odsekzoznamu"/>
        <w:numPr>
          <w:ilvl w:val="1"/>
          <w:numId w:val="385"/>
        </w:numPr>
        <w:ind w:left="426" w:hanging="426"/>
      </w:pPr>
      <w:r>
        <w:t xml:space="preserve">finančná </w:t>
      </w:r>
      <w:r w:rsidRPr="00DE5D89">
        <w:t>kontrola VO, ktoré nespadá pod písm. b) – g) tohto odseku (ďalej len „štandardná ex post kontrola“),</w:t>
      </w:r>
    </w:p>
    <w:p w14:paraId="63880D75" w14:textId="77777777" w:rsidR="00B650E5" w:rsidRPr="00DE5D89" w:rsidRDefault="00B650E5" w:rsidP="00DE5D89">
      <w:pPr>
        <w:pStyle w:val="Odsekzoznamu"/>
        <w:numPr>
          <w:ilvl w:val="1"/>
          <w:numId w:val="385"/>
        </w:numPr>
        <w:ind w:left="426" w:hanging="426"/>
      </w:pPr>
      <w:r>
        <w:t xml:space="preserve">finančná </w:t>
      </w:r>
      <w:r w:rsidRPr="00DE5D89">
        <w:t>kontrola VO, ktoré bolo predmetom druhej ex ante kontroly (ďalej len „následná ex post kontrola“),</w:t>
      </w:r>
    </w:p>
    <w:p w14:paraId="75793334" w14:textId="77777777" w:rsidR="00B650E5" w:rsidRPr="00DE5D89" w:rsidRDefault="00B650E5" w:rsidP="00DE5D89">
      <w:pPr>
        <w:pStyle w:val="Odsekzoznamu"/>
        <w:numPr>
          <w:ilvl w:val="1"/>
          <w:numId w:val="385"/>
        </w:numPr>
        <w:ind w:left="426" w:hanging="426"/>
      </w:pPr>
      <w:r>
        <w:t xml:space="preserve">finančná </w:t>
      </w:r>
      <w:r w:rsidRPr="00DE5D89">
        <w:t xml:space="preserve">kontrola zákaziek </w:t>
      </w:r>
      <w:r>
        <w:t xml:space="preserve">s nízkymi hodnotami </w:t>
      </w:r>
      <w:r w:rsidRPr="00DE5D89">
        <w:t xml:space="preserve">podľa § </w:t>
      </w:r>
      <w:r>
        <w:t xml:space="preserve">117 </w:t>
      </w:r>
      <w:r w:rsidRPr="00DE5D89">
        <w:t>ZVO,</w:t>
      </w:r>
    </w:p>
    <w:p w14:paraId="45AE576A" w14:textId="77777777" w:rsidR="00B650E5" w:rsidRPr="00DE5D89" w:rsidRDefault="00B650E5" w:rsidP="00DE5D89">
      <w:pPr>
        <w:pStyle w:val="Odsekzoznamu"/>
        <w:numPr>
          <w:ilvl w:val="1"/>
          <w:numId w:val="385"/>
        </w:numPr>
        <w:ind w:left="426" w:hanging="426"/>
      </w:pPr>
      <w:r>
        <w:t xml:space="preserve">finančná </w:t>
      </w:r>
      <w:r w:rsidRPr="00DE5D89">
        <w:t>kontrola VO, v ktorého rámci viacerí prijímatelia nadobúdajú tovary, práce alebo služby prostredníctvom</w:t>
      </w:r>
      <w:r>
        <w:t xml:space="preserve"> </w:t>
      </w:r>
      <w:r w:rsidRPr="00DE5D89">
        <w:t>centrálnej obstarávacej organizácie,</w:t>
      </w:r>
    </w:p>
    <w:p w14:paraId="4C5C4B5C" w14:textId="77777777" w:rsidR="00B650E5" w:rsidRDefault="00B650E5" w:rsidP="00DE5D89">
      <w:pPr>
        <w:pStyle w:val="Odsekzoznamu"/>
        <w:numPr>
          <w:ilvl w:val="1"/>
          <w:numId w:val="385"/>
        </w:numPr>
        <w:spacing w:before="120" w:after="120"/>
        <w:ind w:left="426" w:hanging="426"/>
        <w:jc w:val="both"/>
      </w:pPr>
      <w:r>
        <w:t xml:space="preserve">finančná </w:t>
      </w:r>
      <w:r w:rsidRPr="00DE5D89">
        <w:t>kontrola VO v rámci schvaľovacieho procesu ŽoNFP</w:t>
      </w:r>
    </w:p>
    <w:p w14:paraId="0BC3D7B3" w14:textId="77777777" w:rsidR="00B650E5" w:rsidRDefault="00B650E5" w:rsidP="00DE5D89">
      <w:pPr>
        <w:pStyle w:val="Odsekzoznamu"/>
        <w:numPr>
          <w:ilvl w:val="1"/>
          <w:numId w:val="385"/>
        </w:numPr>
        <w:spacing w:before="120" w:after="120"/>
        <w:ind w:left="426" w:hanging="426"/>
        <w:jc w:val="both"/>
      </w:pPr>
      <w:r>
        <w:t>finančná kontrola VO národných projektov, veľkých projektov, ktoré sú súčasťou zoznamu projektov a projektov technickej pomoci pred podpisom zmluvy o NFP,</w:t>
      </w:r>
    </w:p>
    <w:p w14:paraId="7336A83E" w14:textId="77777777" w:rsidR="00B650E5" w:rsidRDefault="00B650E5" w:rsidP="00DE5D89">
      <w:pPr>
        <w:pStyle w:val="Odsekzoznamu"/>
        <w:numPr>
          <w:ilvl w:val="1"/>
          <w:numId w:val="385"/>
        </w:numPr>
        <w:spacing w:before="120" w:after="120"/>
        <w:ind w:left="426" w:hanging="426"/>
        <w:jc w:val="both"/>
      </w:pPr>
      <w:r>
        <w:t>finančná kontrola zákaziek realizovaných cez elektronické trhovisko</w:t>
      </w:r>
    </w:p>
    <w:p w14:paraId="12E157E6" w14:textId="624819D0" w:rsidR="00B650E5" w:rsidRDefault="00B650E5" w:rsidP="003120E4">
      <w:pPr>
        <w:pStyle w:val="SRK5"/>
        <w:jc w:val="both"/>
      </w:pPr>
      <w:bookmarkStart w:id="338" w:name="_Toc386529564"/>
      <w:bookmarkStart w:id="339" w:name="_Toc390248454"/>
      <w:bookmarkStart w:id="340" w:name="_Toc453234030"/>
      <w:bookmarkStart w:id="341" w:name="_Toc495649389"/>
      <w:bookmarkStart w:id="342" w:name="kapitola_33721"/>
      <w:r>
        <w:t xml:space="preserve">3.3.7.2.1.  Prvá </w:t>
      </w:r>
      <w:r w:rsidR="00FB1D18">
        <w:t>ex ante</w:t>
      </w:r>
      <w:r>
        <w:t xml:space="preserve"> kontrola po podpise zmluvy o </w:t>
      </w:r>
      <w:bookmarkEnd w:id="338"/>
      <w:bookmarkEnd w:id="339"/>
      <w:bookmarkEnd w:id="340"/>
      <w:r>
        <w:t>NFP</w:t>
      </w:r>
      <w:bookmarkEnd w:id="341"/>
    </w:p>
    <w:bookmarkEnd w:id="342"/>
    <w:p w14:paraId="69F5D251" w14:textId="77777777" w:rsidR="00B650E5" w:rsidRDefault="00B650E5">
      <w:pPr>
        <w:numPr>
          <w:ilvl w:val="0"/>
          <w:numId w:val="237"/>
        </w:numPr>
        <w:spacing w:before="120" w:after="120"/>
        <w:ind w:left="426" w:hanging="426"/>
        <w:jc w:val="both"/>
      </w:pPr>
      <w:r>
        <w:t xml:space="preserve">Prvú </w:t>
      </w:r>
      <w:r w:rsidR="00FB1D18">
        <w:t>ex ante</w:t>
      </w:r>
      <w:r>
        <w:t xml:space="preserv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14:paraId="0814C73A" w14:textId="3B829E48" w:rsidR="00B650E5" w:rsidRDefault="00B650E5">
      <w:pPr>
        <w:numPr>
          <w:ilvl w:val="0"/>
          <w:numId w:val="237"/>
        </w:numPr>
        <w:spacing w:before="120" w:after="120"/>
        <w:ind w:left="426" w:hanging="426"/>
        <w:jc w:val="both"/>
      </w:pPr>
      <w:bookmarkStart w:id="343" w:name="kapitola_33721_ods_2"/>
      <w:r>
        <w:t xml:space="preserve">Povinnosť prijímateľa predkladať dokumentáciu na prvú </w:t>
      </w:r>
      <w:r w:rsidR="00FB1D18">
        <w:t>ex ante</w:t>
      </w:r>
      <w:r>
        <w:t xml:space="preserve"> kontrolu sa vzťahuje na všetky nadlimitné zákazky, </w:t>
      </w:r>
      <w:r w:rsidR="00322B00">
        <w:t xml:space="preserve">nadlimitné zákazky realizované podlimitným postupom zadávania zákazky, </w:t>
      </w:r>
      <w:r>
        <w:t>na</w:t>
      </w:r>
      <w:r w:rsidRPr="00D97958">
        <w:t xml:space="preserve"> nadlimitné verejné súťaže s využitím elektronického trhoviska</w:t>
      </w:r>
      <w:r>
        <w:t xml:space="preserve"> podľa</w:t>
      </w:r>
      <w:r w:rsidR="00322B00">
        <w:t xml:space="preserve"> </w:t>
      </w:r>
      <w:r>
        <w:t xml:space="preserve">§ 66 ods. 8 ZVO </w:t>
      </w:r>
      <w:r w:rsidR="00322B00">
        <w:t xml:space="preserve">                     </w:t>
      </w:r>
      <w:r>
        <w:t xml:space="preserve">na bežne dostupné tovary alebo bežne dostupné služby, ktoré nie sú intelektuálnej povahy </w:t>
      </w:r>
      <w:r w:rsidR="00322B00">
        <w:t xml:space="preserve">                      </w:t>
      </w:r>
      <w:r>
        <w:t xml:space="preserve">a na podlimitné zákazky na stavebné práce </w:t>
      </w:r>
      <w:r w:rsidR="00F87669">
        <w:t xml:space="preserve">bez využitia elektronického trhoviska </w:t>
      </w:r>
      <w:r>
        <w:t>a podlimitné zákazky na služby podľa prílohy č. 1 ZVO (sociálne služby a iné osobitné služby)</w:t>
      </w:r>
      <w:r w:rsidR="00294899">
        <w:t xml:space="preserve"> bez využitia elektronického trhoviska</w:t>
      </w:r>
      <w:r>
        <w:t>.</w:t>
      </w:r>
    </w:p>
    <w:bookmarkEnd w:id="343"/>
    <w:p w14:paraId="202BBB03" w14:textId="77777777" w:rsidR="00B650E5" w:rsidRDefault="00B650E5">
      <w:pPr>
        <w:numPr>
          <w:ilvl w:val="0"/>
          <w:numId w:val="237"/>
        </w:numPr>
        <w:spacing w:before="120" w:after="120"/>
        <w:ind w:left="426" w:hanging="426"/>
        <w:jc w:val="both"/>
      </w:pPr>
      <w:r>
        <w:lastRenderedPageBreak/>
        <w:t xml:space="preserve">Prvá </w:t>
      </w:r>
      <w:r w:rsidR="00FB1D18">
        <w:t>ex ante</w:t>
      </w:r>
      <w:r>
        <w:t xml:space="preserve"> kontrola sa povinne nevykonáva pri:</w:t>
      </w:r>
    </w:p>
    <w:p w14:paraId="48B22BBF" w14:textId="77777777" w:rsidR="00B650E5" w:rsidRDefault="00B650E5">
      <w:pPr>
        <w:numPr>
          <w:ilvl w:val="0"/>
          <w:numId w:val="49"/>
        </w:numPr>
        <w:spacing w:before="120" w:after="120"/>
        <w:ind w:left="851" w:hanging="425"/>
        <w:jc w:val="both"/>
      </w:pPr>
      <w:r>
        <w:t>zákazkách s nízkymi hodnotami podľa § 117  ZVO,</w:t>
      </w:r>
    </w:p>
    <w:p w14:paraId="76450710" w14:textId="77777777" w:rsidR="00B650E5" w:rsidRDefault="00B650E5">
      <w:pPr>
        <w:numPr>
          <w:ilvl w:val="0"/>
          <w:numId w:val="49"/>
        </w:numPr>
        <w:spacing w:before="120" w:after="120"/>
        <w:ind w:left="851" w:hanging="425"/>
        <w:jc w:val="both"/>
      </w:pPr>
      <w:r>
        <w:t>kontrole VO v rámci schvaľovania ŽoNFP,</w:t>
      </w:r>
    </w:p>
    <w:p w14:paraId="512CF85B" w14:textId="77777777" w:rsidR="00B650E5" w:rsidRDefault="00B650E5">
      <w:pPr>
        <w:numPr>
          <w:ilvl w:val="0"/>
          <w:numId w:val="49"/>
        </w:numPr>
        <w:spacing w:before="120" w:after="120"/>
        <w:ind w:left="851" w:hanging="425"/>
        <w:jc w:val="both"/>
      </w:pPr>
      <w:r>
        <w:t>podlimitných zákazkách, okrem podlimitných zákaziek podľa ods. 2.,</w:t>
      </w:r>
    </w:p>
    <w:p w14:paraId="4540AB87" w14:textId="1CFF0880" w:rsidR="00B650E5" w:rsidRDefault="00B650E5" w:rsidP="00FB1682">
      <w:pPr>
        <w:numPr>
          <w:ilvl w:val="0"/>
          <w:numId w:val="49"/>
        </w:numPr>
        <w:spacing w:before="120" w:after="120"/>
        <w:ind w:left="851" w:hanging="425"/>
        <w:jc w:val="both"/>
      </w:pPr>
      <w:r>
        <w:t>zákazkách, v rámci ktorých viacerí prijímatelia nadobúdajú tovary, práce alebo služby prostredníctvom centrálnej obstarávacej organizácie podľa § 15 ods. 2 a ods. 4 ZVO, týkajú sa viacerých operačných programov</w:t>
      </w:r>
      <w:r w:rsidRPr="00FE4B08">
        <w:t xml:space="preserve"> a jednotlivé RO</w:t>
      </w:r>
      <w:r>
        <w:t>/SO</w:t>
      </w:r>
      <w:r w:rsidRPr="00FE4B08">
        <w:t xml:space="preserve">, ktoré sú zároveň COO nie sú tou istou právnickou osobou. </w:t>
      </w:r>
      <w:r>
        <w:t xml:space="preserve"> </w:t>
      </w:r>
    </w:p>
    <w:p w14:paraId="5D01262B" w14:textId="77777777" w:rsidR="00B650E5" w:rsidRDefault="00B650E5">
      <w:pPr>
        <w:numPr>
          <w:ilvl w:val="0"/>
          <w:numId w:val="237"/>
        </w:numPr>
        <w:spacing w:before="120" w:after="120"/>
        <w:ind w:left="426" w:hanging="426"/>
        <w:jc w:val="both"/>
      </w:pPr>
      <w:r>
        <w:t>Predbežnému schváleniu RO podľa relevantnosti k príslušnému postupu VO podliehajú nasledovné dokumenty:</w:t>
      </w:r>
    </w:p>
    <w:p w14:paraId="10222E71" w14:textId="77777777" w:rsidR="00B650E5" w:rsidRDefault="00B650E5">
      <w:pPr>
        <w:numPr>
          <w:ilvl w:val="0"/>
          <w:numId w:val="43"/>
        </w:numPr>
        <w:spacing w:before="120" w:after="120"/>
        <w:ind w:left="851" w:hanging="425"/>
        <w:jc w:val="both"/>
      </w:pPr>
      <w:r>
        <w:t>dokument preukazujúci určenie predpokladanej hodnoty zákazky, vrátane dokladov rozhodujúcich pre jej kalkuláciu,</w:t>
      </w:r>
    </w:p>
    <w:p w14:paraId="0A5C7155" w14:textId="77777777" w:rsidR="00B650E5" w:rsidRDefault="00B650E5">
      <w:pPr>
        <w:numPr>
          <w:ilvl w:val="0"/>
          <w:numId w:val="43"/>
        </w:numPr>
        <w:spacing w:before="120" w:after="120"/>
        <w:ind w:left="851" w:hanging="425"/>
        <w:jc w:val="both"/>
      </w:pPr>
      <w:r>
        <w:t>návrh oznámenia o vyhlásení VO,</w:t>
      </w:r>
    </w:p>
    <w:p w14:paraId="177479E9" w14:textId="77777777" w:rsidR="00B650E5" w:rsidRDefault="00B650E5">
      <w:pPr>
        <w:numPr>
          <w:ilvl w:val="0"/>
          <w:numId w:val="43"/>
        </w:numPr>
        <w:spacing w:before="120" w:after="120"/>
        <w:ind w:left="851" w:hanging="425"/>
        <w:jc w:val="both"/>
      </w:pPr>
      <w:r>
        <w:t>návrh oznámenia o vyhlásení súťaže návrhov (pri súťaži návrhov),</w:t>
      </w:r>
    </w:p>
    <w:p w14:paraId="6A75A3AD" w14:textId="77777777" w:rsidR="00B650E5" w:rsidRDefault="00B650E5" w:rsidP="00C80B86">
      <w:pPr>
        <w:numPr>
          <w:ilvl w:val="0"/>
          <w:numId w:val="43"/>
        </w:numPr>
        <w:spacing w:before="120" w:after="120"/>
        <w:ind w:left="851" w:hanging="425"/>
        <w:jc w:val="both"/>
      </w:pPr>
      <w:r>
        <w:t>návrh výzvy na predkladanie ponúk (pri podlimitnej zákazke bez využitia elektronického trhoviska),</w:t>
      </w:r>
    </w:p>
    <w:p w14:paraId="3E15215A" w14:textId="77777777" w:rsidR="00B650E5" w:rsidRDefault="00B650E5">
      <w:pPr>
        <w:numPr>
          <w:ilvl w:val="0"/>
          <w:numId w:val="43"/>
        </w:numPr>
        <w:spacing w:before="120" w:after="120"/>
        <w:ind w:left="851" w:hanging="425"/>
        <w:jc w:val="both"/>
      </w:pPr>
      <w:r>
        <w:t>návrh oznámenia o zámere uzavrieť zmluvu (pri priamom rokovacom konaní),</w:t>
      </w:r>
    </w:p>
    <w:p w14:paraId="4BAD5D0D" w14:textId="77777777" w:rsidR="00B650E5" w:rsidRDefault="00B650E5" w:rsidP="009D6DF9">
      <w:pPr>
        <w:numPr>
          <w:ilvl w:val="0"/>
          <w:numId w:val="43"/>
        </w:numPr>
        <w:spacing w:before="120" w:after="120"/>
        <w:ind w:left="851" w:hanging="425"/>
        <w:jc w:val="both"/>
      </w:pPr>
      <w:r w:rsidRPr="00CA67A4">
        <w:t>odôvodnenie použitia priameho rokovacieho konania</w:t>
      </w:r>
      <w:r w:rsidR="00CC48CB">
        <w:t>,</w:t>
      </w:r>
    </w:p>
    <w:p w14:paraId="54D79004" w14:textId="77777777" w:rsidR="00B650E5" w:rsidRDefault="00B650E5" w:rsidP="009D6DF9">
      <w:pPr>
        <w:numPr>
          <w:ilvl w:val="0"/>
          <w:numId w:val="43"/>
        </w:numPr>
        <w:spacing w:before="120" w:after="120"/>
        <w:ind w:left="851" w:hanging="425"/>
        <w:jc w:val="both"/>
      </w:pPr>
      <w:r>
        <w:t>návrh súťažných podkladov,</w:t>
      </w:r>
    </w:p>
    <w:p w14:paraId="6CBCD08D" w14:textId="77777777" w:rsidR="00B650E5" w:rsidRDefault="00B650E5">
      <w:pPr>
        <w:numPr>
          <w:ilvl w:val="0"/>
          <w:numId w:val="43"/>
        </w:numPr>
        <w:spacing w:before="120" w:after="120"/>
        <w:ind w:left="851" w:hanging="425"/>
        <w:jc w:val="both"/>
      </w:pPr>
      <w:r>
        <w:t>návrh súťažných podmienok (pri súťaži návrhov),</w:t>
      </w:r>
    </w:p>
    <w:p w14:paraId="2299AF08" w14:textId="77777777" w:rsidR="00B650E5" w:rsidRDefault="00B650E5">
      <w:pPr>
        <w:numPr>
          <w:ilvl w:val="0"/>
          <w:numId w:val="43"/>
        </w:numPr>
        <w:spacing w:before="120" w:after="120"/>
        <w:ind w:left="851" w:hanging="425"/>
        <w:jc w:val="both"/>
      </w:pPr>
      <w:r>
        <w:t>odôvodnenie použitia súťažného dialógu,</w:t>
      </w:r>
    </w:p>
    <w:p w14:paraId="7CDC787B" w14:textId="77777777" w:rsidR="00B650E5" w:rsidRDefault="00B650E5">
      <w:pPr>
        <w:numPr>
          <w:ilvl w:val="0"/>
          <w:numId w:val="43"/>
        </w:numPr>
        <w:spacing w:before="120" w:after="120"/>
        <w:ind w:left="851" w:hanging="425"/>
        <w:jc w:val="both"/>
      </w:pPr>
      <w:r>
        <w:t>návrh výzvy na účasť v súťažnom dialógu,</w:t>
      </w:r>
    </w:p>
    <w:p w14:paraId="3106F7D4" w14:textId="77777777" w:rsidR="00B650E5" w:rsidRDefault="00B650E5">
      <w:pPr>
        <w:numPr>
          <w:ilvl w:val="0"/>
          <w:numId w:val="43"/>
        </w:numPr>
        <w:spacing w:before="120" w:after="120"/>
        <w:ind w:left="851" w:hanging="425"/>
        <w:jc w:val="both"/>
      </w:pPr>
      <w:r>
        <w:t>návrh informatívneho dokumentu (pri súťažnom dialógu),</w:t>
      </w:r>
    </w:p>
    <w:p w14:paraId="735E3E47" w14:textId="77777777" w:rsidR="00B650E5" w:rsidRDefault="00B650E5" w:rsidP="003120E4">
      <w:pPr>
        <w:numPr>
          <w:ilvl w:val="0"/>
          <w:numId w:val="43"/>
        </w:numPr>
        <w:spacing w:before="120" w:after="120"/>
        <w:ind w:left="851" w:hanging="425"/>
        <w:jc w:val="both"/>
      </w:pPr>
      <w:r w:rsidRPr="00577A63">
        <w:t>návrh zmluvného formuláru obsahujúceho štandardné zmluvné podmienky, opis predmetu zákazky, prípadné objednávkové atribúty (najmä konkrétne zmluvné špecifikácie a podmienky súťaže v rámci súťaže realizovanej cez elektronické trhovisko), a zároveň automaticky vytvorené oznámenie o vyhlásení verejného obstarávania a súťažné podklady</w:t>
      </w:r>
      <w:r>
        <w:t xml:space="preserve">, </w:t>
      </w:r>
      <w:r w:rsidRPr="002801FF">
        <w:t>ktoré boli automatizovaným spôsobom vytvorené z údajov zo zverejnenej ponuky na elektronickom trhovisku a informácií od prijímateľa</w:t>
      </w:r>
      <w:r w:rsidRPr="00577A63">
        <w:t xml:space="preserve"> (špeciálne v rámci nadlimitnej </w:t>
      </w:r>
      <w:r>
        <w:t xml:space="preserve">verejnej </w:t>
      </w:r>
      <w:r w:rsidRPr="00577A63">
        <w:t>súťaže realizovanej cez elektronické trhovisko)</w:t>
      </w:r>
      <w:r>
        <w:t>.</w:t>
      </w:r>
    </w:p>
    <w:p w14:paraId="018827D4" w14:textId="7EF5CFE4" w:rsidR="00B650E5" w:rsidRDefault="00B650E5">
      <w:pPr>
        <w:numPr>
          <w:ilvl w:val="0"/>
          <w:numId w:val="237"/>
        </w:numPr>
        <w:spacing w:before="120" w:after="120"/>
        <w:ind w:left="426" w:hanging="426"/>
        <w:jc w:val="both"/>
      </w:pPr>
      <w:bookmarkStart w:id="344" w:name="kapitola_33721_ods_5"/>
      <w:r>
        <w:t xml:space="preserve">RO je oprávnený v zmluve o NFP alebo v inom záväznom dokumente, na ktorý zmluva o NFP odkazuje, určiť prijímateľom povinnosti prvej </w:t>
      </w:r>
      <w:r w:rsidR="00FB1D18">
        <w:t>ex ante</w:t>
      </w:r>
      <w:r>
        <w:t xml:space="preserve"> kontroly aj nad rámec uvedeného rozsahu. To znamená, že môže definovať rozsah predbežného schvaľovania aj pre podlimitné zákazky </w:t>
      </w:r>
      <w:r w:rsidR="00B61557">
        <w:t xml:space="preserve">s využitím </w:t>
      </w:r>
      <w:r>
        <w:t>elektronického trhoviska</w:t>
      </w:r>
      <w:r w:rsidR="00B61557">
        <w:t>, podlimitné zákazky na dodanie tovaru alebo poskytnutie služieb</w:t>
      </w:r>
      <w:r>
        <w:t xml:space="preserve"> a tiež na iné fázy procesu VO, napríklad na kontrolu vyhodnotenia splnenia podmienok účasti alebo ponúk, pričom tieto kontroly si RO zadefinuje ako samostatné povinné prvé </w:t>
      </w:r>
      <w:r w:rsidR="00FB1D18">
        <w:t>ex ante</w:t>
      </w:r>
      <w:r>
        <w:t xml:space="preserve"> kontroly vrátane súvisiacich pravidiel tejto kontroly. Uvedené nemá vplyv na povinnosť vykonania prvej </w:t>
      </w:r>
      <w:r w:rsidR="00FB1D18">
        <w:t>ex ante</w:t>
      </w:r>
      <w:r>
        <w:t xml:space="preserve"> kontroly v zmysle </w:t>
      </w:r>
      <w:hyperlink w:anchor="kapitola_33721_ods_2" w:tooltip="ods. 2, 3 a 4" w:history="1">
        <w:r>
          <w:rPr>
            <w:rStyle w:val="Hypertextovprepojenie"/>
          </w:rPr>
          <w:t>ods. 2, 3 a 4</w:t>
        </w:r>
      </w:hyperlink>
      <w:r>
        <w:t xml:space="preserve">. </w:t>
      </w:r>
    </w:p>
    <w:bookmarkEnd w:id="344"/>
    <w:p w14:paraId="5F6C9135" w14:textId="4B302A3A" w:rsidR="00B650E5" w:rsidRDefault="00B650E5">
      <w:pPr>
        <w:numPr>
          <w:ilvl w:val="0"/>
          <w:numId w:val="237"/>
        </w:numPr>
        <w:spacing w:before="120" w:after="120"/>
        <w:ind w:left="426" w:hanging="426"/>
        <w:jc w:val="both"/>
      </w:pPr>
      <w:r w:rsidRPr="00530C13">
        <w:t xml:space="preserve">Vyhlásenie alebo začatie realizácie VO prijímateľom  pred riadnym ukončením </w:t>
      </w:r>
      <w:r>
        <w:t xml:space="preserve">prvej </w:t>
      </w:r>
      <w:r w:rsidR="00FB1D18">
        <w:t>ex ante</w:t>
      </w:r>
      <w:r w:rsidRPr="00530C13">
        <w:t xml:space="preserve"> kontroly zo strany RO (zaslanie správy z kontroly)</w:t>
      </w:r>
      <w:r>
        <w:t>, resp. nepredloženie dokumentácie na túto kontrolu</w:t>
      </w:r>
      <w:r w:rsidRPr="00530C13">
        <w:t xml:space="preserve"> </w:t>
      </w:r>
      <w:r>
        <w:t xml:space="preserve">bude môcť RO vyhodnotiť ako podstatné porušenie zmluvy o NFP. Pokiaľ prijímateľ vyhlási VO v rozpore s požiadavkami RO vyplývajúcimi z výsledkov prvej </w:t>
      </w:r>
      <w:r w:rsidR="00FB1D18">
        <w:t>ex ante</w:t>
      </w:r>
      <w:r>
        <w:t xml:space="preserve"> kontroly </w:t>
      </w:r>
      <w:r>
        <w:lastRenderedPageBreak/>
        <w:t xml:space="preserve">a v rámci </w:t>
      </w:r>
      <w:r w:rsidR="00FB1D18">
        <w:t>ex post</w:t>
      </w:r>
      <w:r>
        <w:t xml:space="preserve"> kontroly RO zistí pochybenie pri VO súvisiace s týmto rozporom, určí RO zodpovedajúcu výšku </w:t>
      </w:r>
      <w:r w:rsidR="00FB1D18">
        <w:t>ex ante</w:t>
      </w:r>
      <w:r>
        <w:t xml:space="preserve"> finančnej opravy alebo nepripustí výdavky do financovania v plnom rozsahu. Nepripustenie do financovania znamená, že všetky výdavky vychádzajúce z realizácie výsledku daného VO budú zo strany RO v prípade, že budú zahrnuté v ŽoP, označené ako neoprávnené. Ak si RO v zmysle </w:t>
      </w:r>
      <w:hyperlink w:anchor="kapitola_33721_ods_5" w:tooltip="ods. 5" w:history="1">
        <w:r>
          <w:rPr>
            <w:rStyle w:val="Hypertextovprepojenie"/>
          </w:rPr>
          <w:t>ods. 5</w:t>
        </w:r>
      </w:hyperlink>
      <w:r>
        <w:t xml:space="preserve"> určí ako povinné aj iné prvé </w:t>
      </w:r>
      <w:r w:rsidR="00FB1D18">
        <w:t>ex ante</w:t>
      </w:r>
      <w:r>
        <w:t xml:space="preserve"> kontroly (napr. prvá </w:t>
      </w:r>
      <w:r w:rsidR="00FB1D18">
        <w:t>ex ante</w:t>
      </w:r>
      <w:r>
        <w:t xml:space="preserve"> kontrola podlimitných zákaziek </w:t>
      </w:r>
      <w:r w:rsidR="0000401A">
        <w:t xml:space="preserve">s využitím </w:t>
      </w:r>
      <w:r>
        <w:t xml:space="preserve">elektronického trhoviska), je oprávnený v prípade nerešpektovania pravidiel tejto kontroly zo strany prijímateľa vyvodiť voči nemu obdobné postihy ako sú  uvedené v tomto odseku. </w:t>
      </w:r>
    </w:p>
    <w:p w14:paraId="630B8A00" w14:textId="11D0CDA9" w:rsidR="00B650E5" w:rsidRDefault="00B650E5">
      <w:pPr>
        <w:numPr>
          <w:ilvl w:val="0"/>
          <w:numId w:val="237"/>
        </w:numPr>
        <w:spacing w:before="120" w:after="120"/>
        <w:ind w:left="426" w:hanging="426"/>
        <w:jc w:val="both"/>
      </w:pPr>
      <w:r>
        <w:t xml:space="preserve">S ohľadom na spoluprácu s ÚVO, PMÚ, resp. s inými orgánmi je RO pri výkone prvej </w:t>
      </w:r>
      <w:r w:rsidR="00FB1D18">
        <w:t>ex ante</w:t>
      </w:r>
      <w:r>
        <w:t xml:space="preserve"> kontroly povinný postupovať v zmysle  </w:t>
      </w:r>
      <w:hyperlink w:anchor="kapitola_3374" w:tooltip="kapitoly 3.3.7.4" w:history="1">
        <w:r>
          <w:rPr>
            <w:rStyle w:val="Hypertextovprepojenie"/>
          </w:rPr>
          <w:t>kapitoly 3.3.7.4</w:t>
        </w:r>
      </w:hyperlink>
      <w:r>
        <w:t xml:space="preserve">. </w:t>
      </w:r>
    </w:p>
    <w:p w14:paraId="4CBA0EF2" w14:textId="5A25C19C" w:rsidR="00B650E5" w:rsidRDefault="00B650E5">
      <w:pPr>
        <w:numPr>
          <w:ilvl w:val="0"/>
          <w:numId w:val="237"/>
        </w:numPr>
        <w:spacing w:before="120" w:after="120"/>
        <w:ind w:left="426" w:hanging="426"/>
        <w:jc w:val="both"/>
      </w:pPr>
      <w:r>
        <w:t xml:space="preserve">Lehota na výkon prvej </w:t>
      </w:r>
      <w:r w:rsidR="00FB1D18">
        <w:t>ex ante</w:t>
      </w:r>
      <w:r>
        <w:t xml:space="preserve"> kontroly je 15 pracovných dní. V prípade, že RO zašle prijímateľovi žiadosť o vysvetlenie alebo doplnenie dokumentácie, určí v tejto žiadosti lehotu minimálne 5 pracovných dní a maximálne 10 pracovných dní na zaslanie tohto vysvetlenia, doplnenia alebo úpravy zo strany prijímateľa. Dňom odoslania žiadosti </w:t>
      </w:r>
      <w:r w:rsidR="0000401A">
        <w:t xml:space="preserve">sa prerušuje </w:t>
      </w:r>
      <w:r>
        <w:t xml:space="preserve">lehota na výkon kontroly. Dňom nasledujúcim po dni doručenia vysvetlenia alebo doplnenia dokumentácie </w:t>
      </w:r>
      <w:r w:rsidR="0000401A">
        <w:t xml:space="preserve">pokračuje plynutie </w:t>
      </w:r>
      <w:r>
        <w:t>lehot</w:t>
      </w:r>
      <w:r w:rsidR="0000401A">
        <w:t>y</w:t>
      </w:r>
      <w:r>
        <w:t xml:space="preserve"> na výkon finančnej kontroly VO.</w:t>
      </w:r>
    </w:p>
    <w:p w14:paraId="18DC37CD" w14:textId="77777777" w:rsidR="00B650E5" w:rsidRPr="00305CCD" w:rsidRDefault="00B650E5">
      <w:pPr>
        <w:numPr>
          <w:ilvl w:val="0"/>
          <w:numId w:val="237"/>
        </w:numPr>
        <w:spacing w:before="120" w:after="120"/>
        <w:ind w:left="426" w:hanging="426"/>
        <w:jc w:val="both"/>
      </w:pPr>
      <w:r>
        <w:t xml:space="preserve">Pri predĺžení lehôt </w:t>
      </w:r>
      <w:r w:rsidRPr="00530C13">
        <w:t xml:space="preserve">na výkon kontroly </w:t>
      </w:r>
      <w:r w:rsidRPr="00305CCD">
        <w:t xml:space="preserve">postupuje RO podľa </w:t>
      </w:r>
      <w:hyperlink w:anchor="kapitola_3372_ods_7" w:tooltip="kapitoly 3.3.7.2. ods. 7" w:history="1">
        <w:r w:rsidRPr="00530C13">
          <w:rPr>
            <w:rStyle w:val="Hypertextovprepojenie"/>
          </w:rPr>
          <w:t>kapitoly 3.3.7.2. ods. 7</w:t>
        </w:r>
      </w:hyperlink>
      <w:r w:rsidRPr="00530C13">
        <w:t xml:space="preserve">.  </w:t>
      </w:r>
    </w:p>
    <w:p w14:paraId="53557DCD" w14:textId="0D5F010A" w:rsidR="00B650E5" w:rsidRDefault="00B650E5" w:rsidP="002657D2">
      <w:pPr>
        <w:numPr>
          <w:ilvl w:val="0"/>
          <w:numId w:val="237"/>
        </w:numPr>
        <w:spacing w:before="120" w:after="120"/>
        <w:ind w:left="426" w:hanging="426"/>
        <w:jc w:val="both"/>
      </w:pPr>
      <w:r w:rsidRPr="00530C13">
        <w:t xml:space="preserve">Pokiaľ RO určí v návrhu správy z kontroly opatrenia na odstránenie zistených nedostatkov a na odstránenie príčin ich vzniku, prijímateľ je  povinný ich v stanovenej lehote (minimálne 5 pracovných dní a maximálne 10 pracovných dní) odstrániť a zaslať na RO takto upravenú dokumentáciu. RO je v odôvodnených prípadoch, ak si to povaha úkonu objektívne vyžaduje, oprávnený stanoviť aj dlhšiu lehotu, resp. stanovenú lehotu predĺžiť. Takýmto postupom by malo byť zabezpečené, že RO nebude mať ďalšie výhrady voči kontrolovanej dokumentácii a kontrolu ukončí zaslaním správy z kontroly prijímateľovi, v ktorej konštatuje, že predmetné verejné obstarávanie verejný obstarávateľ/obstarávateľ môže vyhlásiť. V prípade, že ani po druhej výzve RO, prijímateľ nezabezpečí uspokojivú úpravu kontrolovanej dokumentácie, RO je oprávnený </w:t>
      </w:r>
      <w:r>
        <w:t xml:space="preserve">prvú </w:t>
      </w:r>
      <w:r w:rsidR="00FB1D18">
        <w:t>ex ante</w:t>
      </w:r>
      <w:r w:rsidRPr="00530C13">
        <w:t xml:space="preserve"> kontrolu písomne ukončiť zaslaním správy</w:t>
      </w:r>
      <w:r>
        <w:t xml:space="preserve"> z kontroly</w:t>
      </w:r>
      <w:r w:rsidRPr="00530C13">
        <w:t>, v ktorej</w:t>
      </w:r>
      <w:r>
        <w:t xml:space="preserve"> konštatuje nezapracovanie pripomienok. V tomto prípade bude prijímateľ oprávnený začať postup VO, avšak pokiaľ RO identifikuje pri </w:t>
      </w:r>
      <w:r w:rsidR="00FB1D18">
        <w:t>ex post</w:t>
      </w:r>
      <w:r>
        <w:t xml:space="preserve"> kontrole VO nedostatky, ktoré mali alebo mohli mať vplyv na výsledok VO, </w:t>
      </w:r>
      <w:r w:rsidR="00294899">
        <w:t xml:space="preserve">určí zodpovedajúcu výšku </w:t>
      </w:r>
      <w:r w:rsidR="00FB1D18">
        <w:t>ex ante</w:t>
      </w:r>
      <w:r w:rsidR="00294899">
        <w:t xml:space="preserve"> finančnej opravy alebo nepripustí výdavky do financovania v plnom rozsahu. </w:t>
      </w:r>
      <w:r w:rsidR="002657D2">
        <w:t>Zároveň bude môcť RO uvedenú skutočnosť vyhodnotiť ako podstatné porušenie zmluvy o NFP.</w:t>
      </w:r>
    </w:p>
    <w:p w14:paraId="11C80282" w14:textId="77777777" w:rsidR="00B650E5" w:rsidRDefault="00B650E5">
      <w:pPr>
        <w:numPr>
          <w:ilvl w:val="0"/>
          <w:numId w:val="237"/>
        </w:numPr>
        <w:spacing w:before="120" w:after="120"/>
        <w:ind w:left="426" w:hanging="426"/>
        <w:jc w:val="both"/>
      </w:pPr>
      <w:r>
        <w:t xml:space="preserve">Ak RO bude mať záujem zúčastniť sa na procese vyhodnotenia ponúk predložených v procese ako člen komisie bez práva vyhodnocovať, upozorní na túto skutočnosť prijímateľov v záveroch kontroly. Prijímateľ je povinný v dostatočnom predstihu dohodnúť s RO tieto nominácie a súvisiace administratívne úkony. </w:t>
      </w:r>
    </w:p>
    <w:p w14:paraId="4114F152" w14:textId="77777777" w:rsidR="00B650E5" w:rsidRDefault="00B650E5">
      <w:pPr>
        <w:pStyle w:val="SRK5"/>
      </w:pPr>
      <w:bookmarkStart w:id="345" w:name="_Toc390248456"/>
      <w:bookmarkStart w:id="346" w:name="_Toc453234032"/>
      <w:bookmarkStart w:id="347" w:name="_Toc495649390"/>
      <w:bookmarkStart w:id="348" w:name="kapitola_33722"/>
      <w:bookmarkStart w:id="349" w:name="kapitola_33723"/>
      <w:r>
        <w:t xml:space="preserve">3.3.7.2.2.  Druhá </w:t>
      </w:r>
      <w:r w:rsidR="00FB1D18">
        <w:t>ex ante</w:t>
      </w:r>
      <w:r>
        <w:t xml:space="preserve"> kontrola</w:t>
      </w:r>
      <w:bookmarkEnd w:id="345"/>
      <w:bookmarkEnd w:id="346"/>
      <w:bookmarkEnd w:id="347"/>
      <w:r>
        <w:t xml:space="preserve">  </w:t>
      </w:r>
    </w:p>
    <w:bookmarkEnd w:id="348"/>
    <w:bookmarkEnd w:id="349"/>
    <w:p w14:paraId="5B7AA430" w14:textId="6DEC6AA9" w:rsidR="00B650E5" w:rsidRDefault="00B650E5" w:rsidP="00322B00">
      <w:pPr>
        <w:numPr>
          <w:ilvl w:val="0"/>
          <w:numId w:val="239"/>
        </w:numPr>
        <w:spacing w:before="120" w:after="120"/>
        <w:ind w:left="426" w:hanging="426"/>
        <w:jc w:val="both"/>
      </w:pPr>
      <w:r>
        <w:t xml:space="preserve">Druhá </w:t>
      </w:r>
      <w:r w:rsidR="00FB1D18">
        <w:t>ex ante</w:t>
      </w:r>
      <w:r>
        <w:t xml:space="preserve"> kontrola je vykonávaná v rámci zákaziek, ktoré sú s ohľadom na predpokladanú hodnotu zákazky nadlimitné</w:t>
      </w:r>
      <w:r w:rsidR="00322B00">
        <w:t xml:space="preserve">, a to aj v prípade, že je nadlimitná zákazka </w:t>
      </w:r>
      <w:r w:rsidR="00322B00" w:rsidRPr="00322B00">
        <w:t>realizovaná podlimitným postupom</w:t>
      </w:r>
      <w:r w:rsidR="00322B00">
        <w:t xml:space="preserve">. </w:t>
      </w:r>
      <w:r>
        <w:t xml:space="preserve">RO je oprávnený vo svojej riadiacej dokumentácii rozšíriť povinnosť tohto typu kontroly aj nad rámec rozsahu uvedeného v prvej vete (napr. pre všetky podlimitné zákazky bez využitia elektronického trhoviska). </w:t>
      </w:r>
    </w:p>
    <w:p w14:paraId="0AF9B7A2" w14:textId="77777777" w:rsidR="00B650E5" w:rsidRDefault="00B650E5" w:rsidP="00B210A6">
      <w:pPr>
        <w:numPr>
          <w:ilvl w:val="0"/>
          <w:numId w:val="239"/>
        </w:numPr>
        <w:spacing w:before="120" w:after="120"/>
        <w:ind w:left="426" w:hanging="426"/>
        <w:jc w:val="both"/>
      </w:pPr>
      <w:r>
        <w:t>Prijímateľ je povinný zaslať dokumentáciu na kontrolu pred podpisom zmluvy s úspešným uchádzačom vo fáze po vyhodnotení ponúk a po ukončení všetkých revíznych postupov. Prijímateľ predkladá dokumentáciu z VO v plnom rozsahu.</w:t>
      </w:r>
    </w:p>
    <w:p w14:paraId="29066E70" w14:textId="77777777" w:rsidR="00B650E5" w:rsidRDefault="00B650E5" w:rsidP="005B6917">
      <w:pPr>
        <w:pStyle w:val="Odsekzoznamu"/>
        <w:numPr>
          <w:ilvl w:val="0"/>
          <w:numId w:val="239"/>
        </w:numPr>
        <w:ind w:left="426" w:hanging="426"/>
      </w:pPr>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p w14:paraId="5CE3A1E2" w14:textId="77777777" w:rsidR="00B650E5" w:rsidRDefault="00B650E5" w:rsidP="005B6917">
      <w:pPr>
        <w:numPr>
          <w:ilvl w:val="0"/>
          <w:numId w:val="239"/>
        </w:numPr>
        <w:spacing w:before="120" w:after="120"/>
        <w:ind w:left="426" w:hanging="426"/>
        <w:jc w:val="both"/>
      </w:pPr>
      <w:r>
        <w:lastRenderedPageBreak/>
        <w:t xml:space="preserve">Pri výkone kontroly je RO povinný postupovať v zmysle </w:t>
      </w:r>
      <w:hyperlink w:anchor="kapitola_3374" w:tooltip="kapitoly 3.3.7.4" w:history="1">
        <w:r>
          <w:rPr>
            <w:rStyle w:val="Hypertextovprepojenie"/>
          </w:rPr>
          <w:t>kapitoly 3.3.7.4</w:t>
        </w:r>
      </w:hyperlink>
      <w:r>
        <w:t xml:space="preserve">. </w:t>
      </w:r>
    </w:p>
    <w:p w14:paraId="23C653AA" w14:textId="497A081A" w:rsidR="00B650E5" w:rsidRDefault="00B650E5" w:rsidP="005B6917">
      <w:pPr>
        <w:numPr>
          <w:ilvl w:val="0"/>
          <w:numId w:val="239"/>
        </w:numPr>
        <w:spacing w:before="120" w:after="120"/>
        <w:ind w:left="426" w:hanging="426"/>
        <w:jc w:val="both"/>
      </w:pPr>
      <w:r>
        <w:t xml:space="preserve">Lehota na výkon  kontroly je 20 pracovných dní. Ak RO zašle prijímateľovi žiadosť                                o vysvetlenie alebo doplnenie dokumentácie, určí v tejto žiadosti lehotu minimálne 5 pracovných dní a maximálne 10 pracovných dní na zaslanie tohto vysvetlenia alebo doplnenia zo strany prijímateľa (uvedené lehoty sa netýkajú prípadov, keď lehota na výkon kontroly neplynie z titulu výkonu kontroly ÚVO). Dňom odoslania žiadosti </w:t>
      </w:r>
      <w:r w:rsidR="0000401A">
        <w:t xml:space="preserve">sa prerušuje </w:t>
      </w:r>
      <w:r>
        <w:t xml:space="preserve">lehota na výkon kontroly. Dňom nasledujúcim po dni doručenia vysvetlenia alebo doplnenia dokumentácie na RO </w:t>
      </w:r>
      <w:r w:rsidR="00C85C75">
        <w:t xml:space="preserve">pokračuje plynutie </w:t>
      </w:r>
      <w:r>
        <w:t>lehot</w:t>
      </w:r>
      <w:r w:rsidR="00C85C75">
        <w:t>y</w:t>
      </w:r>
      <w:r>
        <w:t xml:space="preserve"> na výkon finančnej kontroly VO. Doplnením dokumentácie nemôže dôjsť </w:t>
      </w:r>
      <w:r w:rsidR="00C85C75">
        <w:t xml:space="preserve">                        </w:t>
      </w:r>
      <w:r>
        <w:t xml:space="preserve">k zmene pôvodne predložených dokladov, resp. údajov v nich uvedených. Pokiaľ takúto situáciu RO identifikuje, je oprávnený postupovať v zmysle </w:t>
      </w:r>
      <w:hyperlink w:anchor="kapitola_33743" w:history="1">
        <w:r>
          <w:rPr>
            <w:rStyle w:val="Hypertextovprepojenie"/>
          </w:rPr>
          <w:t>kapitoly 3.3.7.4.3</w:t>
        </w:r>
      </w:hyperlink>
      <w:r>
        <w:t>.  Zároveň, ak napriek čestnému vyhláseniu prijímateľa (viď. kapitola 3.3.7.2. ods. 6) RO identifikuje, že dokumentácia nie je kompletná a pre riadne ukončenie kontroly je nevyhnutné vyzvať prijímateľa na doplnenie týchto chýbajúcich dokladov, uvedenú skutočnosť bude môcť RO vyhodnotiť ako podstatné porušenie zmluvy o NFP.</w:t>
      </w:r>
      <w:r w:rsidRPr="00DF11F0">
        <w:t xml:space="preserve"> </w:t>
      </w:r>
      <w:r>
        <w:t>Súčasťou kontroly je aj vecná kontrola</w:t>
      </w:r>
      <w:r w:rsidRPr="00DF11F0">
        <w:t xml:space="preserve"> súladu predmetu obstarávania, návrhu zmluvných podmienok a iných údajov so schválenou ŽoNFP a účinnou zmluvou o NFP. Závery z výkonu vecnej kontroly sú súčasťou </w:t>
      </w:r>
      <w:r>
        <w:t>návrhu správy/</w:t>
      </w:r>
      <w:r w:rsidRPr="00DF11F0">
        <w:t>s</w:t>
      </w:r>
      <w:r>
        <w:t>právy z kontroly</w:t>
      </w:r>
      <w:r w:rsidRPr="00DF11F0">
        <w:t>.</w:t>
      </w:r>
    </w:p>
    <w:p w14:paraId="0A845E34" w14:textId="77777777" w:rsidR="00B650E5" w:rsidRDefault="00B650E5" w:rsidP="005B6917">
      <w:pPr>
        <w:numPr>
          <w:ilvl w:val="0"/>
          <w:numId w:val="239"/>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 xml:space="preserve">. </w:t>
      </w:r>
    </w:p>
    <w:p w14:paraId="131EA245" w14:textId="6995A9C1" w:rsidR="00B650E5" w:rsidRDefault="00B650E5" w:rsidP="005B6917">
      <w:pPr>
        <w:numPr>
          <w:ilvl w:val="0"/>
          <w:numId w:val="239"/>
        </w:numPr>
        <w:spacing w:before="120" w:after="120"/>
        <w:ind w:left="426" w:hanging="426"/>
        <w:jc w:val="both"/>
      </w:pPr>
      <w:r>
        <w:t>Ak RO nezašle návrh správy z kontroly (v prípade zistení nedostatkov) alebo správu z kontroly         (v prípade, ak kontrolou neboli zistené nedostatky) vo vyššie uvedených lehotách, pričom RO lehotu 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kontrolu VO.</w:t>
      </w:r>
    </w:p>
    <w:p w14:paraId="1943FF72" w14:textId="2D9E48ED" w:rsidR="00182DE1" w:rsidRDefault="00B650E5" w:rsidP="00EC07EA">
      <w:pPr>
        <w:numPr>
          <w:ilvl w:val="0"/>
          <w:numId w:val="239"/>
        </w:numPr>
        <w:spacing w:before="120" w:after="120"/>
        <w:ind w:left="426" w:hanging="426"/>
        <w:jc w:val="both"/>
      </w:pPr>
      <w:r>
        <w:t xml:space="preserve">Ak RO zistí </w:t>
      </w:r>
      <w:r w:rsidR="00FA0488">
        <w:t>porušenie pravidiel a postupov VO</w:t>
      </w:r>
      <w:r>
        <w:t>, ktoré je možné postupmi v zmysle ZVO odstrániť (napr. opätovné vyhodnotenie podmienok účasti alebo ponúk)</w:t>
      </w:r>
      <w:r w:rsidR="00AD3B1A">
        <w:t xml:space="preserve"> alebo ak zistí také porušenie ustanovení </w:t>
      </w:r>
      <w:r w:rsidR="00AD3B1A" w:rsidRPr="00530C13">
        <w:t>legislatívy SR a</w:t>
      </w:r>
      <w:r w:rsidR="00AD3B1A">
        <w:t> </w:t>
      </w:r>
      <w:r w:rsidR="00AD3B1A" w:rsidRPr="00530C13">
        <w:t>EÚ</w:t>
      </w:r>
      <w:r w:rsidR="00AD3B1A">
        <w:t xml:space="preserve"> (napr. na základe zistení vecnej kontroly)</w:t>
      </w:r>
      <w:r>
        <w:t>,</w:t>
      </w:r>
      <w:r w:rsidR="00AD3B1A">
        <w:t xml:space="preserve"> ktoré je možné odstrániť,</w:t>
      </w:r>
      <w:r>
        <w:t xml:space="preserve"> vyzve prijímateľa na zaslanie podnetu na ÚVO podľa § 169 ods. 1 písm. b) v spojení s § 169 ods. 2 ZVO. </w:t>
      </w:r>
    </w:p>
    <w:p w14:paraId="60AB6BBD" w14:textId="05F5737A" w:rsidR="00AC1BE4" w:rsidRDefault="00B650E5" w:rsidP="00AC1BE4">
      <w:pPr>
        <w:numPr>
          <w:ilvl w:val="0"/>
          <w:numId w:val="239"/>
        </w:numPr>
        <w:spacing w:before="120" w:after="120"/>
        <w:ind w:left="426" w:hanging="426"/>
        <w:jc w:val="both"/>
      </w:pPr>
      <w:r w:rsidRPr="00530C13">
        <w:t>Ak RO zistí porušenie p</w:t>
      </w:r>
      <w:r w:rsidR="00F8333A">
        <w:t>ravidiel</w:t>
      </w:r>
      <w:r w:rsidRPr="00530C13">
        <w:t xml:space="preserve"> a postupov VO</w:t>
      </w:r>
      <w:r>
        <w:t xml:space="preserve">, </w:t>
      </w:r>
      <w:r w:rsidRPr="00530C13">
        <w:t>ktoré mali alebo mohli mať vplyv na výsledok VO</w:t>
      </w:r>
      <w:r w:rsidR="008A2E61">
        <w:t xml:space="preserve"> a</w:t>
      </w:r>
      <w:r>
        <w:t xml:space="preserve"> nie je možné odstrániť protiprávny stav, vyzve prijímateľa na zaslanie podnetu na ÚVO podľa § 169 ods. 1 písm. b) v</w:t>
      </w:r>
      <w:r w:rsidR="008A2E61">
        <w:t> </w:t>
      </w:r>
      <w:r>
        <w:t>spojení</w:t>
      </w:r>
      <w:r w:rsidR="008A2E61">
        <w:t xml:space="preserve"> </w:t>
      </w:r>
      <w:r>
        <w:t>s § 169 ods. 2 ZVO</w:t>
      </w:r>
      <w:r w:rsidR="00AC1BE4">
        <w:t>, ak RO zároveň vyhodnotí,</w:t>
      </w:r>
      <w:r w:rsidR="00AC1BE4" w:rsidRPr="00AC1BE4">
        <w:t xml:space="preserve"> </w:t>
      </w:r>
      <w:r w:rsidR="00AC1BE4">
        <w:t xml:space="preserve">že opakovaním procesu VO by vznikli vysoké dodatočné náklady, a teda bolo by prípustné uplatniť </w:t>
      </w:r>
      <w:r w:rsidR="00FB1D18">
        <w:t>ex ante</w:t>
      </w:r>
      <w:r w:rsidR="00AC1BE4">
        <w:t xml:space="preserve"> finančnú opravu pred podpisom zmluvy s úspešným uchádzačom. </w:t>
      </w:r>
      <w:r w:rsidR="00AC1BE4" w:rsidRPr="00654198">
        <w:t>V prípade, že nie je možné preukázať, že opakovaním procesu VO by vznikli vysoké dodatočné náklady, RO konštatuje nesúhlas s podpísaním zmluvy s úspešným uchádzačom a vyzve prijímateľa, aby zrušil použitý postup zadávania zákazky a odporučí vyhlásiť nové verejné obstarávanie.</w:t>
      </w:r>
      <w:r w:rsidR="00AC1BE4">
        <w:t xml:space="preserve"> </w:t>
      </w:r>
      <w:r w:rsidR="00AC1BE4" w:rsidRPr="00AC1BE4">
        <w:t>V prípade nesúhlasu RO s podpísaním zmluvy a výzvy adresovanej prijímateľovi na opakovanie procesu VO, nadlimitná zákazka prestáva spĺňať podmienku uvedenú v § 169 ods. 2 ZVO, podľa ktorého povinnosť prijímateľa na podanie podnetu na výkon kontroly pred uzavretím zmluvy sa týka zákaziek, čo aj z časti financovaných z prostriedkov EÚ.</w:t>
      </w:r>
    </w:p>
    <w:p w14:paraId="2B511BC3" w14:textId="345BB7DC" w:rsidR="00B650E5" w:rsidRPr="00530C13" w:rsidRDefault="00B650E5" w:rsidP="002E198C">
      <w:pPr>
        <w:numPr>
          <w:ilvl w:val="0"/>
          <w:numId w:val="239"/>
        </w:numPr>
        <w:spacing w:before="120" w:after="120"/>
        <w:ind w:left="426" w:hanging="426"/>
        <w:jc w:val="both"/>
      </w:pPr>
      <w:r>
        <w:t xml:space="preserve">Ak RO nezistí porušenie </w:t>
      </w:r>
      <w:r w:rsidR="00F8333A">
        <w:t>pravidiel</w:t>
      </w:r>
      <w:r>
        <w:t xml:space="preserve"> a postupov VO, resp. porušenie pravidiel a ustanovení  legislatívy SR a EÚ, ktoré mali alebo mohli mať vplyv na výsledok VO, vyzve prijímateľa na podanie podnetu na výkon kontroly podľa § 169 ods. 1 písm. b) v spojení s § 169 ods. 2 ZVO.</w:t>
      </w:r>
    </w:p>
    <w:p w14:paraId="61A2C31B" w14:textId="6DDF568E" w:rsidR="00B650E5" w:rsidRPr="00530C13" w:rsidRDefault="00B650E5" w:rsidP="005B6917">
      <w:pPr>
        <w:numPr>
          <w:ilvl w:val="0"/>
          <w:numId w:val="239"/>
        </w:numPr>
        <w:spacing w:before="120" w:after="120"/>
        <w:ind w:left="426" w:hanging="426"/>
        <w:jc w:val="both"/>
      </w:pPr>
      <w:r w:rsidRPr="00530C13">
        <w:t xml:space="preserve">Ak RO zistí </w:t>
      </w:r>
      <w:r w:rsidR="0085023A">
        <w:t xml:space="preserve">také </w:t>
      </w:r>
      <w:r w:rsidRPr="00530C13">
        <w:t xml:space="preserve">porušenie </w:t>
      </w:r>
      <w:r w:rsidR="00F8333A">
        <w:t>pravidiel</w:t>
      </w:r>
      <w:r w:rsidRPr="00530C13">
        <w:t xml:space="preserve"> a postupov VO</w:t>
      </w:r>
      <w:r>
        <w:t xml:space="preserve">, </w:t>
      </w:r>
      <w:r w:rsidRPr="00530C13">
        <w:t>ktoré mali alebo mohli mať vplyv na výsledok VO</w:t>
      </w:r>
      <w:r w:rsidR="0085023A">
        <w:t xml:space="preserve">, </w:t>
      </w:r>
      <w:r>
        <w:t>nie je možné  odstrániť protiprávny stav,</w:t>
      </w:r>
      <w:r w:rsidRPr="00530C13">
        <w:t xml:space="preserve"> resp. </w:t>
      </w:r>
      <w:r>
        <w:t xml:space="preserve">zistí </w:t>
      </w:r>
      <w:r w:rsidRPr="00530C13">
        <w:t xml:space="preserve">porušenie pravidiel a </w:t>
      </w:r>
      <w:r w:rsidRPr="00530C13">
        <w:lastRenderedPageBreak/>
        <w:t>ustanovení  legislatívy SR a</w:t>
      </w:r>
      <w:r>
        <w:t> </w:t>
      </w:r>
      <w:r w:rsidRPr="00530C13">
        <w:t>EÚ</w:t>
      </w:r>
      <w:r>
        <w:t xml:space="preserve"> (napr. na základe zistení vecnej kontroly také skutočnosti, ktoré ovplyvňujú posudzovanie oprávnenosti výdavkov predložených prijímateľom v</w:t>
      </w:r>
      <w:r w:rsidR="006D75BF">
        <w:t> </w:t>
      </w:r>
      <w:r>
        <w:t>ŽoP</w:t>
      </w:r>
      <w:r w:rsidR="006D75BF">
        <w:t xml:space="preserve"> – nesúlad predmetu zákazky VO s podpísanou zmluvou o poskytnutí NFP</w:t>
      </w:r>
      <w:r w:rsidR="0085023A">
        <w:t>)</w:t>
      </w:r>
      <w:r w:rsidR="005E61C1">
        <w:t xml:space="preserve"> a identifikované zistenia odôvodňujú nepripustenie výdavkov do financovania</w:t>
      </w:r>
      <w:r>
        <w:t>,</w:t>
      </w:r>
      <w:r w:rsidRPr="00530C13">
        <w:t xml:space="preserve"> </w:t>
      </w:r>
      <w:r>
        <w:t xml:space="preserve">RO vypracuje a zašle prijímateľovi návrh správy z kontroly, obsahujúci zistenia. RO je povinný poskytnúť prijímateľovi lehotu minimálne 5 pracovných dní na podanie námietok. V prípade, že prijímateľ zašle v určenej lehote námietky, je RO povinný ich vyhodnotiť a v prípade ich úplnej alebo čiastočnej opodstatnenosti, zohľadniť ich v správe z kontroly, pričom následne postupuje podľa ods. </w:t>
      </w:r>
      <w:r w:rsidR="004C6AA8">
        <w:t>8</w:t>
      </w:r>
      <w:r w:rsidR="005C0DFF">
        <w:t xml:space="preserve">, </w:t>
      </w:r>
      <w:r w:rsidR="004C6AA8">
        <w:t>9</w:t>
      </w:r>
      <w:r w:rsidR="005C0DFF">
        <w:t xml:space="preserve"> alebo 10</w:t>
      </w:r>
      <w:r>
        <w:t xml:space="preserve"> kapitoly 3.3.7.2.2. V prípade, že námietky prijímateľa sú neopodstatnené, neboli podané alebo boli podané po lehote, vypracuje RO správu z kontroly, ktorej záverom </w:t>
      </w:r>
      <w:r w:rsidRPr="00530C13">
        <w:t xml:space="preserve">je nesúhlas RO s podpísaním zmluvy </w:t>
      </w:r>
      <w:r>
        <w:t xml:space="preserve">prijímateľa </w:t>
      </w:r>
      <w:r w:rsidRPr="00530C13">
        <w:t>s úspešným uchádzačom</w:t>
      </w:r>
      <w:r>
        <w:t xml:space="preserve"> a </w:t>
      </w:r>
      <w:r w:rsidRPr="00530C13">
        <w:t>RO vyzve prijímateľa na opakovanie procesu VO</w:t>
      </w:r>
      <w:r w:rsidR="00BD2807">
        <w:t>, ak nevyzve prijímateľa na zaslanie podnetu na ÚVO podľa ods. 9</w:t>
      </w:r>
      <w:r w:rsidRPr="00530C13">
        <w:t>. Tento nesúhlas predstavuje zároveň deklaráciu RO týkajúcu sa nepripustenia</w:t>
      </w:r>
      <w:r>
        <w:t xml:space="preserve"> </w:t>
      </w:r>
      <w:r w:rsidRPr="00530C13">
        <w:t xml:space="preserve">súvisiacich budúcich výdavkov do financovania v plnom rozsahu, </w:t>
      </w:r>
      <w:r w:rsidR="00C93F30">
        <w:t xml:space="preserve">t. j. </w:t>
      </w:r>
      <w:r w:rsidRPr="00530C13">
        <w:t xml:space="preserve"> pokiaľ by bola zmluva s úspešným uchádzačom aj napriek nesúhlasu RO podpísaná, RO v rámci </w:t>
      </w:r>
      <w:r>
        <w:t xml:space="preserve">následnej </w:t>
      </w:r>
      <w:r w:rsidR="00FB1D18">
        <w:t>ex post</w:t>
      </w:r>
      <w:r w:rsidRPr="00530C13">
        <w:t xml:space="preserve"> kontroly nepripustí výdavky vyplývajúce z predmetnej zmluvy do financovania v plnom rozsahu.</w:t>
      </w:r>
      <w:r>
        <w:t xml:space="preserve"> V prípade nesúhlasu RO s podpísaním zmluvy a výzvy adresovanej prijímateľovi na opakovanie procesu VO, nadlimitná zákazka prestáva spĺňať podmienku uvedenú v § 169 ods. 2 ZVO, podľa ktorého povinnosť prijímateľa na podanie podnetu na výkon kontroly pred uzavretím zmluvy sa týka zákaziek, čo aj z časti financovaných z prostriedkov EÚ.</w:t>
      </w:r>
    </w:p>
    <w:p w14:paraId="3C23D6A6" w14:textId="4353D574" w:rsidR="00B650E5" w:rsidRDefault="00B650E5" w:rsidP="00997CB0">
      <w:pPr>
        <w:numPr>
          <w:ilvl w:val="0"/>
          <w:numId w:val="237"/>
        </w:numPr>
        <w:spacing w:before="120" w:after="120"/>
        <w:ind w:left="426" w:hanging="426"/>
        <w:jc w:val="both"/>
      </w:pPr>
      <w:r w:rsidRPr="00530C13">
        <w:t>Ak prijímateľ podpíše zmluvu s úspešným uchádzačom pred riadnym ukončením tejto kontroly, resp. vôbec nepredloží dokumentáciu k VO na túto kontrolu</w:t>
      </w:r>
      <w:r w:rsidR="00E9166C">
        <w:t xml:space="preserve"> a </w:t>
      </w:r>
      <w:bookmarkStart w:id="350" w:name="_Toc453234033"/>
      <w:r w:rsidR="00E9166C">
        <w:t xml:space="preserve">RO identifikuje pri </w:t>
      </w:r>
      <w:r w:rsidR="00FB1D18">
        <w:t>ex post</w:t>
      </w:r>
      <w:r w:rsidR="00E9166C">
        <w:t xml:space="preserve"> kontrole VO nedostatky, ktoré mali alebo mohli mať vplyv na výsledok VO, súvisiace výdavky nebudú schválené na financovanie v plnom rozsahu.</w:t>
      </w:r>
      <w:r w:rsidR="00E9166C" w:rsidRPr="002657D2">
        <w:t xml:space="preserve"> </w:t>
      </w:r>
      <w:r w:rsidR="00E9166C">
        <w:t>Zároveň bude môcť RO uvedenú skutočnosť vyhodnotiť ako podstatné porušenie zmluvy o NFP.</w:t>
      </w:r>
    </w:p>
    <w:p w14:paraId="45EE711A" w14:textId="06402DDA" w:rsidR="00B650E5" w:rsidRDefault="00B650E5" w:rsidP="00997CB0">
      <w:pPr>
        <w:numPr>
          <w:ilvl w:val="0"/>
          <w:numId w:val="239"/>
        </w:numPr>
        <w:spacing w:before="120" w:after="120"/>
        <w:ind w:left="426" w:hanging="426"/>
        <w:jc w:val="both"/>
      </w:pPr>
      <w:r>
        <w:t xml:space="preserve">ÚVO vykonáva kontrolu nadlimitných zákaziek v rámci druhej </w:t>
      </w:r>
      <w:r w:rsidR="00FB1D18">
        <w:t>ex ante</w:t>
      </w:r>
      <w:r>
        <w:t xml:space="preserve"> kontroly na základe podnetu prijímateľa </w:t>
      </w:r>
      <w:r w:rsidRPr="0094199C">
        <w:t xml:space="preserve">podľa </w:t>
      </w:r>
      <w:r>
        <w:t xml:space="preserve">§ 169 ods. 1 písm. b) v spojení s </w:t>
      </w:r>
      <w:r w:rsidRPr="0094199C">
        <w:t>§ 169 ods. 2 ZVO</w:t>
      </w:r>
      <w:r>
        <w:t xml:space="preserve"> </w:t>
      </w:r>
      <w:r w:rsidRPr="0094199C">
        <w:t>vo fáze pred uzavretím zmluvy, koncesnej zmluvy alebo rámcovej dohody, pred ukončením súťaže návrhov, pred zadaním zákazky na základe rámcovej dohody alebo pred ukončením postupu inovatívneho partnerstva</w:t>
      </w:r>
      <w:r>
        <w:t xml:space="preserve"> v prípadoch uvedených v ods. </w:t>
      </w:r>
      <w:r w:rsidR="004C6AA8">
        <w:t>8</w:t>
      </w:r>
      <w:r w:rsidR="00182DE1">
        <w:t xml:space="preserve">, </w:t>
      </w:r>
      <w:r w:rsidR="004C6AA8">
        <w:t>9</w:t>
      </w:r>
      <w:r w:rsidR="00182DE1">
        <w:t xml:space="preserve"> a 10</w:t>
      </w:r>
      <w:r>
        <w:t xml:space="preserve">. Podnet na výkon kontroly podáva prijímateľ na základe vyzvania RO podľa ods. </w:t>
      </w:r>
      <w:r w:rsidR="004C6AA8">
        <w:t>8</w:t>
      </w:r>
      <w:r w:rsidR="00182DE1">
        <w:t xml:space="preserve">, </w:t>
      </w:r>
      <w:r w:rsidR="004C6AA8">
        <w:t>9</w:t>
      </w:r>
      <w:r w:rsidR="00321E75">
        <w:t xml:space="preserve"> a </w:t>
      </w:r>
      <w:r w:rsidR="00182DE1">
        <w:t>10</w:t>
      </w:r>
      <w:r>
        <w:t>. Náležitosťou podnetu</w:t>
      </w:r>
      <w:r w:rsidRPr="00A506D8">
        <w:t xml:space="preserve"> na výkon kontroly </w:t>
      </w:r>
      <w:r>
        <w:t>zasielaného prijímateľom na ÚVO je označenie príslušného RO/SO, operačného</w:t>
      </w:r>
      <w:r w:rsidRPr="00A506D8">
        <w:t xml:space="preserve"> program</w:t>
      </w:r>
      <w:r>
        <w:t>u, náz</w:t>
      </w:r>
      <w:r w:rsidRPr="00A506D8">
        <w:t>v</w:t>
      </w:r>
      <w:r>
        <w:t>u a čísla</w:t>
      </w:r>
      <w:r w:rsidRPr="00A506D8">
        <w:t xml:space="preserve"> projektu, </w:t>
      </w:r>
      <w:r w:rsidRPr="00CA67A4">
        <w:t>čísla vestníka VO, označenie značky a dátumu vyhlásenia VO, ktorého sa podnet týka</w:t>
      </w:r>
      <w:r w:rsidRPr="00A506D8">
        <w:t xml:space="preserve">. Dňom odoslania výzvy na podanie podnetu na ÚVO prestáva plynúť lehota na výkon kontroly. Vyzvanie prijímateľa na podanie podnetu na ÚVO </w:t>
      </w:r>
      <w:r>
        <w:t xml:space="preserve">tak </w:t>
      </w:r>
      <w:r w:rsidRPr="00A506D8">
        <w:t>plní funkciu výzvy na doplnenie chýbajúceho dokladu, ktorým je právoplatné rozhodnutie ÚVO predstavujúce pod</w:t>
      </w:r>
      <w:r>
        <w:t xml:space="preserve">klad </w:t>
      </w:r>
      <w:r w:rsidRPr="00A506D8">
        <w:t xml:space="preserve">pre ukončenie </w:t>
      </w:r>
      <w:r>
        <w:t xml:space="preserve">finančnej </w:t>
      </w:r>
      <w:r w:rsidRPr="00A506D8">
        <w:t>kontroly VO.</w:t>
      </w:r>
    </w:p>
    <w:p w14:paraId="6775C145" w14:textId="64DC75F1" w:rsidR="00B650E5" w:rsidRDefault="00B650E5">
      <w:pPr>
        <w:numPr>
          <w:ilvl w:val="0"/>
          <w:numId w:val="239"/>
        </w:numPr>
        <w:spacing w:before="120" w:after="120"/>
        <w:ind w:left="426" w:hanging="426"/>
        <w:jc w:val="both"/>
      </w:pPr>
      <w:r>
        <w:t xml:space="preserve">RO je povinný informovať Prijímateľa o povinnosti (v príručke pre žiadateľa/prijímateľa) zaslať dokumentáciu k nadlimitnej zákazke alebo koncesii na kontrolu na ÚVO podľa § 169 ods. 2 ZVO v prípadoch uvedených v ods. </w:t>
      </w:r>
      <w:r w:rsidR="004C6AA8">
        <w:t>8</w:t>
      </w:r>
      <w:r w:rsidR="00182DE1">
        <w:t xml:space="preserve">, </w:t>
      </w:r>
      <w:r w:rsidR="004C6AA8">
        <w:t>9</w:t>
      </w:r>
      <w:r w:rsidR="00182DE1">
        <w:t xml:space="preserve"> a 10</w:t>
      </w:r>
      <w:r>
        <w:t xml:space="preserve">. </w:t>
      </w:r>
    </w:p>
    <w:p w14:paraId="2B845134" w14:textId="78A59216" w:rsidR="00B650E5" w:rsidRDefault="00B650E5" w:rsidP="00CC45A9">
      <w:pPr>
        <w:numPr>
          <w:ilvl w:val="0"/>
          <w:numId w:val="239"/>
        </w:numPr>
        <w:spacing w:before="120" w:after="120"/>
        <w:ind w:left="426" w:hanging="426"/>
        <w:jc w:val="both"/>
      </w:pPr>
      <w:r>
        <w:t>Prijímateľ predkladá na ÚVO spolu s podnetom na výkon kontroly aj kompletnú dokumentáciu k nadlimitnej zákazke alebo koncesii v origináli, a to najneskôr do 5 pracovných dní po dni, kedy mu bolo zo strany RO doručené vyzvanie na podanie podnetu na výkon kontroly podľa                      § 169 ods. 2 ZVO. Prijímateľ je zároveň povinný informovať RO o podaní podnetu na ÚVO.</w:t>
      </w:r>
    </w:p>
    <w:p w14:paraId="0E2C0944" w14:textId="77777777" w:rsidR="00B650E5" w:rsidRDefault="00B650E5" w:rsidP="00997CB0">
      <w:pPr>
        <w:numPr>
          <w:ilvl w:val="0"/>
          <w:numId w:val="239"/>
        </w:numPr>
        <w:spacing w:before="120" w:after="120"/>
        <w:ind w:left="426" w:hanging="426"/>
        <w:jc w:val="both"/>
      </w:pPr>
      <w:r>
        <w:t xml:space="preserve">Po doručení podnetu prijímateľa na výkon kontroly si ÚVO vyžiada od príslušného RO predbežné závery z  finančnej kontroly VO a RO mu tieto závery bezodkladne poskytne, pričom v prípade identifikovaných nedostatkov RO uvedie, či tieto mali alebo mohli mať vplyv na výsledok VO. ÚVO rozhodne </w:t>
      </w:r>
      <w:r w:rsidRPr="0073723B">
        <w:t xml:space="preserve">do 30 dní odo dňa doručenia kompletnej dokumentácie v origináli. </w:t>
      </w:r>
      <w:r w:rsidRPr="00CA67A4">
        <w:lastRenderedPageBreak/>
        <w:t>Lehota na vydanie rozhodnutia neplynie v prípade podľa § 173 ods. 4 ZVO (nedoručenie kompletnej dokumentácie v origináli).</w:t>
      </w:r>
      <w:r>
        <w:t xml:space="preserve"> Proti rozhodnutiu ÚVO môže účastník konania a osoba podľa § 175 ods. 11 ZVO podať odvolanie. Odvolanie musí byť doručené ÚVO do 10 dní odo dňa doručenia rozhodnutia, proti ktorému odvolanie smeruje. Podanie odvolania má odkladný účinok do dňa právoplatnosti rozhodnutia rady ÚVO o odvolaní.  Rozhodnutie ÚVO je právoplatné márnym uplynutím lehoty na podanie odvolania alebo dňom doručenia rozhodnutia rady ÚVO podľa § 177 ods. 10 alebo ods. 12 ZVO účastníkom konania a vykonateľné uplynutím lehoty na plnenie, ak nie je ustanovené inak. Rada ÚVO môže na základe podnetu RO, orgánu auditu alebo certifikačného orgánu preskúmať mimo odvolacieho konania rozhodnutie ÚVO vydané podľa § 174 alebo § 175 ZVO za podmienok upravených v ustanovení § 179a ZVO.  </w:t>
      </w:r>
    </w:p>
    <w:p w14:paraId="4A6C3338" w14:textId="77777777" w:rsidR="00B650E5" w:rsidRDefault="00B650E5" w:rsidP="00317707">
      <w:pPr>
        <w:numPr>
          <w:ilvl w:val="0"/>
          <w:numId w:val="239"/>
        </w:numPr>
        <w:spacing w:before="120" w:after="120"/>
        <w:ind w:left="426" w:hanging="426"/>
        <w:jc w:val="both"/>
      </w:pPr>
      <w:r>
        <w:t>Prijímateľ je povinný doručiť RO kópiu právoplatného rozhodnutia ÚVO. V prípade, že prijímateľ podal proti rozhodnutiu ÚVO odvolanie, zasiela na vedomie RO spolu s kópiou právoplatného rozhodnutia ÚVO, resp. Rady ÚVO aj písomné vyhotovenie odvolania.  Povinnosť prijímateľa doručiť RO kópiu právoplatného rozhodnutia ÚVO je RO povinný zapracovať do príručky pre prijímateľa.</w:t>
      </w:r>
    </w:p>
    <w:p w14:paraId="33F5CA0E" w14:textId="2122E4CD" w:rsidR="00FA0488" w:rsidRDefault="00B650E5" w:rsidP="00853685">
      <w:pPr>
        <w:numPr>
          <w:ilvl w:val="0"/>
          <w:numId w:val="239"/>
        </w:numPr>
        <w:spacing w:before="120" w:after="120"/>
        <w:ind w:left="426" w:hanging="426"/>
        <w:jc w:val="both"/>
      </w:pPr>
      <w:r>
        <w:t xml:space="preserve">Rozhodnutie, ktoré vydá ÚVO predstavuje podklad pre RO na vypracovanie návrhu správy z kontroly (v prípade zistení nedostatkov) alebo správy z kontroly </w:t>
      </w:r>
      <w:r w:rsidRPr="000E286B">
        <w:t xml:space="preserve">(v </w:t>
      </w:r>
      <w:r>
        <w:t>prípade, ak neboli zistené nedostatky</w:t>
      </w:r>
      <w:r w:rsidR="005C0DFF">
        <w:t xml:space="preserve"> </w:t>
      </w:r>
      <w:r w:rsidR="005C0DFF" w:rsidRPr="005C0DFF">
        <w:t xml:space="preserve">alebo RO po vydaní rozhodnutia ÚVO </w:t>
      </w:r>
      <w:r w:rsidR="00E9166C">
        <w:t xml:space="preserve">o zastavení konania </w:t>
      </w:r>
      <w:r w:rsidR="005C0DFF" w:rsidRPr="005C0DFF">
        <w:t xml:space="preserve">netrvá na </w:t>
      </w:r>
      <w:r w:rsidR="00E9166C">
        <w:t xml:space="preserve">predbežne </w:t>
      </w:r>
      <w:r w:rsidR="005C0DFF" w:rsidRPr="005C0DFF">
        <w:t>zistených nedostatkoch</w:t>
      </w:r>
      <w:r w:rsidRPr="000E286B">
        <w:t xml:space="preserve">). </w:t>
      </w:r>
      <w:r>
        <w:t xml:space="preserve">Uvedeným nie je dotknutá zodpovednosť RO za výkon finančnej kontroly VO v zmysle čl. 125 ods. 4 všeobecného nariadenia. </w:t>
      </w:r>
      <w:r w:rsidRPr="000E286B">
        <w:t xml:space="preserve">Návrh správy z kontroly alebo správu z kontroly </w:t>
      </w:r>
      <w:r>
        <w:t>RO vydá do 15 pracovných dní odo dňa doručenia právoplatného</w:t>
      </w:r>
      <w:r w:rsidRPr="009C3CC9">
        <w:t xml:space="preserve"> rozhodnutia ÚVO</w:t>
      </w:r>
      <w:r>
        <w:t>. Právoplatné rozhodnutie doručí na RO prijímateľ a rovnako aj ÚVO, pričom lehota na vypracovanie návrhu správy</w:t>
      </w:r>
      <w:r w:rsidRPr="000E286B">
        <w:t>/</w:t>
      </w:r>
      <w:r>
        <w:t xml:space="preserve">správy z kontroly začne pre RO plynúť odo dňa skoršieho doručenia právoplatného rozhodnutia ÚVO. V prípade, že právoplatné rozhodnutie ÚVO nepotvrdí predbežné závery RO, vypracuje ÚVO sprievodný list, v ktorom uvedie informácie, prečo </w:t>
      </w:r>
      <w:r w:rsidR="003B1847">
        <w:t>nedostatky uvedené v </w:t>
      </w:r>
      <w:r>
        <w:t>predbežn</w:t>
      </w:r>
      <w:r w:rsidR="003B1847">
        <w:t>ých</w:t>
      </w:r>
      <w:r>
        <w:t xml:space="preserve"> záver</w:t>
      </w:r>
      <w:r w:rsidR="003B1847">
        <w:t>och</w:t>
      </w:r>
      <w:r>
        <w:t xml:space="preserve"> </w:t>
      </w:r>
      <w:r w:rsidR="003B1847">
        <w:t xml:space="preserve">kontroly </w:t>
      </w:r>
      <w:r>
        <w:t xml:space="preserve">RO </w:t>
      </w:r>
      <w:r w:rsidR="003B1847">
        <w:t xml:space="preserve">nepovažuje za nedostatky v zmysle ZVO alebo prečo nedostatky zistené RO </w:t>
      </w:r>
      <w:r>
        <w:t xml:space="preserve">nemali alebo nemohli mať vplyv na výsledok VO. Sprievodný list bude prílohou právoplatného rozhodnutia, ktoré na RO doručí ÚVO a tento postup sa vzťahuje na prípady podľa ods. </w:t>
      </w:r>
      <w:r w:rsidR="004C6AA8">
        <w:t>8</w:t>
      </w:r>
      <w:r w:rsidR="00FA0488">
        <w:t xml:space="preserve"> a 9</w:t>
      </w:r>
      <w:r>
        <w:t>.</w:t>
      </w:r>
    </w:p>
    <w:p w14:paraId="77554556" w14:textId="77777777" w:rsidR="00654198" w:rsidRDefault="00FA0488" w:rsidP="00654198">
      <w:pPr>
        <w:numPr>
          <w:ilvl w:val="0"/>
          <w:numId w:val="239"/>
        </w:numPr>
        <w:spacing w:before="120" w:after="120"/>
        <w:ind w:left="426" w:hanging="426"/>
        <w:jc w:val="both"/>
      </w:pPr>
      <w:r>
        <w:t>V prípade, že právoplatné rozhodnutie ÚVO nepotvrdí predbežné závery RO týkajúce sa porušenia pravidiel a postupov VO,</w:t>
      </w:r>
      <w:r w:rsidRPr="00FA0488">
        <w:t xml:space="preserve"> </w:t>
      </w:r>
      <w:r w:rsidRPr="00530C13">
        <w:t>ktoré mali alebo mohli mať vplyv na výsledok VO</w:t>
      </w:r>
      <w:r>
        <w:t xml:space="preserve"> a nie je možné odstrániť protiprávny stav, je RO oprávnený uplatniť </w:t>
      </w:r>
      <w:r w:rsidR="00FB1D18">
        <w:t>ex ante</w:t>
      </w:r>
      <w:r>
        <w:t xml:space="preserve"> finančnú opravu</w:t>
      </w:r>
      <w:r w:rsidR="007416E4">
        <w:t xml:space="preserve"> pred podpisom zmluvy s úspešným uchádzačom iba v prípade, ak by opakovaním procesu VO vznikli vysoké dodatočné náklady.</w:t>
      </w:r>
      <w:r w:rsidR="00654198">
        <w:t xml:space="preserve"> </w:t>
      </w:r>
      <w:r w:rsidR="00654198" w:rsidRPr="00654198">
        <w:t>V prípade, že nie je možné preukázať, že opakovaním procesu VO by vznikli vysoké dodatočné náklady, RO konštatuje nesúhlas s podpísaním zmluvy s úspešným uchádzačom a vyzve prijímateľa, aby zrušil použitý postup zadávania zákazky a odporučí vyhlásiť nové verejné obstarávanie.</w:t>
      </w:r>
    </w:p>
    <w:p w14:paraId="6C242AD8" w14:textId="32FA7457" w:rsidR="007416E4" w:rsidRDefault="00B650E5" w:rsidP="007416E4">
      <w:pPr>
        <w:numPr>
          <w:ilvl w:val="0"/>
          <w:numId w:val="239"/>
        </w:numPr>
        <w:spacing w:before="120" w:after="120"/>
        <w:ind w:left="426" w:hanging="426"/>
        <w:jc w:val="both"/>
      </w:pPr>
      <w:r>
        <w:t xml:space="preserve">Záverom kontroly RO môže byť súhlas alebo nesúhlas s podpisom zmluvy s úspešným uchádzačom. V prípade, že je potrebné odstrániť v rámci overovanej zákazky protiprávny stav,            zašle prijímateľ na RO súvisiacu aktualizovanú dokumentáciu (napr. </w:t>
      </w:r>
      <w:r w:rsidRPr="009F68AA">
        <w:t>zápisnicu z opätovného vyhodnotenia ponúk</w:t>
      </w:r>
      <w:r>
        <w:t xml:space="preserve">) a RO skontroluje, či prijímateľ odstránil protiprávny stav v súlade s návrhom správy z kontroly (obsahuje zistenia z rozhodnutia ÚVO a/alebo zistenia RO). V prípade, že prijímateľ odstránil protiprávny stav, vypracuje RO v lehote 15 pracovných dní           od doručenia aktualizovanej dokumentácie správu z kontroly, ktorá obsahuje súhlas s podpísaním zmluvy s úspešným uchádzačom. </w:t>
      </w:r>
      <w:r w:rsidRPr="00501708">
        <w:t xml:space="preserve">V prípade, že prijímateľ </w:t>
      </w:r>
      <w:r>
        <w:t>ne</w:t>
      </w:r>
      <w:r w:rsidRPr="00501708">
        <w:t xml:space="preserve">odstránil protiprávny stav, </w:t>
      </w:r>
      <w:r w:rsidR="007416E4" w:rsidRPr="007416E4">
        <w:t xml:space="preserve">je RO oprávnený uplatniť </w:t>
      </w:r>
      <w:r w:rsidR="00FB1D18">
        <w:t>ex ante</w:t>
      </w:r>
      <w:r w:rsidR="007416E4" w:rsidRPr="007416E4">
        <w:t xml:space="preserve"> finančnú opravu pred podpisom zmluvy s úspešným uchádzačom iba v prípade, ak by opakovaním procesu VO vznikli vysoké dodatočné náklady</w:t>
      </w:r>
      <w:r w:rsidR="00654198">
        <w:t xml:space="preserve"> a zároveň nebol odstránený protiprávny stav konštatovaný v predbežných záveroch RO</w:t>
      </w:r>
      <w:r w:rsidR="000820AC">
        <w:t xml:space="preserve"> a následne v návrhu </w:t>
      </w:r>
      <w:r w:rsidR="000820AC">
        <w:lastRenderedPageBreak/>
        <w:t>správy z kontroly</w:t>
      </w:r>
      <w:r w:rsidR="00654198">
        <w:t xml:space="preserve">, pričom ÚVO vydal </w:t>
      </w:r>
      <w:r w:rsidR="000820AC">
        <w:t xml:space="preserve">v rámci kontroly zákazky </w:t>
      </w:r>
      <w:r w:rsidR="00654198">
        <w:t>rozhodnutie o zastavení konania</w:t>
      </w:r>
      <w:r w:rsidR="007416E4" w:rsidRPr="007416E4">
        <w:t>.</w:t>
      </w:r>
      <w:r w:rsidR="00654198" w:rsidRPr="00654198">
        <w:t xml:space="preserve"> </w:t>
      </w:r>
      <w:r w:rsidR="00654198">
        <w:t xml:space="preserve">V prípade, že nie je možné preukázať, že opakovaním procesu VO by vznikli vysoké dodatočné náklady, </w:t>
      </w:r>
      <w:r w:rsidR="000820AC">
        <w:t>RO vyjadrí</w:t>
      </w:r>
      <w:r w:rsidR="00654198">
        <w:t xml:space="preserve"> nesúhlas s podpísaním zmluvy s úspešným uchádzačom a vyzve prijímateľa, aby zrušil použitý postup zadávania zákazky a odporučí vyhlásiť nové verejné obstarávanie.</w:t>
      </w:r>
    </w:p>
    <w:p w14:paraId="428CA1CC" w14:textId="77777777" w:rsidR="000820AC" w:rsidRDefault="000820AC" w:rsidP="007416E4">
      <w:pPr>
        <w:numPr>
          <w:ilvl w:val="0"/>
          <w:numId w:val="239"/>
        </w:numPr>
        <w:spacing w:before="120" w:after="120"/>
        <w:ind w:left="426" w:hanging="426"/>
        <w:jc w:val="both"/>
      </w:pPr>
      <w:r>
        <w:t>V prípade, že prijímateľ nezruší použitý postup zadávania zákazky alebo neodstráni protiprávny stav, ktorý nariadi ÚVO v právoplatnom rozhodnutí, RO konštatuje nesúhlas s podpísaním zmluvy s úspešným uchádzačom</w:t>
      </w:r>
      <w:r w:rsidRPr="000820AC">
        <w:t xml:space="preserve"> </w:t>
      </w:r>
      <w:r>
        <w:t>a výdavky z VO nebudú schválené na financovanie v plnom rozsahu.</w:t>
      </w:r>
    </w:p>
    <w:p w14:paraId="2827D65E" w14:textId="43332C99" w:rsidR="00B650E5" w:rsidRDefault="00B650E5" w:rsidP="00617B94">
      <w:pPr>
        <w:numPr>
          <w:ilvl w:val="0"/>
          <w:numId w:val="239"/>
        </w:numPr>
        <w:spacing w:before="120" w:after="120"/>
        <w:ind w:left="426" w:hanging="426"/>
        <w:jc w:val="both"/>
      </w:pPr>
      <w:r>
        <w:t xml:space="preserve">ÚVO pri výkone kontroly zákaziek, čo aj z časti financovaných z prostriedkov Európskej únie podľa § 169 ods. 2 ZVO, skúma prítomnosť rizikových indikátorov a postupuje primerane podľa kapitoly </w:t>
      </w:r>
      <w:hyperlink w:anchor="kapitola_337423" w:history="1">
        <w:r w:rsidRPr="00A4642A">
          <w:rPr>
            <w:rStyle w:val="Hypertextovprepojenie"/>
          </w:rPr>
          <w:t>3.3.7.4.2.3</w:t>
        </w:r>
      </w:hyperlink>
      <w:r w:rsidRPr="00A4642A">
        <w:rPr>
          <w:rStyle w:val="Hypertextovprepojenie"/>
          <w:color w:val="auto"/>
          <w:u w:val="none"/>
        </w:rPr>
        <w:t xml:space="preserve"> a kapitoly </w:t>
      </w:r>
      <w:hyperlink w:anchor="kapitola_337431" w:history="1">
        <w:r w:rsidRPr="00A4642A">
          <w:rPr>
            <w:rStyle w:val="Hypertextovprepojenie"/>
          </w:rPr>
          <w:t>3.3.7.4.3.1</w:t>
        </w:r>
      </w:hyperlink>
      <w:r w:rsidRPr="00A4642A">
        <w:rPr>
          <w:rStyle w:val="Hypertextovprepojenie"/>
          <w:color w:val="auto"/>
          <w:u w:val="none"/>
        </w:rPr>
        <w:t>. Pri zvýšenom výskyte rizikových indikátorov sa zvyšuje potreba spolupráce s PMÚ v dôsledku podozrenia s</w:t>
      </w:r>
      <w:r>
        <w:rPr>
          <w:rStyle w:val="Hypertextovprepojenie"/>
        </w:rPr>
        <w:t> </w:t>
      </w:r>
      <w:r>
        <w:t xml:space="preserve">možného porušenia zákona o ochrane hospodárskej súťaže, alebo pri podozrení z protiprávneho konania  sa zvyšuje potreba spolupráce s orgánmi činnými v trestom konaní. Identifikáciu jednotlivých rizikových indikátorov spolu s krátkym odôvodnením a počet identifikovaných rizikových indikátorov vo väzbe na postup zadávania zákazky, ktorý bol predmetom kontroly ÚVO, oznámi ÚVO písomne RO bezodkladne po vydaní rozhodnutia podľa § 175 ZVO. Kvalifikované vyhodnotenie rizikových indikátorov je v kompetencii RO, ktorý postupuje podľa kapitoly </w:t>
      </w:r>
      <w:hyperlink w:anchor="kapitola_337423" w:history="1">
        <w:r w:rsidRPr="00B9035D">
          <w:rPr>
            <w:rStyle w:val="Hypertextovprepojenie"/>
          </w:rPr>
          <w:t>3.3.7.4.2.3</w:t>
        </w:r>
      </w:hyperlink>
      <w:r>
        <w:t xml:space="preserve"> alebo </w:t>
      </w:r>
      <w:hyperlink w:anchor="kapitola_337431" w:history="1">
        <w:r w:rsidRPr="00A4642A">
          <w:rPr>
            <w:rStyle w:val="Hypertextovprepojenie"/>
          </w:rPr>
          <w:t>3.3.7.4.3.1</w:t>
        </w:r>
      </w:hyperlink>
      <w:r>
        <w:t xml:space="preserve">, pričom je oprávnený požiadať PMÚ alebo orgány činné v trestnom konaní o spoluprácu, tým nie sú dotknuté oprávnenia ÚVO postupovať podľa príslušných ustanovení zákona č. </w:t>
      </w:r>
      <w:r w:rsidRPr="00D259CF">
        <w:t>136/2001 Z.</w:t>
      </w:r>
      <w:r>
        <w:t xml:space="preserve"> </w:t>
      </w:r>
      <w:r w:rsidRPr="00D259CF">
        <w:t>z.</w:t>
      </w:r>
      <w:r>
        <w:t xml:space="preserve"> o ochrane hospodárskej súťaže</w:t>
      </w:r>
      <w:r w:rsidRPr="00D259CF">
        <w:t xml:space="preserve"> v znení neskorších predpisov</w:t>
      </w:r>
      <w:r>
        <w:t xml:space="preserve"> alebo príslušných ustanovení Trestného poriadku.</w:t>
      </w:r>
      <w:r w:rsidR="00617B94">
        <w:t xml:space="preserve"> ÚVO informuje RO </w:t>
      </w:r>
      <w:r w:rsidR="000820AC">
        <w:t>v prípade, že podá podnet</w:t>
      </w:r>
      <w:r w:rsidR="00617B94">
        <w:t xml:space="preserve"> na PMÚ alebo orgány činné v trestnom konaní</w:t>
      </w:r>
      <w:r w:rsidR="00617B94" w:rsidRPr="00617B94">
        <w:t>.</w:t>
      </w:r>
      <w:r w:rsidR="00617B94">
        <w:t xml:space="preserve"> </w:t>
      </w:r>
      <w:r>
        <w:t>Prítomnosť rizikových indikátorov zároveň skúma aj RO v rámci výkonu finančnej kontroly VO a obstarávania.</w:t>
      </w:r>
    </w:p>
    <w:p w14:paraId="1B57A406" w14:textId="1D42C3CC" w:rsidR="00B650E5" w:rsidRDefault="00B650E5">
      <w:pPr>
        <w:numPr>
          <w:ilvl w:val="0"/>
          <w:numId w:val="239"/>
        </w:numPr>
        <w:spacing w:before="120" w:after="120"/>
        <w:ind w:left="426" w:hanging="426"/>
        <w:jc w:val="both"/>
      </w:pPr>
      <w:bookmarkStart w:id="351" w:name="kapitola_33722_ods24"/>
      <w:r>
        <w:t>Ak RO ani ÚVO nezistí porušenie pravidiel a </w:t>
      </w:r>
      <w:r w:rsidR="00F8333A">
        <w:t>postupov</w:t>
      </w:r>
      <w:r>
        <w:t xml:space="preserve"> VO, ktoré mali alebo mohli mať vplyv na výsledok VO, resp. RO pri vecnej kontrole VO nezistí nesúlad</w:t>
      </w:r>
      <w:r w:rsidRPr="001517B0">
        <w:t xml:space="preserve"> predmetu obstarávania, návrhu zmluvných podmienok a iných údajov so schválenou ŽoNFP a účinnou zmluvou o NFP</w:t>
      </w:r>
      <w:r>
        <w:t xml:space="preserve">, v návrhu správy z kontroly/správe z kontroly RO vyjadrí súhlas s podpísaním zmluvy verejného obstarávateľa/obstarávateľa/osoby podľa § 8 ZVO (ďalej aj ,,verejný obstarávateľ“)  s úspešným uchádzačom. </w:t>
      </w:r>
      <w:bookmarkEnd w:id="351"/>
    </w:p>
    <w:p w14:paraId="0C3C45C9" w14:textId="2A7ACA20" w:rsidR="00B650E5" w:rsidRPr="00530C13" w:rsidRDefault="00B650E5">
      <w:pPr>
        <w:numPr>
          <w:ilvl w:val="0"/>
          <w:numId w:val="239"/>
        </w:numPr>
        <w:spacing w:before="120" w:after="120"/>
        <w:ind w:left="426" w:hanging="426"/>
        <w:jc w:val="both"/>
      </w:pPr>
      <w:r>
        <w:t xml:space="preserve">Súhlas s podpísaním zmluvy s úspešným uchádzačom predstavuje predpoklad k vydaniu záveru v rámci následnej </w:t>
      </w:r>
      <w:r w:rsidR="00FB1D18">
        <w:t>ex post</w:t>
      </w:r>
      <w:r>
        <w:t xml:space="preserve"> kontroly. Súhlas s podpísaním zmluvy s úspešným uchádzačom je možné udeliť aj v prípade zistení porušení pravidiel a postupov verejného obstaráva</w:t>
      </w:r>
      <w:r w:rsidR="00F80690">
        <w:t xml:space="preserve">nia, ktoré nie </w:t>
      </w:r>
      <w:r w:rsidR="00341477">
        <w:t xml:space="preserve">je </w:t>
      </w:r>
      <w:r w:rsidR="00F80690">
        <w:t>možné odstrániť</w:t>
      </w:r>
      <w:r w:rsidR="007416E4">
        <w:t xml:space="preserve"> alebo v prípadoch, ak prijímateľ neodstránil protiprávny stav</w:t>
      </w:r>
      <w:r w:rsidR="00F80690">
        <w:t xml:space="preserve">, </w:t>
      </w:r>
      <w:r>
        <w:t xml:space="preserve">ak RO určil zodpovedajúcu výšku </w:t>
      </w:r>
      <w:r w:rsidR="00FB1D18">
        <w:t>ex ante</w:t>
      </w:r>
      <w:r>
        <w:t xml:space="preserve"> finančnej opravy</w:t>
      </w:r>
      <w:r w:rsidR="000820AC">
        <w:t xml:space="preserve"> za dodržania podmienok podľa ods. 18, 19 a 20</w:t>
      </w:r>
      <w:r w:rsidR="007416E4">
        <w:t xml:space="preserve">, </w:t>
      </w:r>
      <w:r>
        <w:t>V prípade, že RO v správe z kontroly uvedie skutočnosti, napr. na základe zistení vecnej kontroly VO, ovplyvňujúce posudzovanie oprávnenosti možných výdavkov predložených ďalej prijímateľom v</w:t>
      </w:r>
      <w:r w:rsidR="00341477">
        <w:t> </w:t>
      </w:r>
      <w:r>
        <w:t>rámci ŽoP (nie skutočnosti, ktoré majú vplyv na postupy vo verejnom obstarávaní</w:t>
      </w:r>
      <w:r w:rsidRPr="000E286B">
        <w:t>)</w:t>
      </w:r>
      <w:r>
        <w:t xml:space="preserve">, v záveroch </w:t>
      </w:r>
      <w:r w:rsidRPr="00530C13">
        <w:t xml:space="preserve">kontroly </w:t>
      </w:r>
      <w:r>
        <w:t xml:space="preserve">môže </w:t>
      </w:r>
      <w:r w:rsidRPr="00530C13">
        <w:t>vyd</w:t>
      </w:r>
      <w:r>
        <w:t>ať</w:t>
      </w:r>
      <w:r w:rsidRPr="00530C13">
        <w:t xml:space="preserve"> súhlas s podpísaním zmluvy s úspešným uchádzačom, pričom v zisteniach uvedených </w:t>
      </w:r>
      <w:r w:rsidRPr="00305CCD">
        <w:t>v</w:t>
      </w:r>
      <w:r>
        <w:t> návrhu správy z kontroly</w:t>
      </w:r>
      <w:r w:rsidRPr="00530C13">
        <w:t xml:space="preserve"> uvedie všetky skutočnosti týkajúce sa takýchto zistení. </w:t>
      </w:r>
    </w:p>
    <w:p w14:paraId="7F4DEE0E" w14:textId="77777777" w:rsidR="00B650E5" w:rsidRDefault="00B650E5">
      <w:pPr>
        <w:numPr>
          <w:ilvl w:val="0"/>
          <w:numId w:val="239"/>
        </w:numPr>
        <w:spacing w:before="120" w:after="120"/>
        <w:ind w:left="426" w:hanging="426"/>
        <w:jc w:val="both"/>
      </w:pPr>
      <w:r>
        <w:t>N</w:t>
      </w:r>
      <w:r w:rsidRPr="00530C13">
        <w:t xml:space="preserve">esúhlas </w:t>
      </w:r>
      <w:r>
        <w:t xml:space="preserve">s podpísaním zmluvy s úspešným uchádzačom </w:t>
      </w:r>
      <w:r w:rsidRPr="00530C13">
        <w:t xml:space="preserve">predstavuje deklaráciu RO týkajúcu sa nepripustenia  súvisiacich budúcich výdavkov do financovania v plnom rozsahu, </w:t>
      </w:r>
      <w:r w:rsidR="00C93F30">
        <w:t xml:space="preserve">t. j. </w:t>
      </w:r>
      <w:r w:rsidRPr="00530C13">
        <w:t xml:space="preserve"> pokiaľ by bola zmluva s úspešným uchádzačom aj napriek nesúhlasu RO podpísaná, RO v rámci </w:t>
      </w:r>
      <w:r>
        <w:t xml:space="preserve">následnej </w:t>
      </w:r>
      <w:r w:rsidR="00FB1D18">
        <w:t>ex post</w:t>
      </w:r>
      <w:r w:rsidRPr="00530C13">
        <w:t xml:space="preserve"> kontroly nepripustí výdavky vyplývajúce z predmetnej zmluvy do financovania v plnom rozsahu.</w:t>
      </w:r>
      <w:r>
        <w:t xml:space="preserve"> Pri nesúhlase RO s podpísaním zmluvy s úspešným uchádzačom, RO vyzve prijímateľa, aby zrušil použitý postup zadávania zákazky a odporučí vyhlásiť nové verejné obstarávanie.</w:t>
      </w:r>
      <w:r w:rsidR="00E16ACF">
        <w:t xml:space="preserve"> RO rozhodne o súhlase alebo nesúhlase s podpísaním zmluvy s úspešným uchádzačom s ohľadom na </w:t>
      </w:r>
      <w:r w:rsidR="00E16ACF">
        <w:lastRenderedPageBreak/>
        <w:t>závažnosť zistení, pričom niektoré nedostatky sú v zmysle metodického pokynu</w:t>
      </w:r>
      <w:r w:rsidR="000820AC">
        <w:rPr>
          <w:rStyle w:val="Odkaznapoznmkupodiarou"/>
        </w:rPr>
        <w:footnoteReference w:id="97"/>
      </w:r>
      <w:r w:rsidR="00E16ACF">
        <w:t xml:space="preserve"> spojené s finančnou opravou 100 %, resp. nepripustením výdavkov do financovania</w:t>
      </w:r>
      <w:r w:rsidR="005F2845">
        <w:t>.</w:t>
      </w:r>
    </w:p>
    <w:p w14:paraId="6BB29E92" w14:textId="68283C1F" w:rsidR="005E61C1" w:rsidRPr="00340593" w:rsidRDefault="005B55E4" w:rsidP="005B55E4">
      <w:pPr>
        <w:numPr>
          <w:ilvl w:val="0"/>
          <w:numId w:val="239"/>
        </w:numPr>
        <w:spacing w:before="120" w:after="120"/>
        <w:ind w:left="426" w:hanging="426"/>
        <w:jc w:val="both"/>
      </w:pPr>
      <w:r>
        <w:t>Je na rozhodnutí RO, či</w:t>
      </w:r>
      <w:r w:rsidR="000820AC">
        <w:t xml:space="preserve"> v prípadoch uvedených v ods. 18 a 19</w:t>
      </w:r>
      <w:r>
        <w:t xml:space="preserve"> </w:t>
      </w:r>
      <w:r w:rsidRPr="005B55E4">
        <w:t xml:space="preserve">uplatní </w:t>
      </w:r>
      <w:r w:rsidR="00FB1D18">
        <w:t>ex ante</w:t>
      </w:r>
      <w:r>
        <w:t xml:space="preserve"> </w:t>
      </w:r>
      <w:r w:rsidRPr="005B55E4">
        <w:t xml:space="preserve">finančnú opravu alebo nepripustí výdavky do financovania, pričom </w:t>
      </w:r>
      <w:r>
        <w:t>zohľadní osobitné okolnosti každého prípadu.</w:t>
      </w:r>
    </w:p>
    <w:p w14:paraId="3E7A413F" w14:textId="77777777" w:rsidR="00B650E5" w:rsidRDefault="00B650E5">
      <w:pPr>
        <w:pStyle w:val="SRK5"/>
      </w:pPr>
      <w:bookmarkStart w:id="352" w:name="_Toc390248457"/>
      <w:bookmarkStart w:id="353" w:name="_Toc495649391"/>
      <w:bookmarkStart w:id="354" w:name="kapitola_33724"/>
      <w:r>
        <w:t>3.3.7.2.3.</w:t>
      </w:r>
      <w:bookmarkEnd w:id="352"/>
      <w:r>
        <w:t xml:space="preserve">  </w:t>
      </w:r>
      <w:bookmarkStart w:id="355" w:name="_Toc386529566"/>
      <w:bookmarkStart w:id="356" w:name="_Toc390248458"/>
      <w:r>
        <w:t xml:space="preserve">Štandardná </w:t>
      </w:r>
      <w:r w:rsidR="00FB1D18">
        <w:t>ex post</w:t>
      </w:r>
      <w:r>
        <w:t xml:space="preserve"> kontrola</w:t>
      </w:r>
      <w:bookmarkEnd w:id="350"/>
      <w:bookmarkEnd w:id="353"/>
      <w:bookmarkEnd w:id="355"/>
      <w:bookmarkEnd w:id="356"/>
      <w:r>
        <w:t xml:space="preserve"> </w:t>
      </w:r>
    </w:p>
    <w:bookmarkEnd w:id="354"/>
    <w:p w14:paraId="7325F19D" w14:textId="29C4389B" w:rsidR="00B650E5" w:rsidRDefault="00B650E5">
      <w:pPr>
        <w:numPr>
          <w:ilvl w:val="0"/>
          <w:numId w:val="240"/>
        </w:numPr>
        <w:spacing w:before="120" w:after="120"/>
        <w:ind w:left="426" w:hanging="426"/>
        <w:jc w:val="both"/>
      </w:pPr>
      <w:r>
        <w:t xml:space="preserve">RO kontroluje postupy VO na základe dokumentácie predloženej prijímateľom vo fáze po podpise zmluvy s úspešným uchádzačom, pričom táto zmluva je už platná a účinná, okrem prípadov kedy je účinnosť zmluvy viazaná na odkladaciu podmienku (napr. podpis zmluvy o NFP). V týchto osobitných prípadoch RO kontroluje verejné obstarávanie vo fáze po podpise zmluvy s úspešným uchádzačom, ktorá je platná. V prípade zadávania zákazky s využitím elektronického trhoviska sa dokumentácia predkladá vo fáze po vygenerovaní výslednej zmluvy príslušným elektronickým informačným systémom, po jej zverejnení v zmysle zákona o  slobode informácií (pokiaľ sa jedná o povinnú osobu podľa zákona o  slobode informácií), pričom zmluva je už platná a pred nadobudnutím účinnosti zmluvy s dodávateľom (účinnosť je viazaná na odkladaciu podmienku schválenia zákazky zo strany RO), čo sa považuje za stupeň štandardnej </w:t>
      </w:r>
      <w:r w:rsidR="00FB1D18">
        <w:t>ex post</w:t>
      </w:r>
      <w:r>
        <w:t xml:space="preserve"> kontroly. RO v prípade elektronického trhoviska postupuje podľa kapitoly </w:t>
      </w:r>
      <w:hyperlink w:anchor="kapitola_33729" w:history="1">
        <w:r w:rsidRPr="00852284">
          <w:rPr>
            <w:rStyle w:val="Hypertextovprepojenie"/>
          </w:rPr>
          <w:t>3.3.7.2.9.</w:t>
        </w:r>
      </w:hyperlink>
      <w:r>
        <w:t xml:space="preserve"> Prijímateľ predkladá dokumentáciu z VO v plnom rozsahu. Tento druh kontroly sa nevzťahuje na VO, ktoré bolo predmetom druhej </w:t>
      </w:r>
      <w:r w:rsidR="00FB1D18">
        <w:t>ex ante</w:t>
      </w:r>
      <w:r>
        <w:t xml:space="preserve"> kontroly (na tento prípad sa vzťahuje postup uvedený v časti „Následná </w:t>
      </w:r>
      <w:r w:rsidR="00FB1D18">
        <w:t>ex post</w:t>
      </w:r>
      <w:r>
        <w:t xml:space="preserve"> kontrola“). </w:t>
      </w:r>
    </w:p>
    <w:p w14:paraId="11B30B2D" w14:textId="77777777" w:rsidR="00B650E5" w:rsidRDefault="00B650E5" w:rsidP="000E286B">
      <w:pPr>
        <w:numPr>
          <w:ilvl w:val="0"/>
          <w:numId w:val="240"/>
        </w:numPr>
        <w:spacing w:before="120" w:after="120"/>
        <w:ind w:left="426" w:hanging="426"/>
        <w:jc w:val="both"/>
      </w:pPr>
      <w:r>
        <w:t xml:space="preserve">Pokiaľ bola v rámci daného VO vykonaná kontrola VO podľa § 169 ods. 3 ZVO, prijímateľ informuje RO aj o tejto skutočnosti a súčasne s dokumentáciou predloží aj kópiu právoplatného rozhodnutia ÚVO. Rovnakým spôsobom je prijímateľ povinný informovať RO aj o všetkých výsledkoch konania ÚVO vydaných pri výkone dohľadu podľa § 167 ods. 2 ZVO. </w:t>
      </w:r>
      <w:r w:rsidRPr="00D22F02">
        <w:t xml:space="preserve">Po doručení </w:t>
      </w:r>
      <w:r>
        <w:t xml:space="preserve">právoplatného </w:t>
      </w:r>
      <w:r w:rsidRPr="00D22F02">
        <w:t>rozhodnutia ÚVO spracuje  RO závery svojej kontroly</w:t>
      </w:r>
      <w:r>
        <w:t xml:space="preserve"> a závery kontroly ÚVO</w:t>
      </w:r>
      <w:r w:rsidRPr="00D22F02">
        <w:t xml:space="preserve">, čím nie je dotknutá povinnosť vykonania </w:t>
      </w:r>
      <w:r>
        <w:t xml:space="preserve">finančnej </w:t>
      </w:r>
      <w:r w:rsidRPr="00D22F02">
        <w:t xml:space="preserve">kontroly VO, ani zodpovednosť RO za výkon tejto kontroly v zmysle  článku 125 ods. 4 všeobecného nariadenia. </w:t>
      </w:r>
    </w:p>
    <w:p w14:paraId="1CC069A2" w14:textId="77777777" w:rsidR="00B650E5" w:rsidRDefault="00B650E5">
      <w:pPr>
        <w:pStyle w:val="Odsekzoznamu"/>
        <w:numPr>
          <w:ilvl w:val="0"/>
          <w:numId w:val="240"/>
        </w:numPr>
        <w:ind w:left="426" w:hanging="426"/>
        <w:jc w:val="both"/>
      </w:pPr>
      <w:bookmarkStart w:id="357"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357"/>
    <w:p w14:paraId="6E3E3409" w14:textId="77777777" w:rsidR="00B650E5" w:rsidRDefault="00B650E5">
      <w:pPr>
        <w:numPr>
          <w:ilvl w:val="0"/>
          <w:numId w:val="240"/>
        </w:numPr>
        <w:spacing w:before="120" w:after="120"/>
        <w:ind w:left="426" w:hanging="426"/>
        <w:jc w:val="both"/>
      </w:pPr>
      <w:r>
        <w:t>Postupy, práva a povinnosti RO uvedené v tejto časti sa vzťahujú aj na kontrolu dodatkov k zmluvám s úspešným uchádzačom a na dodatky k rámcovým dohodám, pokiaľ nie je uvedené inak.</w:t>
      </w:r>
    </w:p>
    <w:p w14:paraId="635F3441" w14:textId="77777777" w:rsidR="00B650E5" w:rsidRDefault="00B650E5">
      <w:pPr>
        <w:numPr>
          <w:ilvl w:val="0"/>
          <w:numId w:val="240"/>
        </w:numPr>
        <w:spacing w:before="120" w:after="120"/>
        <w:ind w:left="426" w:hanging="426"/>
        <w:jc w:val="both"/>
      </w:pPr>
      <w:r>
        <w:t xml:space="preserve">Pri výkone štandardnej </w:t>
      </w:r>
      <w:r w:rsidR="00FB1D18">
        <w:t>ex post</w:t>
      </w:r>
      <w:r>
        <w:t xml:space="preserve"> kontroly je RO povinný postupovať v súlade s </w:t>
      </w:r>
      <w:hyperlink w:anchor="kapitola_3374" w:tooltip="kapitolou 3.3.7.4" w:history="1">
        <w:r>
          <w:rPr>
            <w:rStyle w:val="Hypertextovprepojenie"/>
          </w:rPr>
          <w:t>kapitolou 3.3.7.4</w:t>
        </w:r>
      </w:hyperlink>
      <w:r>
        <w:t xml:space="preserve">.  </w:t>
      </w:r>
    </w:p>
    <w:p w14:paraId="56648C89" w14:textId="5377A8BA" w:rsidR="00B650E5" w:rsidRDefault="00B650E5" w:rsidP="008B7562">
      <w:pPr>
        <w:numPr>
          <w:ilvl w:val="0"/>
          <w:numId w:val="240"/>
        </w:numPr>
        <w:spacing w:before="120" w:after="120"/>
        <w:ind w:left="426" w:hanging="426"/>
        <w:jc w:val="both"/>
      </w:pPr>
      <w:r>
        <w:t xml:space="preserve">Lehota na výkon  štandardnej </w:t>
      </w:r>
      <w:r w:rsidR="00FB1D18">
        <w:t>ex post</w:t>
      </w:r>
      <w:r>
        <w:t xml:space="preserve"> kontroly je 20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w:t>
      </w:r>
      <w:r w:rsidR="0099118B">
        <w:t>sa prerušuje</w:t>
      </w:r>
      <w:r>
        <w:t xml:space="preserve"> lehota na výkon kontroly. Dňom nasledujúcim po dni doručenia vysvetlenia alebo doplnenia dokumentácie na RO </w:t>
      </w:r>
      <w:r w:rsidR="0099118B">
        <w:t xml:space="preserve">pokračuje plynutie </w:t>
      </w:r>
      <w:r>
        <w:t>lehot</w:t>
      </w:r>
      <w:r w:rsidR="0099118B">
        <w:t>y</w:t>
      </w:r>
      <w:r>
        <w:t xml:space="preserve"> na výkon finančnej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xml:space="preserve">. Zároveň, ak aj napriek čestnému vyhláseniu prijímateľa (viď. </w:t>
      </w:r>
      <w:hyperlink w:anchor="kapitola_33724_ods_3" w:tooltip="ods. 3" w:history="1">
        <w:r>
          <w:rPr>
            <w:rStyle w:val="Hypertextovprepojenie"/>
          </w:rPr>
          <w:t>ods. 3</w:t>
        </w:r>
      </w:hyperlink>
      <w:r>
        <w:t xml:space="preserve">) RO identifikuje, že dokumentácia nie je kompletná a pre riadne ukončenie kontroly je nevyhnutné vyzvať prijímateľa na doplnenie týchto chýbajúcich dokladov, uvedenú skutočnosť bude môcť RO vyhodnotiť ako podstatné porušenie zmluvy o NFP, ak prijímateľ nedoplní chýbajúce doklady v lehote určenej RO. </w:t>
      </w:r>
      <w:r w:rsidRPr="008B7562">
        <w:t xml:space="preserve">Súčasťou </w:t>
      </w:r>
      <w:r w:rsidRPr="008B7562">
        <w:lastRenderedPageBreak/>
        <w:t>kontroly je aj vecná kontrola</w:t>
      </w:r>
      <w:r>
        <w:t xml:space="preserve"> súladu predmetu obstarávania </w:t>
      </w:r>
      <w:r w:rsidRPr="008B7562">
        <w:t>a iných údajov so schválenou ŽoNFP a účinnou zmluvou o NFP. Závery z výkonu vecnej kontroly sú súčasťou návrhu správy/správy z kontroly.</w:t>
      </w:r>
    </w:p>
    <w:p w14:paraId="6A704553" w14:textId="77777777" w:rsidR="00B650E5" w:rsidRDefault="00B650E5" w:rsidP="000E286B">
      <w:pPr>
        <w:numPr>
          <w:ilvl w:val="0"/>
          <w:numId w:val="240"/>
        </w:numPr>
        <w:spacing w:before="120" w:after="120"/>
        <w:ind w:left="426" w:hanging="426"/>
        <w:jc w:val="both"/>
      </w:pPr>
      <w:r>
        <w:t xml:space="preserve">Pri predĺžení lehoty alebo prerušení výkonu kontroly postupuje RO podľa </w:t>
      </w:r>
      <w:hyperlink w:anchor="kapitola_3372_ods_7" w:tooltip="kapitoly 3.3.7.2. ods. 7" w:history="1">
        <w:r w:rsidRPr="000E286B">
          <w:t>kapitoly 3.3.7.2.     ods. 7</w:t>
        </w:r>
      </w:hyperlink>
      <w:r>
        <w:t xml:space="preserve">. </w:t>
      </w:r>
    </w:p>
    <w:p w14:paraId="70206E05" w14:textId="77777777" w:rsidR="00B650E5" w:rsidRDefault="00B650E5">
      <w:pPr>
        <w:numPr>
          <w:ilvl w:val="0"/>
          <w:numId w:val="240"/>
        </w:numPr>
        <w:spacing w:before="120" w:after="120"/>
        <w:ind w:left="426" w:hanging="426"/>
        <w:jc w:val="both"/>
      </w:pPr>
      <w:r>
        <w:t>Ak RO nezašle návrh správy z kontroly (v prípade zistení nedostatkov) alebo správu z kontroly     (v prípade, ak kontrolou neboli zistené nedostatky) vo vyššie uvedených lehotách, pričom RO kontrolu nepredĺžil, prijímateľ je oprávnený, ak je to relevantné, pozastaviť realizáciu hlavných aktivít projektu do času zaslania správy z  kontroly. Týmto ustanovením nie je dotknutá povinnosť RO vykonať kontrolu VO.</w:t>
      </w:r>
    </w:p>
    <w:p w14:paraId="2729B319" w14:textId="3090C54F" w:rsidR="00B650E5" w:rsidRDefault="00B650E5">
      <w:pPr>
        <w:numPr>
          <w:ilvl w:val="0"/>
          <w:numId w:val="240"/>
        </w:numPr>
        <w:spacing w:before="120" w:after="120"/>
        <w:ind w:left="426" w:hanging="426"/>
        <w:jc w:val="both"/>
      </w:pPr>
      <w:r>
        <w:t xml:space="preserve">Ak pri štandardnej </w:t>
      </w:r>
      <w:r w:rsidR="00FB1D18">
        <w:t>ex post</w:t>
      </w:r>
      <w:r>
        <w:t xml:space="preserve"> kontrole RO nezistí porušenie </w:t>
      </w:r>
      <w:r w:rsidR="00F8333A">
        <w:t>pravidiel</w:t>
      </w:r>
      <w:r>
        <w:t xml:space="preserve">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05C89489" w14:textId="16EB6FA2" w:rsidR="00B650E5" w:rsidRDefault="00B650E5">
      <w:pPr>
        <w:numPr>
          <w:ilvl w:val="0"/>
          <w:numId w:val="240"/>
        </w:numPr>
        <w:spacing w:before="120" w:after="120"/>
        <w:ind w:left="426" w:hanging="426"/>
        <w:jc w:val="both"/>
      </w:pPr>
      <w:r>
        <w:t xml:space="preserve">Ak pri štandardnej </w:t>
      </w:r>
      <w:r w:rsidR="00FB1D18">
        <w:t>ex post</w:t>
      </w:r>
      <w:r>
        <w:t xml:space="preserve"> kontrole RO nezistí porušenie </w:t>
      </w:r>
      <w:r w:rsidR="00F8333A">
        <w:t>pravidiel</w:t>
      </w:r>
      <w:r>
        <w:t xml:space="preserve"> a postupov VO, resp. porušenie pravidiel a ustanovení  legislatívy SR a EÚ, avšak bude zistené iné porušenie, ktoré môže mať vplyv na oprávnenosť príslušných výdavkov (napr. na základe zistení vecnej kontroly VO), RO v záveroch kontroly konštatuje uvedenú skutočnosť a určí prípadné opatrenia, ktoré  je prijímateľ povinný vykonať na odstránenie tohto nedostatku, pričom budúce pripustenie výdavkov súvisiacich s VO do financovania bude závislé od odstránenia alebo ďalšieho vyhodnotenia tohto nedostatku.  </w:t>
      </w:r>
    </w:p>
    <w:p w14:paraId="7AF7060F" w14:textId="61265531" w:rsidR="00B650E5" w:rsidRDefault="00B650E5">
      <w:pPr>
        <w:numPr>
          <w:ilvl w:val="0"/>
          <w:numId w:val="240"/>
        </w:numPr>
        <w:spacing w:before="120" w:after="120"/>
        <w:ind w:left="426" w:hanging="426"/>
        <w:jc w:val="both"/>
      </w:pPr>
      <w:r>
        <w:t xml:space="preserve">Ak pri štandardnej </w:t>
      </w:r>
      <w:r w:rsidR="00FB1D18">
        <w:t>ex post</w:t>
      </w:r>
      <w:r>
        <w:t xml:space="preserve"> kontrole RO zistí porušenie </w:t>
      </w:r>
      <w:r w:rsidR="00F8333A">
        <w:t>pravidiel</w:t>
      </w:r>
      <w:r>
        <w:t xml:space="preserve"> a postupov VO, resp. porušenie pravidiel a ustanovení legislatívy SR a EÚ, pričom rozsah a závažnosť týchto zistení má taký charakter, že mali alebo mohli mať vplyv na výsledok VO, v takom prípade RO: </w:t>
      </w:r>
    </w:p>
    <w:p w14:paraId="71B079CA" w14:textId="77777777" w:rsidR="00B650E5" w:rsidRDefault="00B650E5">
      <w:pPr>
        <w:pStyle w:val="Odsekzoznamu"/>
        <w:numPr>
          <w:ilvl w:val="1"/>
          <w:numId w:val="241"/>
        </w:numPr>
        <w:spacing w:before="120" w:after="120"/>
        <w:ind w:left="851" w:hanging="425"/>
        <w:jc w:val="both"/>
      </w:pPr>
      <w:bookmarkStart w:id="358" w:name="kapitola_33724_ods_12a_b"/>
      <w:r>
        <w:t>v záveroch kontroly nepripustí výdavky súvisiace s VO do financovania v plnom rozsahu, alebo</w:t>
      </w:r>
    </w:p>
    <w:p w14:paraId="1A3D1C77" w14:textId="77777777" w:rsidR="00B650E5" w:rsidRDefault="00B650E5">
      <w:pPr>
        <w:pStyle w:val="Odsekzoznamu"/>
        <w:numPr>
          <w:ilvl w:val="1"/>
          <w:numId w:val="241"/>
        </w:numPr>
        <w:spacing w:before="120" w:after="120"/>
        <w:ind w:left="851" w:hanging="425"/>
        <w:jc w:val="both"/>
      </w:pPr>
      <w:r>
        <w:t>postupuje v zmysle metodického pokynu</w:t>
      </w:r>
      <w:r>
        <w:rPr>
          <w:rStyle w:val="Odkaznapoznmkupodiarou"/>
        </w:rPr>
        <w:footnoteReference w:id="98"/>
      </w:r>
      <w:r>
        <w:t>, ktorý upravuje postup pri určení finančných opráv za VO.</w:t>
      </w:r>
    </w:p>
    <w:bookmarkEnd w:id="358"/>
    <w:p w14:paraId="3579D23B" w14:textId="77777777" w:rsidR="00B650E5" w:rsidRDefault="00B650E5">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14:paraId="1D82E279" w14:textId="462E9218" w:rsidR="00B650E5" w:rsidRDefault="00B650E5">
      <w:pPr>
        <w:numPr>
          <w:ilvl w:val="0"/>
          <w:numId w:val="240"/>
        </w:numPr>
        <w:spacing w:before="120" w:after="120"/>
        <w:ind w:left="426" w:hanging="426"/>
        <w:jc w:val="both"/>
      </w:pPr>
      <w:r>
        <w:t xml:space="preserve">Rozhodnutie RO, či bude postupovať podľa </w:t>
      </w:r>
      <w:hyperlink w:anchor="kapitola_33724_ods_12a_b" w:tooltip="ods. 12 a) alebo b)" w:history="1">
        <w:r>
          <w:rPr>
            <w:rStyle w:val="Hypertextovprepojenie"/>
          </w:rPr>
          <w:t>ods. 1</w:t>
        </w:r>
        <w:r w:rsidR="0099118B">
          <w:rPr>
            <w:rStyle w:val="Hypertextovprepojenie"/>
          </w:rPr>
          <w:t>1</w:t>
        </w:r>
        <w:r>
          <w:rPr>
            <w:rStyle w:val="Hypertextovprepojenie"/>
          </w:rPr>
          <w:t xml:space="preserve"> a) alebo b)</w:t>
        </w:r>
      </w:hyperlink>
      <w:r>
        <w:t xml:space="preserve"> závisí od skutočnosti, či je RO v závislosti od závažnosti zistených nedostatkov oprávnený aplikovať </w:t>
      </w:r>
      <w:r w:rsidR="00FB1D18">
        <w:t>ex ante</w:t>
      </w:r>
      <w:r>
        <w:t xml:space="preserve"> finančnú opravu</w:t>
      </w:r>
      <w:r>
        <w:rPr>
          <w:rStyle w:val="Odkaznapoznmkupodiarou"/>
        </w:rPr>
        <w:footnoteReference w:id="99"/>
      </w:r>
      <w:r>
        <w:t>.</w:t>
      </w:r>
    </w:p>
    <w:p w14:paraId="775D9B06" w14:textId="3FFF90D2" w:rsidR="00B650E5" w:rsidRDefault="00B650E5" w:rsidP="00997CB0">
      <w:pPr>
        <w:numPr>
          <w:ilvl w:val="0"/>
          <w:numId w:val="240"/>
        </w:numPr>
        <w:spacing w:before="120" w:after="120"/>
        <w:ind w:left="426" w:hanging="426"/>
        <w:jc w:val="both"/>
      </w:pPr>
      <w:r>
        <w:t xml:space="preserve">Ak pri štandardnej </w:t>
      </w:r>
      <w:r w:rsidR="00FB1D18">
        <w:t>ex post</w:t>
      </w:r>
      <w:r>
        <w:t xml:space="preserve"> kontrole RO zistí porušenie </w:t>
      </w:r>
      <w:r w:rsidR="00F8333A">
        <w:t>pravidiel</w:t>
      </w:r>
      <w:r>
        <w:t xml:space="preserve"> a postupov VO, resp. porušenie pravidiel a ustanovení legislatívy SR a EÚ, pričom rozsah, závažnosť a moment zistenia týchto nedostatkov sú v zmysle metodického pokynu</w:t>
      </w:r>
      <w:r>
        <w:rPr>
          <w:rStyle w:val="Odkaznapoznmkupodiarou"/>
        </w:rPr>
        <w:footnoteReference w:id="100"/>
      </w:r>
      <w:r>
        <w:t xml:space="preserve">, ktorý upravuje postup pri určení finančných </w:t>
      </w:r>
      <w:r>
        <w:lastRenderedPageBreak/>
        <w:t xml:space="preserve">opráv za VO takého charakteru, že je pri nich nutné aplikovať </w:t>
      </w:r>
      <w:r w:rsidR="00FB1D18">
        <w:t>ex post</w:t>
      </w:r>
      <w:r>
        <w:t xml:space="preserve"> finančnú opravu, RO ďalej postupuje podľa tohto metodického pokynu a súčasne postupuje podľa § 41 alebo § 41a  zákona o príspevku z EŠIF. V osobitých prípadoch, keď objem požadovaných finančných prostriedkov vyplývajúci z </w:t>
      </w:r>
      <w:r w:rsidR="00FB1D18">
        <w:t>ex post</w:t>
      </w:r>
      <w:r>
        <w:t xml:space="preserve"> finančnej opravy presahuje objem vyplatených prostriedkov v rámci predošlých ŽoP, RO určí súčasne aj </w:t>
      </w:r>
      <w:r w:rsidR="00FB1D18">
        <w:t>ex ante</w:t>
      </w:r>
      <w:r>
        <w:t xml:space="preserve"> finančnú opravu, o ktorú budú krátené všetky ďalšie súvisiace ŽoP. Percentuálna výška tejto </w:t>
      </w:r>
      <w:r w:rsidR="00FB1D18">
        <w:t>ex ante</w:t>
      </w:r>
      <w:r>
        <w:t xml:space="preserve"> finančnej opravy musí byť zhodná s určenou </w:t>
      </w:r>
      <w:r w:rsidR="00FB1D18">
        <w:t>ex post</w:t>
      </w:r>
      <w:r>
        <w:t xml:space="preserve"> finančnou opravou. </w:t>
      </w:r>
      <w:r w:rsidRPr="00C75ABE">
        <w:t>Podrobnosti o uplatnení určenej % sadzby finančnej opravy na jednotlivé výdavky NFP na predmet zákazky je upravený v usmernení MF SR č. 2/2015 – U k nezrovnalostiam a finančným opravám v rámci finančného riadenia štrukturálnych fondov, Kohézneho fondu a Európskeho námorného a rybárskeho fondu na programové obdobie 2014 - 2020</w:t>
      </w:r>
      <w:r>
        <w:t>.</w:t>
      </w:r>
    </w:p>
    <w:p w14:paraId="5D1120DA" w14:textId="77777777" w:rsidR="00B650E5" w:rsidRDefault="00B650E5">
      <w:pPr>
        <w:pStyle w:val="SRK5"/>
      </w:pPr>
      <w:bookmarkStart w:id="359" w:name="_Toc390248459"/>
      <w:bookmarkStart w:id="360" w:name="_Toc453234034"/>
      <w:bookmarkStart w:id="361" w:name="_Toc495649392"/>
      <w:bookmarkStart w:id="362" w:name="kapitola_33725"/>
      <w:bookmarkStart w:id="363" w:name="_Toc386529567"/>
      <w:r>
        <w:t xml:space="preserve">3.3.7.2.4.   Následná </w:t>
      </w:r>
      <w:r w:rsidR="00FB1D18">
        <w:t>ex post</w:t>
      </w:r>
      <w:r>
        <w:t xml:space="preserve"> kontrola</w:t>
      </w:r>
      <w:bookmarkEnd w:id="359"/>
      <w:bookmarkEnd w:id="360"/>
      <w:bookmarkEnd w:id="361"/>
    </w:p>
    <w:bookmarkEnd w:id="362"/>
    <w:p w14:paraId="752625C8" w14:textId="23228733" w:rsidR="00B650E5" w:rsidRDefault="00B650E5">
      <w:pPr>
        <w:numPr>
          <w:ilvl w:val="0"/>
          <w:numId w:val="242"/>
        </w:numPr>
        <w:spacing w:before="120" w:after="120"/>
        <w:ind w:left="426" w:hanging="426"/>
        <w:jc w:val="both"/>
      </w:pPr>
      <w:r>
        <w:t xml:space="preserve">Následná </w:t>
      </w:r>
      <w:r w:rsidR="00FB1D18">
        <w:t>ex post</w:t>
      </w:r>
      <w:r>
        <w:t xml:space="preserve"> kontrola sa vykonáva pri všetkých VO, v rámci ktorých bola riadne ukončená druhá </w:t>
      </w:r>
      <w:r w:rsidR="00FB1D18">
        <w:t>ex ante</w:t>
      </w:r>
      <w:r>
        <w:t xml:space="preserve"> kontrola. </w:t>
      </w:r>
    </w:p>
    <w:p w14:paraId="53845AA6" w14:textId="77777777" w:rsidR="00B650E5" w:rsidRDefault="00B650E5">
      <w:pPr>
        <w:numPr>
          <w:ilvl w:val="0"/>
          <w:numId w:val="242"/>
        </w:numPr>
        <w:spacing w:before="120" w:after="120"/>
        <w:ind w:left="426" w:hanging="426"/>
        <w:jc w:val="both"/>
      </w:pPr>
      <w:r>
        <w:t xml:space="preserve">Pre potreby finančnej kontroly VO prijímateľ predkladá na RO originál zmluvy s úspešným uchádzačom, resp. jej úradne overenú kópiu (akceptuje sa aj kópia zmluvy overená štatutárnym zástupcom prijímateľa). Túto zmluvu predkladá prijímateľ vrátane všetkých jej príloh. RO je oprávnený v rámci podmienok zmluvy o NFP, resp. záväzných dokumentov, na ktoré zmluva o NFP odkazuje, určiť prijímateľovi výnimku z predkladania týchto príloh, </w:t>
      </w:r>
      <w:r w:rsidR="00C93F30">
        <w:t xml:space="preserve">t. j. </w:t>
      </w:r>
      <w:r>
        <w:t xml:space="preserve"> identifikovať typ príloh (napr. rozsiahla technická dokumentácia), ktoré prijímateľ nemusí na RO predložiť. </w:t>
      </w:r>
    </w:p>
    <w:p w14:paraId="179668DA" w14:textId="7C4621B0" w:rsidR="00B650E5" w:rsidRDefault="00B650E5">
      <w:pPr>
        <w:numPr>
          <w:ilvl w:val="0"/>
          <w:numId w:val="242"/>
        </w:numPr>
        <w:spacing w:before="120" w:after="120"/>
        <w:ind w:left="426" w:hanging="426"/>
        <w:jc w:val="both"/>
      </w:pPr>
      <w:r>
        <w:t xml:space="preserve">Lehota na výkon následnej </w:t>
      </w:r>
      <w:r w:rsidR="00FB1D18">
        <w:t>ex post</w:t>
      </w:r>
      <w:r>
        <w:t xml:space="preserve"> kontroly je 7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w:t>
      </w:r>
      <w:r w:rsidR="004108DB">
        <w:t xml:space="preserve">sa prerušuje </w:t>
      </w:r>
      <w:r>
        <w:t xml:space="preserve">lehota na výkon kontroly. Dňom nasledujúcim po dni doručenia vysvetlenia alebo doplnenia dokumentácie na RO </w:t>
      </w:r>
      <w:r w:rsidR="004108DB">
        <w:t xml:space="preserve">pokračuje plynutie </w:t>
      </w:r>
      <w:r>
        <w:t>lehot</w:t>
      </w:r>
      <w:r w:rsidR="004108DB">
        <w:t>y</w:t>
      </w:r>
      <w:r>
        <w:t xml:space="preserve"> na výkon finančnej kontroly VO. Doplnením dokumentácie nemôže dôjsť </w:t>
      </w:r>
      <w:r w:rsidR="004108DB">
        <w:t xml:space="preserve">                     </w:t>
      </w:r>
      <w:r>
        <w:t xml:space="preserve">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p>
    <w:p w14:paraId="00411ECF" w14:textId="77777777" w:rsidR="00B650E5" w:rsidRDefault="00B650E5">
      <w:pPr>
        <w:numPr>
          <w:ilvl w:val="0"/>
          <w:numId w:val="242"/>
        </w:numPr>
        <w:spacing w:before="120" w:after="120"/>
        <w:ind w:left="426" w:hanging="426"/>
        <w:jc w:val="both"/>
      </w:pPr>
      <w:r>
        <w:t>Predmetom tejto kontroly je najmä:</w:t>
      </w:r>
    </w:p>
    <w:p w14:paraId="5D4793BC" w14:textId="77777777" w:rsidR="00B650E5" w:rsidRDefault="00B650E5">
      <w:pPr>
        <w:numPr>
          <w:ilvl w:val="0"/>
          <w:numId w:val="243"/>
        </w:numPr>
        <w:spacing w:before="120" w:after="120"/>
        <w:ind w:left="851" w:hanging="425"/>
        <w:jc w:val="both"/>
      </w:pPr>
      <w:r>
        <w:t xml:space="preserve">kontrola súladu podpísanej zmluvy s úspešným uchádzačom s jej návrhom kontrolovaným v rámci druhej </w:t>
      </w:r>
      <w:r w:rsidR="00FB1D18">
        <w:t>ex ante</w:t>
      </w:r>
      <w:r>
        <w:t xml:space="preserve"> kontroly,</w:t>
      </w:r>
    </w:p>
    <w:p w14:paraId="1DFB7768" w14:textId="77777777" w:rsidR="00B650E5" w:rsidRDefault="00B650E5">
      <w:pPr>
        <w:numPr>
          <w:ilvl w:val="0"/>
          <w:numId w:val="243"/>
        </w:numPr>
        <w:spacing w:before="120" w:after="120"/>
        <w:ind w:left="851" w:hanging="425"/>
        <w:jc w:val="both"/>
      </w:pPr>
      <w:r>
        <w:t>kontrola oprávnenosti osôb podpísať predmetnú zmluvu,</w:t>
      </w:r>
    </w:p>
    <w:p w14:paraId="5320860E" w14:textId="77777777" w:rsidR="00B650E5" w:rsidRDefault="00B650E5">
      <w:pPr>
        <w:numPr>
          <w:ilvl w:val="0"/>
          <w:numId w:val="243"/>
        </w:numPr>
        <w:spacing w:before="120" w:after="120"/>
        <w:ind w:left="851" w:hanging="425"/>
        <w:jc w:val="both"/>
      </w:pPr>
      <w:r>
        <w:t xml:space="preserve">kontrola zapracovania prípadných návrhov na úpravu formulovaných RO vo fáze druhej </w:t>
      </w:r>
      <w:r w:rsidR="00FB1D18">
        <w:t>ex ante</w:t>
      </w:r>
      <w:r>
        <w:t xml:space="preserve"> kontroly,</w:t>
      </w:r>
    </w:p>
    <w:p w14:paraId="21C3A68C" w14:textId="77777777" w:rsidR="00B650E5" w:rsidRDefault="00B650E5">
      <w:pPr>
        <w:numPr>
          <w:ilvl w:val="0"/>
          <w:numId w:val="243"/>
        </w:numPr>
        <w:spacing w:before="120" w:after="120"/>
        <w:ind w:left="851" w:hanging="425"/>
        <w:jc w:val="both"/>
      </w:pPr>
      <w:r>
        <w:t>kontrola zverejnenia tejto zmluvy v zmysle zákona o  slobode informácií, </w:t>
      </w:r>
    </w:p>
    <w:p w14:paraId="69D90C11" w14:textId="298757AC" w:rsidR="00B650E5" w:rsidRDefault="00B650E5">
      <w:pPr>
        <w:numPr>
          <w:ilvl w:val="0"/>
          <w:numId w:val="243"/>
        </w:numPr>
        <w:spacing w:before="120" w:after="120"/>
        <w:ind w:left="851" w:hanging="425"/>
        <w:jc w:val="both"/>
      </w:pPr>
      <w:r>
        <w:t>kontrola oznámenia o výsledku VO do vestníka VO,</w:t>
      </w:r>
    </w:p>
    <w:p w14:paraId="46B0E5C1" w14:textId="77777777" w:rsidR="00B650E5" w:rsidRDefault="00B650E5">
      <w:pPr>
        <w:numPr>
          <w:ilvl w:val="0"/>
          <w:numId w:val="243"/>
        </w:numPr>
        <w:spacing w:before="120" w:after="120"/>
        <w:ind w:left="851" w:hanging="425"/>
        <w:jc w:val="both"/>
      </w:pPr>
      <w:r>
        <w:t xml:space="preserve">kontrola nových skutočností, ktoré neboli v čase výkonu druhej </w:t>
      </w:r>
      <w:r w:rsidR="00FB1D18">
        <w:t>ex ante</w:t>
      </w:r>
      <w:r>
        <w:t xml:space="preserve"> kontroly známe, alebo z iných dôvodov neboli jej predmetom,</w:t>
      </w:r>
    </w:p>
    <w:p w14:paraId="0B6B0771" w14:textId="77777777" w:rsidR="00B650E5" w:rsidRDefault="00B650E5" w:rsidP="00F72591">
      <w:pPr>
        <w:numPr>
          <w:ilvl w:val="0"/>
          <w:numId w:val="242"/>
        </w:numPr>
        <w:spacing w:before="120" w:after="120"/>
        <w:ind w:left="426" w:hanging="426"/>
        <w:jc w:val="both"/>
      </w:pPr>
      <w:r>
        <w:t xml:space="preserve">Ak RO pri kontrole nezistí nedostatky,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240923DD" w14:textId="20ADCFDD" w:rsidR="00B650E5" w:rsidRDefault="00B650E5" w:rsidP="00DF24CC">
      <w:pPr>
        <w:numPr>
          <w:ilvl w:val="0"/>
          <w:numId w:val="242"/>
        </w:numPr>
        <w:spacing w:before="120" w:after="120"/>
        <w:ind w:left="426" w:hanging="426"/>
        <w:jc w:val="both"/>
      </w:pPr>
      <w:r>
        <w:t>Pokiaľ kontrola identifikuje nedostatky, ktoré je možné odstrániť (napr. nezverejnenie zmluvy,</w:t>
      </w:r>
      <w:r w:rsidRPr="00D97958">
        <w:t xml:space="preserve"> nezverejnenie časti zmluvy alebo prílohy k</w:t>
      </w:r>
      <w:r>
        <w:t> </w:t>
      </w:r>
      <w:r w:rsidRPr="00D97958">
        <w:t>zmluve</w:t>
      </w:r>
      <w:r>
        <w:t xml:space="preserve">, nezaslanie oznámenia o výsledku a pod.), </w:t>
      </w:r>
      <w:r>
        <w:lastRenderedPageBreak/>
        <w:t xml:space="preserve">vyzve RO prijímateľa po zaslaní návrhu správy z kontroly na ich odstránenie. Pokiaľ je možné tieto nedostatky odstrániť len úpravou zmluvy s úspešným uchádzačom (formou dodatku), vyzve prijímateľa na vypracovanie a predloženie návrhu takéhoto dodatku na kontrolu RO. Návrh RO na vypracovanie dodatku nemôže byť v rozpore s obmedzeniami ustanovenými v § 18 ZVO, ktorý upravuje zmenu zmluvy, rámcovej dohody alebo koncesnej zmluvy. Je na konkrétnom posúdení RO, či následnú </w:t>
      </w:r>
      <w:r w:rsidR="00FB1D18">
        <w:t>ex post</w:t>
      </w:r>
      <w:r>
        <w:t xml:space="preserve"> kontrolu ukončí až po schválení platného a účinného dodatku alebo aj pred týmto úkonom</w:t>
      </w:r>
      <w:r w:rsidR="00DF24CC">
        <w:t xml:space="preserve"> </w:t>
      </w:r>
      <w:r w:rsidR="00DF24CC" w:rsidRPr="00DF24CC">
        <w:t>(napr. odkladacia podmienka nadobudnutia účinnosti</w:t>
      </w:r>
      <w:r w:rsidR="00DF24CC">
        <w:t xml:space="preserve"> dodatku). </w:t>
      </w:r>
      <w:r>
        <w:t xml:space="preserve">Ak pri kontrole RO zistí porušenie </w:t>
      </w:r>
      <w:r w:rsidR="00F8333A">
        <w:t>pravidiel</w:t>
      </w:r>
      <w:r>
        <w:t xml:space="preserve"> a postupov VO, resp. porušenie pravidiel a ustanovení  legislatívy SR a EÚ, pričom rozsah a závažnosť týchto zistení má taký charakter, že mali alebo mohli mať vplyv na výsledok VO, v tomto prípade RO: </w:t>
      </w:r>
    </w:p>
    <w:p w14:paraId="0DB19667" w14:textId="77777777" w:rsidR="00B650E5" w:rsidRDefault="00B650E5">
      <w:pPr>
        <w:numPr>
          <w:ilvl w:val="0"/>
          <w:numId w:val="244"/>
        </w:numPr>
        <w:spacing w:before="120" w:after="120"/>
        <w:ind w:left="851" w:hanging="425"/>
        <w:jc w:val="both"/>
      </w:pPr>
      <w:bookmarkStart w:id="364" w:name="kapitola_33725_ods_7a"/>
      <w:r>
        <w:t>v záveroch kontroly nepripustí výdavky súvisiace s VO do financovania v plnom rozsahu, alebo</w:t>
      </w:r>
    </w:p>
    <w:p w14:paraId="70E39AF9" w14:textId="77777777" w:rsidR="00B650E5" w:rsidRDefault="00B650E5">
      <w:pPr>
        <w:numPr>
          <w:ilvl w:val="0"/>
          <w:numId w:val="244"/>
        </w:numPr>
        <w:spacing w:before="120" w:after="120"/>
        <w:ind w:left="851" w:hanging="425"/>
        <w:jc w:val="both"/>
      </w:pPr>
      <w:bookmarkStart w:id="365" w:name="kapitola_33725_ods_7b"/>
      <w:bookmarkEnd w:id="364"/>
      <w:r>
        <w:t>postupuje podľa metodického pokynu</w:t>
      </w:r>
      <w:r>
        <w:rPr>
          <w:rStyle w:val="Odkaznapoznmkupodiarou"/>
        </w:rPr>
        <w:footnoteReference w:id="101"/>
      </w:r>
      <w:r>
        <w:t>, ktorý upravuje postup pri určení finančných opráv za VO.</w:t>
      </w:r>
    </w:p>
    <w:bookmarkEnd w:id="365"/>
    <w:p w14:paraId="66BD2D14" w14:textId="6C7A1E47" w:rsidR="00B650E5" w:rsidRDefault="00B650E5">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Rozhodnutie RO, či bude postupovať podľa </w:t>
      </w:r>
      <w:hyperlink w:anchor="kapitola_33725_ods_7a" w:tooltip="ods. 7 písm. a)" w:history="1">
        <w:r>
          <w:rPr>
            <w:rStyle w:val="Hypertextovprepojenie"/>
          </w:rPr>
          <w:t>ods. 6 písm. a)</w:t>
        </w:r>
      </w:hyperlink>
      <w:r>
        <w:t xml:space="preserve"> alebo </w:t>
      </w:r>
      <w:hyperlink w:anchor="kapitola_33725_ods_7b" w:tooltip="ods. 7 písm. b)" w:history="1">
        <w:r>
          <w:rPr>
            <w:rStyle w:val="Hypertextovprepojenie"/>
          </w:rPr>
          <w:t>ods. 6 písm. b)</w:t>
        </w:r>
      </w:hyperlink>
      <w:r>
        <w:t xml:space="preserve"> závisí od skutočnosti, či je RO v závislosti od závažnosti zistených nedostatkov oprávnený aplikovať </w:t>
      </w:r>
      <w:r w:rsidR="00FB1D18">
        <w:t>ex ante</w:t>
      </w:r>
      <w:r>
        <w:t xml:space="preserve"> finančnú opravu.</w:t>
      </w:r>
    </w:p>
    <w:p w14:paraId="02774464" w14:textId="2B1CAC25" w:rsidR="00B650E5" w:rsidRDefault="00B650E5">
      <w:pPr>
        <w:numPr>
          <w:ilvl w:val="0"/>
          <w:numId w:val="242"/>
        </w:numPr>
        <w:spacing w:before="120" w:after="120"/>
        <w:ind w:left="426" w:hanging="426"/>
        <w:jc w:val="both"/>
      </w:pPr>
      <w:r>
        <w:t xml:space="preserve">Pokiaľ RO vyjadril nesúhlas s podpísaním zmluvy s úspešným uchádzačom, nie je možné                    určiť </w:t>
      </w:r>
      <w:r w:rsidR="00FB1D18">
        <w:t>ex ante</w:t>
      </w:r>
      <w:r>
        <w:t xml:space="preserve"> finančnú opravu. RO v záveroch kontroly nepripustí výdavky súvisiace s VO                      do financovania v plnom rozsahu, bez ohľadu na ustanovenie predošlého odseku. </w:t>
      </w:r>
    </w:p>
    <w:p w14:paraId="348767ED" w14:textId="77777777" w:rsidR="00B650E5" w:rsidRDefault="00B650E5">
      <w:pPr>
        <w:pStyle w:val="SRK5"/>
      </w:pPr>
      <w:bookmarkStart w:id="366" w:name="_Toc390248460"/>
      <w:bookmarkStart w:id="367" w:name="_Toc453234035"/>
      <w:bookmarkStart w:id="368" w:name="_Toc495649393"/>
      <w:bookmarkStart w:id="369" w:name="kapitola_33726"/>
      <w:r>
        <w:t>3.3.7.2.5. Kontrola zákaziek s nízkymi hodnotami podľa § 117 ZVO – všeobecné ustanovenia</w:t>
      </w:r>
      <w:bookmarkEnd w:id="363"/>
      <w:bookmarkEnd w:id="366"/>
      <w:bookmarkEnd w:id="367"/>
      <w:bookmarkEnd w:id="368"/>
    </w:p>
    <w:bookmarkEnd w:id="369"/>
    <w:p w14:paraId="49AAC066" w14:textId="77777777" w:rsidR="00B650E5" w:rsidRDefault="00B650E5" w:rsidP="001773B0">
      <w:pPr>
        <w:numPr>
          <w:ilvl w:val="0"/>
          <w:numId w:val="245"/>
        </w:numPr>
        <w:spacing w:before="120" w:after="120"/>
        <w:ind w:left="426" w:hanging="426"/>
        <w:jc w:val="both"/>
      </w:pPr>
      <w:r>
        <w:t>RO postupuje pri kontrole VO zákaziek podľa § 117 ZVO v zmysle pravidiel uvedených v </w:t>
      </w:r>
      <w:r w:rsidRPr="000E286B">
        <w:t xml:space="preserve">kapitole </w:t>
      </w:r>
      <w:hyperlink w:anchor="kapitola_33723" w:history="1">
        <w:r w:rsidRPr="00764D0E">
          <w:rPr>
            <w:rStyle w:val="Hypertextovprepojenie"/>
          </w:rPr>
          <w:t>3.3.7.2.</w:t>
        </w:r>
        <w:r w:rsidRPr="00B9035D">
          <w:rPr>
            <w:rStyle w:val="Hypertextovprepojenie"/>
          </w:rPr>
          <w:t>3</w:t>
        </w:r>
      </w:hyperlink>
      <w:r>
        <w:t xml:space="preserve"> a súčasne dodržuje postupy uvedené ďalej v tejto kapitole. Všeobecným predmetom kontroly je skutočnosť, či prijímateľ správne určil postup obstarávania s ohľadom na finančný limit podľa § 5 ods. 4 ZVO. </w:t>
      </w:r>
    </w:p>
    <w:p w14:paraId="36A3D69B" w14:textId="56DD7389" w:rsidR="00B650E5" w:rsidRDefault="00B650E5" w:rsidP="001773B0">
      <w:pPr>
        <w:numPr>
          <w:ilvl w:val="0"/>
          <w:numId w:val="245"/>
        </w:numPr>
        <w:spacing w:before="120" w:after="120"/>
        <w:ind w:left="426" w:hanging="426"/>
        <w:jc w:val="both"/>
      </w:pPr>
      <w:r>
        <w:t xml:space="preserve">Dokumentáciu na kontrolu VO predkladá prijímateľ po podpise zmluvy s úspešným uchádzačom. Ak plnenie nie je založené na písomnom zmluvnom vzťahu, predkladá prijímateľ objednávku, ktorá v tomto prípade pre potreby finančnej kontroly VO nahrádza písomný zmluvný vzťah. Pokiaľ výsledok VO nie je formálne zachytený ani písomným zmluvným vzťahom, ani objednávkou, ale iným spôsobom (napr. pokladničným blokom, príjmovým dokladom a pod.), ktorý jednoznačne a hodnoverne preukazuje formálne, príp. aj vecné naplnenie výsledku VO, tento doklad pre potreby finančnej kontroly VO nahrádza písomný zmluvný vzťah. </w:t>
      </w:r>
      <w:r w:rsidRPr="00857D31">
        <w:t xml:space="preserve">Lehota na </w:t>
      </w:r>
      <w:r>
        <w:t>výkon kontroly je 20</w:t>
      </w:r>
      <w:r w:rsidRPr="00857D31">
        <w:t xml:space="preserve"> pracovných dní.</w:t>
      </w:r>
    </w:p>
    <w:p w14:paraId="466CD213" w14:textId="77777777" w:rsidR="00B650E5" w:rsidRDefault="00B650E5">
      <w:pPr>
        <w:numPr>
          <w:ilvl w:val="0"/>
          <w:numId w:val="245"/>
        </w:numPr>
        <w:spacing w:before="120" w:after="120"/>
        <w:ind w:left="426" w:hanging="426"/>
        <w:jc w:val="both"/>
      </w:pPr>
      <w:r>
        <w:t>RO si v riadiacej dokumentácii definuje minimálne povinné náležitosti objednávky, tak aby táto spĺňala minimálne náležitosti písomného zmluvného vzťahu (v závislosti od konkrétneho zmluvného typu). Medzi takéto náležitosti objednávky patrí najmä: dátum jej vyhotovenia, kompletné a správne identifikačné údaje objednávateľa a dodávateľa (</w:t>
      </w:r>
      <w:r w:rsidR="00C93F30">
        <w:t xml:space="preserve">t. j. </w:t>
      </w:r>
      <w:r>
        <w:t xml:space="preserve"> obchodné meno/ názov, IČO, adresu sídla, príp. kontaktné miesta), jednoznačnú špecifikáciu predmetu zákazky,  dohodnutú cenu (bez DPH, výška DPH a cena s DPH), lehotu a miesto plnenia,  ďalšie náležitosti podľa požiadaviek objednávateľa. Na objednávke je potrebné zaznamenanie potvrdenia o jej prijatí dodávateľom, resp. musí byť predložená iná relevantná dokumentácia preukazujúca </w:t>
      </w:r>
      <w:r>
        <w:lastRenderedPageBreak/>
        <w:t xml:space="preserve">prevzatie záväzku dodávateľa dodať tovar, uskutočniť stavebné práce alebo poskytnúť službu za podmienok určených v objednávke. </w:t>
      </w:r>
    </w:p>
    <w:p w14:paraId="57C3ED9B" w14:textId="71CFB2F6" w:rsidR="00B650E5" w:rsidRDefault="00B650E5">
      <w:pPr>
        <w:numPr>
          <w:ilvl w:val="0"/>
          <w:numId w:val="245"/>
        </w:numPr>
        <w:spacing w:before="120" w:after="120"/>
        <w:ind w:left="426" w:hanging="426"/>
        <w:jc w:val="both"/>
      </w:pPr>
      <w:r>
        <w:t>RO overuje pri kontrole zákaziek s nízkymi hodnotami podľa § 117 ZVO, či vynaložené náklady na obstaranie predmetu zákazky boli primerané kvalite a cene. Zároveň RO overí, či pri obstarávaní neboli porušené základné princípy VO a postupy uvedené v </w:t>
      </w:r>
      <w:r w:rsidRPr="000E286B">
        <w:t xml:space="preserve">kapitole </w:t>
      </w:r>
      <w:hyperlink w:anchor="kapitola_33725" w:history="1">
        <w:r w:rsidRPr="00764D0E">
          <w:rPr>
            <w:rStyle w:val="Hypertextovprepojenie"/>
          </w:rPr>
          <w:t>3.3.7.2.</w:t>
        </w:r>
        <w:r w:rsidRPr="00510CDA">
          <w:rPr>
            <w:rStyle w:val="Hypertextovprepojenie"/>
          </w:rPr>
          <w:t>5</w:t>
        </w:r>
      </w:hyperlink>
      <w:r>
        <w:t>. Pravidlá a povinnosti uvádzané v  </w:t>
      </w:r>
      <w:r w:rsidRPr="000E286B">
        <w:t>kapitole 3.3.7.2.5</w:t>
      </w:r>
      <w:r>
        <w:t xml:space="preserve"> sa vzťahujú na všetky zákazky s nízkymi hodnotami podľa § 117 ZVO, ktoré budú spolufinancované z fondov a ENRF, bez ohľadu na skutočnosť, či ich zrealizoval prijímateľ ešte pred schválením ŽoNFP, alebo až po schválení tejto ŽoNFP. Pokiaľ teda prijímateľ predloží na RO dokumentáciu z procesu verejného obstarávania realizovaného ako zákazka s nízkou hodnotou podľa § 117 ZVO, pri ktorej obstarávaní nepostupoval podľa pravidiel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 xml:space="preserve"> a porušenie týchto pravidiel malo alebo mohlo mať vplyv na výsledok verejného obstarávania, RO je povinný postupovať podľa</w:t>
      </w:r>
      <w:r w:rsidRPr="00BB45A7">
        <w:t xml:space="preserve"> </w:t>
      </w:r>
      <w:r>
        <w:t>metodického pokynu</w:t>
      </w:r>
      <w:r>
        <w:rPr>
          <w:rStyle w:val="Odkaznapoznmkupodiarou"/>
        </w:rPr>
        <w:footnoteReference w:id="102"/>
      </w:r>
      <w:r>
        <w:t xml:space="preserve">, ktorý upravuje postup pri určení finančných opráv za </w:t>
      </w:r>
      <w:r w:rsidR="003E5E8A">
        <w:t xml:space="preserve">porušenie pravidiel a postupov </w:t>
      </w:r>
      <w:r>
        <w:t xml:space="preserve">VO. </w:t>
      </w:r>
      <w:r w:rsidRPr="00B05AB8">
        <w:t xml:space="preserve">Z tohto dôvodu je RO povinný definovať pravidlá vzťahujúce sa na obstarávanie zákaziek </w:t>
      </w:r>
      <w:r>
        <w:t xml:space="preserve">s nízkymi hodnotami </w:t>
      </w:r>
      <w:r w:rsidRPr="00B05AB8">
        <w:t xml:space="preserve">podľa § </w:t>
      </w:r>
      <w:r>
        <w:t xml:space="preserve">117 </w:t>
      </w:r>
      <w:r w:rsidRPr="00B05AB8">
        <w:t>ZVO</w:t>
      </w:r>
      <w:r>
        <w:t xml:space="preserve">, ktoré sú uvedené v kapitole </w:t>
      </w:r>
      <w:r w:rsidRPr="00997CB0">
        <w:t>3.3.7.2.5</w:t>
      </w:r>
      <w:r w:rsidRPr="00997CB0" w:rsidDel="00F06439">
        <w:t>.</w:t>
      </w:r>
      <w:r w:rsidRPr="00B05AB8">
        <w:t xml:space="preserve"> už </w:t>
      </w:r>
      <w:r w:rsidR="004108DB">
        <w:t xml:space="preserve">                          </w:t>
      </w:r>
      <w:r w:rsidRPr="00B05AB8">
        <w:t>v rámci jednotlivých výziev</w:t>
      </w:r>
      <w:r>
        <w:t>.</w:t>
      </w:r>
    </w:p>
    <w:p w14:paraId="127F30D2" w14:textId="77777777" w:rsidR="00B650E5" w:rsidRDefault="00B650E5">
      <w:pPr>
        <w:numPr>
          <w:ilvl w:val="0"/>
          <w:numId w:val="245"/>
        </w:numPr>
        <w:spacing w:before="120" w:after="120"/>
        <w:ind w:left="426" w:hanging="426"/>
        <w:jc w:val="both"/>
      </w:pPr>
      <w:r>
        <w:t xml:space="preserve">Pri obstarávaní takýchto zákaziek je prijímateľ povinný vykonať prieskum trhu.  </w:t>
      </w:r>
    </w:p>
    <w:p w14:paraId="3480B624" w14:textId="77777777" w:rsidR="00B650E5" w:rsidRDefault="00B650E5">
      <w:pPr>
        <w:numPr>
          <w:ilvl w:val="0"/>
          <w:numId w:val="245"/>
        </w:numPr>
        <w:spacing w:before="120" w:after="120"/>
        <w:ind w:left="426" w:hanging="426"/>
        <w:jc w:val="both"/>
      </w:pPr>
      <w:r>
        <w:t>Zákazky s nízkymi hodnotami podľa § 117  ZVO sa v zmysle tejto kapitoly delia na:</w:t>
      </w:r>
    </w:p>
    <w:p w14:paraId="48D8525A" w14:textId="77777777" w:rsidR="00B650E5" w:rsidRDefault="00B650E5">
      <w:pPr>
        <w:numPr>
          <w:ilvl w:val="0"/>
          <w:numId w:val="45"/>
        </w:numPr>
        <w:spacing w:before="120" w:after="120"/>
        <w:ind w:left="851" w:hanging="425"/>
        <w:jc w:val="both"/>
      </w:pPr>
      <w:r>
        <w:t>zákazky, ktorých predpokladaná hodnota bez DPH sa rovná, alebo presahuje 15 000 EUR (ďalej len „zákazky nad 15 000 EUR“),</w:t>
      </w:r>
    </w:p>
    <w:p w14:paraId="2DDC2748" w14:textId="77777777" w:rsidR="00B650E5" w:rsidRDefault="00B650E5">
      <w:pPr>
        <w:numPr>
          <w:ilvl w:val="0"/>
          <w:numId w:val="45"/>
        </w:numPr>
        <w:spacing w:before="120" w:after="120"/>
        <w:ind w:left="851" w:hanging="425"/>
        <w:jc w:val="both"/>
      </w:pPr>
      <w:r>
        <w:t>zákazky, ktorých predpokladaná hodnota bez DPH nepresahuje 15 000 EUR (ďalej len „zákazky do 15 000 EUR“).</w:t>
      </w:r>
    </w:p>
    <w:p w14:paraId="71DBADCD" w14:textId="77777777" w:rsidR="00B650E5" w:rsidRDefault="00B650E5">
      <w:pPr>
        <w:pStyle w:val="SRK5"/>
      </w:pPr>
      <w:bookmarkStart w:id="370" w:name="_Toc453234036"/>
      <w:bookmarkStart w:id="371" w:name="_Toc495649394"/>
      <w:bookmarkStart w:id="372" w:name="kapitola_337251"/>
      <w:r>
        <w:t>3.3.7.2.5.1 Zákazky nad 15 000 EUR</w:t>
      </w:r>
      <w:bookmarkEnd w:id="370"/>
      <w:bookmarkEnd w:id="371"/>
    </w:p>
    <w:bookmarkEnd w:id="372"/>
    <w:p w14:paraId="13A7779A" w14:textId="65C078A8" w:rsidR="00B650E5" w:rsidRDefault="00B650E5" w:rsidP="00997CB0">
      <w:pPr>
        <w:pStyle w:val="Odsekzoznamu"/>
        <w:numPr>
          <w:ilvl w:val="0"/>
          <w:numId w:val="246"/>
        </w:numPr>
        <w:spacing w:before="120" w:after="120"/>
        <w:jc w:val="both"/>
      </w:pPr>
      <w:r>
        <w:t xml:space="preserve">Zákazky nad 15 000 eur </w:t>
      </w:r>
      <w:r w:rsidR="00AD73AC">
        <w:t>na</w:t>
      </w:r>
      <w:r>
        <w:t xml:space="preserve"> účely tejto kapitoly sú zákazky s nízkymi hodnotami podľa § 117 ZVO na tovary, stavebné práce alebo služby, ktoré nie sú bežne dostupné na trhu. </w:t>
      </w:r>
      <w:r w:rsidRPr="0099707E">
        <w:t>V pr</w:t>
      </w:r>
      <w:r>
        <w:t>ípade, že predmetom zákazky</w:t>
      </w:r>
      <w:r w:rsidRPr="0099707E">
        <w:t xml:space="preserve"> je tovar, stavebná práca alebo služba, ktorá je bežne dostupná na trhu, prijímateľ </w:t>
      </w:r>
      <w:r>
        <w:t xml:space="preserve">zadáva zákazku s využitím </w:t>
      </w:r>
      <w:r w:rsidRPr="0099707E">
        <w:t>elektronického trhoviska podľa § 108 ods. 1 písm. a) ZVO</w:t>
      </w:r>
      <w:r w:rsidR="00E62229" w:rsidRPr="00E62229">
        <w:t xml:space="preserve"> </w:t>
      </w:r>
      <w:r w:rsidR="00E62229">
        <w:t>alebo podľa § 113 až 116 ZVO</w:t>
      </w:r>
      <w:r w:rsidRPr="0099707E">
        <w:t>.</w:t>
      </w:r>
      <w:r>
        <w:t xml:space="preserve"> V prípade zákaziek nad 15 000 EUR prijímateľ musí vykonať všetky ďalej uvedené úkony, ktoré majú zabezpečiť získanie čo najvyššieho počtu písomných ponúk na obstaranie tovarov, stavebných prác alebo služieb. Za písomnú ponuku sa pokladá aj ponuka podaná elektronicky. Súčasťou dokumentácie musia byť doklady potvrdzujúce kroky uchádzačov v súlade s časovým harmonogramom uvedeným vo výzve na súťaž.</w:t>
      </w:r>
    </w:p>
    <w:p w14:paraId="245094A1" w14:textId="20706E0E" w:rsidR="00B650E5" w:rsidRDefault="00B650E5" w:rsidP="00501848">
      <w:pPr>
        <w:numPr>
          <w:ilvl w:val="0"/>
          <w:numId w:val="246"/>
        </w:numPr>
        <w:spacing w:before="120" w:after="120"/>
        <w:jc w:val="both"/>
      </w:pPr>
      <w:r>
        <w:t xml:space="preserve">Prijímateľ zverejňuje na svojom webovom sídle zadávanie takejto zákazky minimálne                             5 pracovných dní pred dňom predkladania ponúk (do lehoty sa nezapočítava deň zverejnenia). Prijímateľ je povinný zdokumentovať toto zverejnenie hodnoverným spôsobom. Zadávanie tejto zákazky je realizované zverejnením výzvy na súťaž, v rámci ktorej prijímateľ uvedie najmä svoju identifikáciu, jednoznačne a úplne špecifikuje predmet zákazky, podmienky účasti (ak ich stanovuje), podmienky realizácie zmluvy, kritériá na vyhodnotenie ponúk, presnú lehotu a adresu na predkladanie ponúk. Prijímateľ je povinný v ten istý deň ako zverejnení výzvu na súťaž na svojom webovom sídle, zaslať informáciu o tomto zverejnení aj na osobitný mailový kontakt </w:t>
      </w:r>
      <w:hyperlink r:id="rId204" w:history="1">
        <w:r w:rsidRPr="008E1B96">
          <w:rPr>
            <w:rStyle w:val="Hypertextovprepojenie"/>
          </w:rPr>
          <w:t>zakazkycko@vlada.gov.sk</w:t>
        </w:r>
      </w:hyperlink>
      <w:r>
        <w:t xml:space="preserve">. Táto informácia bude následne zverejnená na webovom sídle </w:t>
      </w:r>
      <w:hyperlink r:id="rId205" w:history="1">
        <w:r w:rsidRPr="00005FB1">
          <w:rPr>
            <w:rStyle w:val="Hypertextovprepojenie"/>
          </w:rPr>
          <w:t>www.partnerskadohoda.gov.sk</w:t>
        </w:r>
      </w:hyperlink>
      <w:r>
        <w:t xml:space="preserve">. Pravidlá a podrobnosti týkajúcej sa tejto povinnosti sú predmetom </w:t>
      </w:r>
      <w:r>
        <w:lastRenderedPageBreak/>
        <w:t>metodického pokynu</w:t>
      </w:r>
      <w:r>
        <w:rPr>
          <w:rStyle w:val="Odkaznapoznmkupodiarou"/>
        </w:rPr>
        <w:footnoteReference w:id="103"/>
      </w:r>
      <w:r>
        <w:t xml:space="preserve"> vydaného CKO. Pokiaľ prijímateľ nesplní túto oznamovaciu povinnosť, RO bude uvedené posudzovať ako porušenie princípu transparentnosti a výdavky z predmetného VO nebudú zo strany RO pripustené do financovania. Prijímateľ je súčasne so zverejnením výzvy na súťaž a jej zaslaním na zverejnenie </w:t>
      </w:r>
      <w:r w:rsidRPr="00501848">
        <w:t xml:space="preserve">na osobitný mailový kontakt </w:t>
      </w:r>
      <w:hyperlink r:id="rId206" w:history="1">
        <w:r w:rsidRPr="00BA4471">
          <w:rPr>
            <w:rStyle w:val="Hypertextovprepojenie"/>
          </w:rPr>
          <w:t>zakazkycko@vlada.gov.sk</w:t>
        </w:r>
      </w:hyperlink>
      <w:r>
        <w:t xml:space="preserve">, zároveň povinný zaslať túto výzvu minimálne </w:t>
      </w:r>
      <w:r w:rsidRPr="00664D27">
        <w:t>trom</w:t>
      </w:r>
      <w:r>
        <w:t xml:space="preserve"> vybraným záujemcom. Oslovovaní záujemcovia musia byť subjekty, ktoré sú oprávnené dodávať službu, tovar alebo prácu v rozsahu predmetu zákazky (identifikácia prebieha najmä cez informácie verejne uvedené v obchodnom registri alebo živnostenskom registri). Výber úspešného uchádzača prebieha na základe vyhodnotenia informácií a dokumentácie predloženej záujemcami, pričom prijímateľ je povinný vyhodnotiť ponuky v súlade s podmienkami a kritériami, ktoré si pre tento účel určil. Vo výnimočných prípadoch, kedy môže ísť o jedinečný predmet zákazky, môže prijímateľ osloviť aj menej ako troch záujemcov, pričom táto výnimka musí byť zo strany prijímateľa riadne zdôvodnená a podložená.</w:t>
      </w:r>
    </w:p>
    <w:p w14:paraId="42629F4F" w14:textId="77777777" w:rsidR="00B650E5" w:rsidRDefault="00B650E5">
      <w:pPr>
        <w:numPr>
          <w:ilvl w:val="0"/>
          <w:numId w:val="246"/>
        </w:numPr>
        <w:spacing w:before="120" w:after="120"/>
        <w:ind w:left="426" w:hanging="426"/>
        <w:jc w:val="both"/>
      </w:pPr>
      <w:r>
        <w:t>Ak prijímateľovi nebude predložená žiadna ponuka a splnil všetky postupy uvedené v predchádzajúcich odsekoch, je oprávnený vyzvať na rokovanie jedného alebo viacerých záujemcov, s ktorými rokuje o zadaní zákazky.  Predmetom týchto rokovaní nemôže byť zúženie predmetu zákazky, úprava podmienok účasti, podmienok realizácie zmluvy ani kritérií na vyhodnotenie ponúk uvedených vo výzve na súťaž. Z rokovania je prijímateľ povinný vyhotoviť zápis</w:t>
      </w:r>
      <w:r w:rsidR="006F3B93">
        <w:t xml:space="preserve">, </w:t>
      </w:r>
      <w:r>
        <w:t xml:space="preserve"> ako aj zdôvodniť výber záujemcu alebo záujemcov, ktorí boli vyzvaní na rokovanie. </w:t>
      </w:r>
    </w:p>
    <w:p w14:paraId="5C8663BA" w14:textId="77777777" w:rsidR="00B650E5" w:rsidRDefault="00B650E5">
      <w:pPr>
        <w:numPr>
          <w:ilvl w:val="0"/>
          <w:numId w:val="246"/>
        </w:numPr>
        <w:spacing w:before="120" w:after="120"/>
        <w:ind w:left="426" w:hanging="426"/>
        <w:jc w:val="both"/>
      </w:pPr>
      <w:r>
        <w:t xml:space="preserve">Celý postup prijímateľa pri zadávaní zákazky bude zhrnutý v zázname z prieskumu trhu, ktorého minimálne náležitosti sú nasledovné: identifikácia prijímateľa, názov zákazky, kód CPV, predmet zákazky, určenie kritéria na vyhodnocovanie ponúk, spôsob vykonania prieskumu a identifikovanie podkladov, na základe ktorých boli ponuky vyhodnocované, zoznam oslovených záujemcov, informácia o skutočnosti, či sú oslovení záujemcovia oprávnení dodávať službu, tovar alebo prácu v rozsahu predmetu zákazky, dátum oslovenia, dátum vyhodnocovania ponúk, zoznam uchádzačov, ktorí predložili ponuku, identifikácia a vyhodnotenie splnenia jednotlivých podmienok účasti a návrhov na plnenie kritérií, identifikácia úspešného dodávateľa/poskytovateľa/zhotoviteľa, konečná zmluvná cena ponuky úspešného uchádzača (uviesť s DPH aj bez DPH), spôsob vzniku záväzku (zmluva, objednávka...), meno, funkcia, dátum a podpis zodpovednej osoby, ktorá vykonala prieskum.  </w:t>
      </w:r>
    </w:p>
    <w:p w14:paraId="2AACC218" w14:textId="77777777" w:rsidR="00B650E5" w:rsidRDefault="00B650E5">
      <w:pPr>
        <w:numPr>
          <w:ilvl w:val="0"/>
          <w:numId w:val="246"/>
        </w:numPr>
        <w:spacing w:before="120" w:after="120"/>
        <w:ind w:left="426" w:hanging="426"/>
        <w:jc w:val="both"/>
      </w:pPr>
      <w:r>
        <w:t>Pri komunikácii s prijímateľom, určovaní a dodržiavaní lehôt, spolupráci s inými subjektmi a riešení finančných opráv postupuje RO v rámci tejto kontroly v zmysle postupov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w:t>
      </w:r>
    </w:p>
    <w:p w14:paraId="409EDF4C" w14:textId="77777777" w:rsidR="00B650E5" w:rsidRDefault="00B650E5">
      <w:pPr>
        <w:pStyle w:val="SRK5"/>
      </w:pPr>
      <w:bookmarkStart w:id="373" w:name="_Toc453234037"/>
      <w:bookmarkStart w:id="374" w:name="_Toc495649395"/>
      <w:r>
        <w:t>3.3.7.2.5.2 Zákazky do 15 000 EUR</w:t>
      </w:r>
      <w:bookmarkEnd w:id="373"/>
      <w:bookmarkEnd w:id="374"/>
    </w:p>
    <w:p w14:paraId="29E93283" w14:textId="77777777" w:rsidR="00B650E5" w:rsidRDefault="00B650E5">
      <w:pPr>
        <w:numPr>
          <w:ilvl w:val="0"/>
          <w:numId w:val="345"/>
        </w:numPr>
        <w:spacing w:before="120" w:after="120"/>
        <w:ind w:left="426" w:hanging="426"/>
        <w:jc w:val="both"/>
      </w:pPr>
      <w:r>
        <w:t xml:space="preserve">V prípade zákaziek do 15 000 EUR nie je potrebné predloženie písomných ponúk, avšak prijímateľ musí zdôvodniť výber úspešného uchádzača na základe prieskumu trhu  (napr. formou faxu, web stránky, katalógov, cenových ponúk, atď. okrem telefonického prieskumu). Tento prieskum musí byť riadne zdokumentovaný a musí byť z neho hodnoverne zrejmý výsledok výberu úspešného uchádzača. Pri tomto type zákaziek je prijímateľ povinný  osloviť minimálne troch potenciálnych záujemcov alebo identifikovať minimálne troch potenciálnych dodávateľov (napr. cez webové rozhranie). Oslovovaní alebo identifikovaní dodávatelia musia byť subjekty, ktoré sú 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alebo informácií zistenými inými spôsobmi ako je </w:t>
      </w:r>
      <w:r>
        <w:lastRenderedPageBreak/>
        <w:t>predloženie ponuky (napr. údajmi na webových sídlach záujemcov, informáciami identifikovanými v katalógoch a pod.), pričom prijímateľ je povinný vyhodnotiť ponuky v súlade s podmienkami a kritériami, ktoré si pre tento účel určil. Vo výnimočných prípadoch, kedy môže ísť o jedinečný predmet zákazky môže prijímateľ osloviť/identifikovať aj menej ako troch záujemcov, pričom táto výnimka musí byť zo strany prijímateľa riadne zdôvodnená a podložená.</w:t>
      </w:r>
    </w:p>
    <w:p w14:paraId="7243A580" w14:textId="3EBD136E" w:rsidR="00B650E5" w:rsidRDefault="00B650E5" w:rsidP="00EB05F0">
      <w:pPr>
        <w:numPr>
          <w:ilvl w:val="0"/>
          <w:numId w:val="345"/>
        </w:numPr>
        <w:spacing w:before="120" w:after="120"/>
        <w:ind w:left="426" w:hanging="426"/>
        <w:jc w:val="both"/>
      </w:pPr>
      <w:r w:rsidRPr="00EB05F0">
        <w:t>Ak prijímateľ</w:t>
      </w:r>
      <w:r w:rsidR="0048712C">
        <w:t xml:space="preserve"> oslovil na základe výzvy na predkladanie ponúk minimálne troch potenciálnych dodávateľov a v stanovenej lehote na predkladanie ponúk</w:t>
      </w:r>
      <w:r w:rsidRPr="00EB05F0">
        <w:t xml:space="preserve"> neb</w:t>
      </w:r>
      <w:r w:rsidR="0048712C">
        <w:t>ola</w:t>
      </w:r>
      <w:r w:rsidRPr="00EB05F0">
        <w:t xml:space="preserve"> predložená žiadna ponuka, je oprávnený vyzvať na rokovanie jedného alebo viacerých záujemcov, s kt</w:t>
      </w:r>
      <w:r>
        <w:t xml:space="preserve">orými rokuje o zadaní zákazky. </w:t>
      </w:r>
      <w:r w:rsidRPr="00EB05F0">
        <w:t>Predmetom týchto rokovaní nemô</w:t>
      </w:r>
      <w:r>
        <w:t>že byť zúženie predmetu zákazky alebo iná</w:t>
      </w:r>
      <w:r w:rsidRPr="00EB05F0">
        <w:t xml:space="preserve"> úprava podmienok realizácie zmluvy ani </w:t>
      </w:r>
      <w:r>
        <w:t xml:space="preserve">úprava </w:t>
      </w:r>
      <w:r w:rsidRPr="00EB05F0">
        <w:t>kritérií na vyhodnotenie ponúk. Z rokovania je prijímateľ povinný vyhotoviť zápis</w:t>
      </w:r>
      <w:r w:rsidR="006F3B93">
        <w:t>,</w:t>
      </w:r>
      <w:r w:rsidRPr="00EB05F0">
        <w:t xml:space="preserve"> ako aj zdôvodniť výber záujemcu alebo záujemcov, ktorí boli vyzvaní na rokovanie. </w:t>
      </w:r>
    </w:p>
    <w:p w14:paraId="28311E81" w14:textId="769F469D" w:rsidR="00B650E5" w:rsidRDefault="00B650E5">
      <w:pPr>
        <w:numPr>
          <w:ilvl w:val="0"/>
          <w:numId w:val="345"/>
        </w:numPr>
        <w:spacing w:before="120" w:after="120"/>
        <w:ind w:left="426" w:hanging="426"/>
        <w:jc w:val="both"/>
      </w:pPr>
      <w:r>
        <w:t xml:space="preserve">Pri zákazkách do 15 000 EUR nie je prijímateľ povinný zverejňovať zadávanie takejto zákazky na svojej stránke, ani zasielať informáciu o zadávaní takýchto zákaziek na mailový kontakt CKO a ani zverejňovať, resp. zasielať výzvu na súťaž vybraným záujemcom. Týmto nie je dotknutá povinnosť prijímateľa dodržať pri obstarávaní takejto zákazky základné princípy VO. </w:t>
      </w:r>
    </w:p>
    <w:p w14:paraId="7F6C1034" w14:textId="77777777" w:rsidR="00B650E5" w:rsidRDefault="00B650E5">
      <w:pPr>
        <w:numPr>
          <w:ilvl w:val="0"/>
          <w:numId w:val="345"/>
        </w:numPr>
        <w:spacing w:before="120" w:after="120"/>
        <w:ind w:left="426" w:hanging="426"/>
        <w:jc w:val="both"/>
      </w:pPr>
      <w:r>
        <w:t xml:space="preserve">Náležitosti záznamu z prieskumu trhu sú najmä: identifikácia prijímateľa, názov zákazky, kód CPV, predmet zákazky, určenie kritéria na vyhodnocovanie ponúk (napr. najnižšia cena), spôsob vykonania prieskumu a identifikovanie podkladov, na základe ktorých boli ponuky vyhodnocované, zoznam oslovených záujemcov alebo zoznam vyhodnocovaných záujemcov, informácia o skutočnosti, či sú oslovení alebo identifikovaní záujemcovia oprávnení dodávať službu, tovar alebo prácu v rozsahu predmetu zákazky, dátum oslovenia alebo vyhodnocovania, v prípade, že boli záujemcovia oslovovaní, tak zoznam uchádzačov, ktorí predložili ponuku, identifikácia a vyhodnotenie splnenia jednotlivých návrhov na plnenie podmienok účasti a plnenie kritérií, identifikácia úspešného dodávateľa/poskytovateľa/zhotoviteľa, konečná zmluvná cena ponuky úspešného uchádzača (uviesť s DPH aj bez DPH), spôsob vzniku záväzku (zmluva, objednávka...), meno, funkcia, dátum a podpis zodpovednej osoby, ktorá vykonala prieskum. </w:t>
      </w:r>
    </w:p>
    <w:p w14:paraId="6FB696D2" w14:textId="77777777" w:rsidR="00B650E5" w:rsidRDefault="00B650E5" w:rsidP="000E286B">
      <w:pPr>
        <w:numPr>
          <w:ilvl w:val="0"/>
          <w:numId w:val="345"/>
        </w:numPr>
        <w:spacing w:before="120" w:after="120"/>
        <w:ind w:left="426" w:hanging="426"/>
        <w:jc w:val="both"/>
      </w:pPr>
      <w:r>
        <w:t>V rámci kontroly zákaziek do 15 000 EUR môže RO vykonať kontrolu VO ako súčasť kontroly predmetného výdavku v rámci ŽoP, kde RO overí dodržanie pravidiel na zadávanie tohto typu zákazky v zmysle kapitoly 3.3.7.2.5.2 Uvedeným nie je dotknutá povinnosť kontroly oprávnenosti výdavku v rámci kontroly deklarovaných výdavkov prijímateľa vo fáze ŽoP.</w:t>
      </w:r>
    </w:p>
    <w:p w14:paraId="4AC4E0E9" w14:textId="77777777" w:rsidR="004108DB" w:rsidRDefault="004108DB" w:rsidP="000F104E">
      <w:pPr>
        <w:numPr>
          <w:ilvl w:val="0"/>
          <w:numId w:val="345"/>
        </w:numPr>
        <w:spacing w:before="120" w:after="120"/>
        <w:ind w:left="426" w:hanging="426"/>
        <w:jc w:val="both"/>
      </w:pPr>
      <w:r>
        <w:t>V prípade zákaziek s nízkou hodnotou, ktorých predpokladaná hodnota je do 5 000 eur bez DPH, je možné určiť úspešného uchádzača na základe určenia predpokladanej hodnoty zákazky. Predpokladaná hodnota zákazky musí byť určená</w:t>
      </w:r>
      <w:r w:rsidR="000F104E">
        <w:t xml:space="preserve"> oslovením minimálne troch potenciálnych záujemcov alebo ich identifikovaním napr. cez webové rozhranie, pričom oslovovaní alebo identifikovaní dodávatelia musia byť subjekty, ktoré sú oprávnené dodávať službu, tovar alebo prácu v rozsahu predmetu zákazky.</w:t>
      </w:r>
      <w:r>
        <w:t xml:space="preserve"> </w:t>
      </w:r>
    </w:p>
    <w:p w14:paraId="7DF536C3" w14:textId="77777777" w:rsidR="00B650E5" w:rsidRDefault="00B650E5">
      <w:pPr>
        <w:pStyle w:val="SRK5"/>
        <w:jc w:val="both"/>
      </w:pPr>
      <w:bookmarkStart w:id="375" w:name="_Toc453234039"/>
      <w:bookmarkStart w:id="376" w:name="_Toc386529569"/>
      <w:bookmarkStart w:id="377" w:name="_Toc390248461"/>
      <w:bookmarkStart w:id="378" w:name="_Toc495649396"/>
      <w:r>
        <w:t>3.3.7.2.6. Kontrola verejného obstarávania, v rámci ktorého viacerí prijímatelia nadobúdajú tovary, práce alebo služby prostredníctvom centrálnej obstarávacej organizácie podľa § 15 ods. 2 a ods. 4 ZVO</w:t>
      </w:r>
      <w:bookmarkEnd w:id="375"/>
      <w:r>
        <w:t>.</w:t>
      </w:r>
      <w:bookmarkEnd w:id="376"/>
      <w:bookmarkEnd w:id="377"/>
      <w:bookmarkEnd w:id="378"/>
    </w:p>
    <w:p w14:paraId="4342DB2A" w14:textId="77D07E09" w:rsidR="00B650E5" w:rsidRDefault="00B650E5" w:rsidP="00437BEE">
      <w:pPr>
        <w:numPr>
          <w:ilvl w:val="0"/>
          <w:numId w:val="248"/>
        </w:numPr>
        <w:spacing w:before="120" w:after="120"/>
        <w:ind w:left="426" w:hanging="426"/>
        <w:jc w:val="both"/>
      </w:pPr>
      <w:bookmarkStart w:id="379" w:name="kapitola_33727_ods_1"/>
      <w:r>
        <w:t>Postupy uvedené v tejto kapitole sa vzťahujú na situáciu, keď viacero prijímateľov (</w:t>
      </w:r>
      <w:r w:rsidR="00C93F30">
        <w:t xml:space="preserve">t. j. </w:t>
      </w:r>
      <w:r>
        <w:t xml:space="preserve"> viac ako jeden) nadobúda, resp. obstaráva tovary, stavebné práce alebo služby prostredníctvom COO, pričom toto nadobúdanie, resp. obstarávanie sa týka toho istého VO a zároveň centrálne VO sa týka viacerých operačných programov a jednotlivé RO/SO, ktoré sú zároveň COO nie sú tou istou právnickou osobou. </w:t>
      </w:r>
    </w:p>
    <w:p w14:paraId="76DEABB4" w14:textId="77777777" w:rsidR="00B650E5" w:rsidRPr="00437BEE" w:rsidRDefault="00B650E5" w:rsidP="00437BEE">
      <w:pPr>
        <w:numPr>
          <w:ilvl w:val="0"/>
          <w:numId w:val="248"/>
        </w:numPr>
        <w:spacing w:before="120" w:after="120"/>
        <w:ind w:left="426" w:hanging="426"/>
        <w:jc w:val="both"/>
      </w:pPr>
      <w:r>
        <w:lastRenderedPageBreak/>
        <w:t xml:space="preserve">RO, ktorý je rovnakou právnickou osobou ako COO, </w:t>
      </w:r>
      <w:r w:rsidRPr="00437BEE">
        <w:t>je povinn</w:t>
      </w:r>
      <w:r>
        <w:t>ý</w:t>
      </w:r>
      <w:r w:rsidRPr="00437BEE">
        <w:t xml:space="preserve"> informovať príslušné RO o plánovanom vyhlásení takéhoto </w:t>
      </w:r>
      <w:r>
        <w:t xml:space="preserve">centrálneho </w:t>
      </w:r>
      <w:r w:rsidRPr="00437BEE">
        <w:t>VO</w:t>
      </w:r>
      <w:r>
        <w:t>,</w:t>
      </w:r>
      <w:r w:rsidRPr="00437BEE">
        <w:t xml:space="preserve"> a to písomným oznámením adresovaným zástupcom jednotlivých RO</w:t>
      </w:r>
      <w:r>
        <w:t xml:space="preserve"> a tiež prostredníctvom Koordinačného výboru pre spoluprácu pri kontrole VO</w:t>
      </w:r>
      <w:r w:rsidRPr="00437BEE">
        <w:t xml:space="preserve">. V prípade, že centrálne VO je z pohľadu finančného limitu nadlimitnou zákazkou, COO alebo RO, ktorý je rovnakou právnickou osobou ako COO predloží pripravované centrálne VO na ÚVO za účelom výkonu ex ante posúdenia podľa § 168 ZVO. </w:t>
      </w:r>
    </w:p>
    <w:p w14:paraId="576E033D" w14:textId="77777777" w:rsidR="00B650E5" w:rsidRPr="00437BEE" w:rsidRDefault="00B650E5" w:rsidP="00CB3C92">
      <w:pPr>
        <w:numPr>
          <w:ilvl w:val="0"/>
          <w:numId w:val="248"/>
        </w:numPr>
        <w:spacing w:before="120" w:after="120"/>
        <w:ind w:left="426" w:hanging="426"/>
        <w:jc w:val="both"/>
      </w:pPr>
      <w:r>
        <w:t xml:space="preserve">RO, ktorý je rovnakou právnickou osobou ako COO, vykoná druhú </w:t>
      </w:r>
      <w:r w:rsidR="00FB1D18">
        <w:t>ex ante</w:t>
      </w:r>
      <w:r>
        <w:t xml:space="preserve"> kontrolu centrálneho VO, ak sa jedná o nadlimitnú zákazku, pričom postupuje primerane podľa pravidiel uvedených v kapitole 3.3.7.2.2. </w:t>
      </w:r>
      <w:r w:rsidRPr="00CB3C92">
        <w:t xml:space="preserve">Podkladom pre ukončenie druhej </w:t>
      </w:r>
      <w:r w:rsidR="00FB1D18">
        <w:t>ex ante</w:t>
      </w:r>
      <w:r w:rsidRPr="00CB3C92">
        <w:t xml:space="preserve"> kontroly </w:t>
      </w:r>
      <w:r>
        <w:t xml:space="preserve">je </w:t>
      </w:r>
      <w:r w:rsidRPr="00CB3C92">
        <w:t>aj kontrola, ktorú vykonáva ÚVO v prípade nadlimitných zákaziek, čo aj z časti financovaných z prostriedkov Európskej únie, vo fáze pred uzavretím zmluvy, koncesnej zmluvy alebo rámcovej dohody, pred ukončením súťaže návrhov, pred zadaním zákazky na základe rámcovej dohody alebo pred ukončením postupu inovatívneho partnerstva na základe podnetu prijímateľa podľa</w:t>
      </w:r>
      <w:r>
        <w:t xml:space="preserve"> </w:t>
      </w:r>
      <w:r w:rsidRPr="00CB3C92">
        <w:t xml:space="preserve">§ 169 ods. 2 ZVO. </w:t>
      </w:r>
      <w:r>
        <w:t>Jednotlivé RO môžu vo fáze pred podpisom zmluvy vykonať finančnú kontrolu iba                       vo väzbe na čiastkovú zmluvu, uzavretú na základe rámcovej dohody z pohľadu dodržania podmienok na uzavretie čiastkovej zmluvy a dodržania pravidiel hospodárnosti, pokiaľ je zmluvnou stranou čiastkovej zmluvy ich prijímateľ.</w:t>
      </w:r>
    </w:p>
    <w:p w14:paraId="5077F11F" w14:textId="14800C4B" w:rsidR="00B650E5" w:rsidRPr="00437BEE" w:rsidRDefault="00B650E5" w:rsidP="00997CB0">
      <w:pPr>
        <w:numPr>
          <w:ilvl w:val="0"/>
          <w:numId w:val="248"/>
        </w:numPr>
        <w:spacing w:before="120" w:after="120"/>
        <w:ind w:left="426" w:hanging="426"/>
        <w:jc w:val="both"/>
      </w:pPr>
      <w:r>
        <w:t>Š</w:t>
      </w:r>
      <w:r w:rsidRPr="00437BEE">
        <w:t xml:space="preserve">tandardnú </w:t>
      </w:r>
      <w:r w:rsidR="00FB1D18">
        <w:t>ex post</w:t>
      </w:r>
      <w:r w:rsidRPr="00437BEE">
        <w:t xml:space="preserve"> kontrolu vykonávajú všetky RO, ktorých prijímatelia sú účastníkmi rámcovej dohody, pričom postupu</w:t>
      </w:r>
      <w:r>
        <w:t>jú</w:t>
      </w:r>
      <w:r w:rsidRPr="00437BEE">
        <w:t xml:space="preserve"> podľa kapitoly </w:t>
      </w:r>
      <w:hyperlink w:anchor="kapitola_33723" w:history="1">
        <w:r w:rsidRPr="00510CDA">
          <w:rPr>
            <w:rStyle w:val="Hypertextovprepojenie"/>
          </w:rPr>
          <w:t>3.3.7.2.3.</w:t>
        </w:r>
      </w:hyperlink>
      <w:r w:rsidRPr="00437BEE">
        <w:t xml:space="preserve"> </w:t>
      </w:r>
      <w:r>
        <w:t xml:space="preserve">RO, ktorý je rovnakou právnickou osobou ako COO a vykonal druhú </w:t>
      </w:r>
      <w:r w:rsidR="00FB1D18">
        <w:t>ex ante</w:t>
      </w:r>
      <w:r>
        <w:t xml:space="preserve"> kontrolu, vykonáva následnú </w:t>
      </w:r>
      <w:r w:rsidR="00FB1D18">
        <w:t>ex post</w:t>
      </w:r>
      <w:r>
        <w:t xml:space="preserve"> kontrolu. </w:t>
      </w:r>
      <w:r w:rsidRPr="00437BEE">
        <w:t>RO, ktorý ako prvý ukončí štandar</w:t>
      </w:r>
      <w:r>
        <w:t xml:space="preserve">dnú </w:t>
      </w:r>
      <w:r w:rsidR="00FB1D18">
        <w:t>ex post</w:t>
      </w:r>
      <w:r w:rsidRPr="00437BEE">
        <w:t xml:space="preserve"> kontrolu centrálneho VO realizovaného COO, informuje ostatné RO o tejto skutočnosti</w:t>
      </w:r>
      <w:r>
        <w:t>,</w:t>
      </w:r>
      <w:r w:rsidRPr="00437BEE">
        <w:t xml:space="preserve"> a to rovnakým spôsobom ako je upravený v </w:t>
      </w:r>
      <w:hyperlink w:anchor="kapitola_33727_ods_2" w:tooltip="ods. 2" w:history="1">
        <w:r w:rsidRPr="00437BEE">
          <w:rPr>
            <w:color w:val="0000FF"/>
            <w:u w:val="single"/>
          </w:rPr>
          <w:t>ods. 2</w:t>
        </w:r>
      </w:hyperlink>
      <w:r w:rsidRPr="00437BEE">
        <w:t xml:space="preserve">. </w:t>
      </w:r>
      <w:r>
        <w:t xml:space="preserve">V prípade, že RO, </w:t>
      </w:r>
      <w:r w:rsidRPr="00437BEE">
        <w:t>ktorých prijímatelia sú účastníkmi rámcovej dohody</w:t>
      </w:r>
      <w:r>
        <w:t xml:space="preserve">, identifikujú nedostatky s vplyvom alebo možným vplyvom na výsledok VO, </w:t>
      </w:r>
      <w:r w:rsidRPr="00437BEE">
        <w:t xml:space="preserve">uskutoční </w:t>
      </w:r>
      <w:r>
        <w:t xml:space="preserve">sa </w:t>
      </w:r>
      <w:r w:rsidRPr="00437BEE">
        <w:t xml:space="preserve">stretnutie </w:t>
      </w:r>
      <w:r>
        <w:t xml:space="preserve">týchto </w:t>
      </w:r>
      <w:r w:rsidRPr="00437BEE">
        <w:t xml:space="preserve">RO, pričom pre tieto účely je možné využiť </w:t>
      </w:r>
      <w:r>
        <w:t xml:space="preserve">aj </w:t>
      </w:r>
      <w:r w:rsidRPr="00437BEE">
        <w:t>zasadnutie  Koordinačného výboru pre spoluprácu pri kontrole VO. Výsledkom stretnu</w:t>
      </w:r>
      <w:r>
        <w:t>tia RO, resp.</w:t>
      </w:r>
      <w:r w:rsidRPr="00437BEE">
        <w:t xml:space="preserve"> zasadnutia Koordinačného výboru pre spoluprácu pri kontrole VO </w:t>
      </w:r>
      <w:r>
        <w:t xml:space="preserve">bude vzájomná dohoda </w:t>
      </w:r>
      <w:r w:rsidRPr="002D6CBC">
        <w:t xml:space="preserve">o ďalšom postupe, ktorá bude predstavovať podklad pre záver </w:t>
      </w:r>
      <w:r w:rsidRPr="00437BEE">
        <w:t xml:space="preserve">o pripustení financovania verejného obstarávania v plnom rozsahu, o pripustení do financovania s finančnou opravou alebo nepripustení </w:t>
      </w:r>
      <w:r>
        <w:t>do financovania v plnom rozsahu.</w:t>
      </w:r>
      <w:r w:rsidRPr="00437BEE">
        <w:t xml:space="preserve"> </w:t>
      </w:r>
      <w:r>
        <w:t xml:space="preserve">Uvedeným nie je dotknutá </w:t>
      </w:r>
      <w:r w:rsidRPr="00367AAF">
        <w:t>zodpovedn</w:t>
      </w:r>
      <w:r>
        <w:t xml:space="preserve">osť RO za výkon tejto kontroly </w:t>
      </w:r>
      <w:r w:rsidRPr="00367AAF">
        <w:t xml:space="preserve">v zmysle  článku 125 ods. 4 všeobecného nariadenia. </w:t>
      </w:r>
    </w:p>
    <w:p w14:paraId="246A0090" w14:textId="77777777" w:rsidR="00B650E5" w:rsidRDefault="00B650E5">
      <w:pPr>
        <w:pStyle w:val="SRK5"/>
        <w:jc w:val="both"/>
      </w:pPr>
      <w:bookmarkStart w:id="380" w:name="_Toc386529571"/>
      <w:bookmarkStart w:id="381" w:name="_Toc390248462"/>
      <w:bookmarkStart w:id="382" w:name="_Toc453234040"/>
      <w:bookmarkStart w:id="383" w:name="_Toc495649397"/>
      <w:bookmarkStart w:id="384" w:name="kapitola_33728"/>
      <w:bookmarkEnd w:id="379"/>
      <w:r>
        <w:t>3.3.7.2.7. Kontrola verejného obstarávania v rámci schvaľovacieho procesu ŽoNFP alebo hodnotenia národného projektu</w:t>
      </w:r>
      <w:bookmarkEnd w:id="380"/>
      <w:bookmarkEnd w:id="381"/>
      <w:bookmarkEnd w:id="382"/>
      <w:bookmarkEnd w:id="383"/>
    </w:p>
    <w:bookmarkEnd w:id="384"/>
    <w:p w14:paraId="11A46709" w14:textId="13F596F3" w:rsidR="00B650E5" w:rsidRDefault="00B650E5">
      <w:pPr>
        <w:numPr>
          <w:ilvl w:val="0"/>
          <w:numId w:val="249"/>
        </w:numPr>
        <w:spacing w:before="120" w:after="120"/>
        <w:ind w:left="426" w:hanging="426"/>
        <w:jc w:val="both"/>
      </w:pPr>
      <w:r>
        <w:t xml:space="preserve">RO </w:t>
      </w:r>
      <w:r w:rsidR="00D5024A">
        <w:t xml:space="preserve">môže </w:t>
      </w:r>
      <w:r>
        <w:t>vykonáva</w:t>
      </w:r>
      <w:r w:rsidR="00D5024A">
        <w:t>ť</w:t>
      </w:r>
      <w:r>
        <w:t xml:space="preserve"> kontrolu VO podľa § 7 zákona o finančnej kontrole v rámci schvaľovacieho procesu ŽoNFP alebo hodnotenia národného projektu (ďalej len „projekt“) v prípade, ak RO uvedie v rámci výzvy alebo záväzných podmienok ako podmienku poskytnutia príspevku vykonanie VO v súlade s postupmi a princípmi verejného obstarávania a následné overenie tohto VO zo strany RO. </w:t>
      </w:r>
    </w:p>
    <w:p w14:paraId="6B118C20" w14:textId="77777777" w:rsidR="00B650E5" w:rsidRDefault="00B650E5">
      <w:pPr>
        <w:numPr>
          <w:ilvl w:val="0"/>
          <w:numId w:val="249"/>
        </w:numPr>
        <w:spacing w:before="120" w:after="120"/>
        <w:ind w:left="426" w:hanging="426"/>
        <w:jc w:val="both"/>
      </w:pPr>
      <w:r>
        <w:t xml:space="preserve">V takomto prípade RO definuje podmienku poskytnutia príspevku výlučne na VO, ktorých hodnota v zmysle výsledku VO predstavuje minimálne 30 % z celkovej požadovanej hodnoty NFP. Pri VO, ktoré nebudú dosahovať túto hodnotu, nie je žiadateľ povinný mať vykonané VO už v čase predkladania projektu a pri týchto VO bude vykonaná kontrola až po podpise zmluvy o NFP alebo vydaní rozhodnutia o schválení v prípade totožnosti RO a prijímateľa. </w:t>
      </w:r>
    </w:p>
    <w:p w14:paraId="1B3988E2" w14:textId="77777777" w:rsidR="00B650E5" w:rsidRDefault="00B650E5">
      <w:pPr>
        <w:numPr>
          <w:ilvl w:val="0"/>
          <w:numId w:val="249"/>
        </w:numPr>
        <w:spacing w:before="120" w:after="120"/>
        <w:ind w:left="426" w:hanging="426"/>
        <w:jc w:val="both"/>
      </w:pPr>
      <w:r>
        <w:t>O všetkých povinnostiach žiadateľa</w:t>
      </w:r>
      <w:r w:rsidR="006F3B93">
        <w:t xml:space="preserve">, </w:t>
      </w:r>
      <w:r>
        <w:t xml:space="preserve"> ako aj o ďalších postupoch uvedených v tejto časti je RO povinný informovať vo výzve, pričom je nutné jasné zadefinovanie podmienok poskytnutia príspevku.  </w:t>
      </w:r>
    </w:p>
    <w:p w14:paraId="09451741" w14:textId="4FACA139" w:rsidR="00B650E5" w:rsidRDefault="00B650E5">
      <w:pPr>
        <w:numPr>
          <w:ilvl w:val="0"/>
          <w:numId w:val="249"/>
        </w:numPr>
        <w:spacing w:before="120" w:after="120"/>
        <w:ind w:left="426" w:hanging="426"/>
        <w:jc w:val="both"/>
      </w:pPr>
      <w:bookmarkStart w:id="385" w:name="kapitola_33728_ods_4"/>
      <w:r>
        <w:t>RO kontroluje postupy VO na základe dokumentácie predloženej žiadateľom, ktorý predkladá dokumentáciu z VO v plnom rozsahu. Dokumentáciu žiadateľ predkladá písomne</w:t>
      </w:r>
      <w:r w:rsidR="000F104E">
        <w:t xml:space="preserve"> alebo </w:t>
      </w:r>
      <w:r w:rsidR="000F104E">
        <w:lastRenderedPageBreak/>
        <w:t>v elektronickej podobe</w:t>
      </w:r>
      <w:r>
        <w:t xml:space="preserve">, pričom časť dokumentácie môže predložiť aj cez ITMS 2014+. </w:t>
      </w:r>
      <w:r w:rsidR="000F104E">
        <w:t xml:space="preserve">Určenie dokumentácie, ktorá má byť predložená elektronicky a dokumentácie, ktorá má byť predložená písomne, môže byť predmetom úpravy v príručkách pre žiadateľa, ktoré vydáva príslušný RO. </w:t>
      </w:r>
      <w:r>
        <w:t>Minimálny rozsah dokumentácie, ktorú žiadateľ môže predložiť cez ITMS 2014+ je definovaný rozsahom dokumentácie zverejňovanej v profile podľa § 64 ZVO v závislosti od hodnoty a typu zákazky (pozn. uvedená povinnosť platí pre všetkých žiadateľov</w:t>
      </w:r>
      <w:r w:rsidR="00D5024A">
        <w:t xml:space="preserve"> a nevzťahuje sa na informácie podľa § 64 ods. 1 písm. d) </w:t>
      </w:r>
      <w:r w:rsidR="00887348">
        <w:t xml:space="preserve">a písm. e) </w:t>
      </w:r>
      <w:r w:rsidR="00D5024A">
        <w:t>ZVO</w:t>
      </w:r>
      <w:r>
        <w:t xml:space="preserve">). </w:t>
      </w:r>
      <w:r w:rsidR="00D5024A">
        <w:t xml:space="preserve">V prípade ponúk jednotlivých uchádzačov, predkladá žiadateľ cez ITMS 2014+ iba ponuku úspešného uchádzača. </w:t>
      </w:r>
      <w:r>
        <w:t>RO je vo výzve alebo záväzných podmienkach oprávnený určiť povinnosť predkladania dokumentácie cez ITMS 2014+ aj inej ako je definované v predošlej vete, pričom stanovenie tejto povinnosti závisí najmä od povahy konkrétneho dokumentu, od skutočnosti, či je jeho elektronická podoba využívaná alebo zverejňovaná aj v iných informačných systémoch, alebo či je elektronicky dostupná aj bez neprimeraných administratívnych a technických nárokov na kapacity žiadateľa. Vo svojom podaní je žiadateľ povinný uviesť, ktorú dokumentáciu predkladá v písomnej podobe, ktorú v elektronickej podobe (napr. na CD/DVD) a ktorú predkladá cez ITMS 2014+. Pre potreby overenia splnenia podmienok poskytnutia príspevku týkajúcej sa VO žiadateľ predkladá na RO kópiu originálnej dokumentácie (aj dokumentácia predložená elektronicky, resp. cez ITMS 2014+ sa pre potreby finančnej kontroly VO považuje za kópiu originálnej dokumentácie). Súčasne s dokumentáciou predkladá na RO žiadateľ aj čestné vyhlásenie, v rámci ktorého jasne identifikuje projekt a predkladané VO. Súčasťou tohto dokumentu je súpis všetkej predkladanej dokumentácie a vyhlásenie, že dokumentácia predložená na 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w:t>
      </w:r>
      <w:r w:rsidR="001541DD">
        <w:t xml:space="preserve"> </w:t>
      </w:r>
      <w:r w:rsidR="00D5024A">
        <w:t xml:space="preserve">Čestné vyhlásenie sa rovnako vzťahuje na dokumentáciu predloženú elektronicky v rámci ITMS 2014+ a uvedené pravidlá sa rovnako vzťahujú aj na dopĺňanie dokumentácie. </w:t>
      </w:r>
      <w:r w:rsidR="001541DD">
        <w:t xml:space="preserve">RO kontrolu </w:t>
      </w:r>
      <w:r w:rsidR="00F80690">
        <w:t xml:space="preserve">pravidiel a </w:t>
      </w:r>
      <w:r w:rsidR="001541DD">
        <w:t>postupov VO</w:t>
      </w:r>
      <w:r w:rsidR="00F80690">
        <w:t>,</w:t>
      </w:r>
      <w:r w:rsidR="001541DD">
        <w:t xml:space="preserve"> ako aj výsledky kontroly bezodkladne eviduje v</w:t>
      </w:r>
      <w:r w:rsidR="0023261D">
        <w:t> </w:t>
      </w:r>
      <w:r w:rsidR="001541DD">
        <w:t>ITMS</w:t>
      </w:r>
      <w:r w:rsidR="0023261D">
        <w:t xml:space="preserve"> </w:t>
      </w:r>
      <w:r w:rsidR="001541DD">
        <w:t>2014+.</w:t>
      </w:r>
      <w:r>
        <w:t xml:space="preserve"> </w:t>
      </w:r>
    </w:p>
    <w:bookmarkEnd w:id="385"/>
    <w:p w14:paraId="3A99C13A" w14:textId="77777777" w:rsidR="00B650E5" w:rsidRDefault="00B650E5">
      <w:pPr>
        <w:numPr>
          <w:ilvl w:val="0"/>
          <w:numId w:val="249"/>
        </w:numPr>
        <w:spacing w:before="120" w:after="120"/>
        <w:ind w:left="426" w:hanging="426"/>
        <w:jc w:val="both"/>
      </w:pPr>
      <w:r>
        <w:t>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14:paraId="379692C8" w14:textId="77777777" w:rsidR="00B650E5" w:rsidRDefault="00B650E5">
      <w:pPr>
        <w:numPr>
          <w:ilvl w:val="0"/>
          <w:numId w:val="249"/>
        </w:numPr>
        <w:spacing w:before="120" w:after="120"/>
        <w:ind w:left="426" w:hanging="426"/>
        <w:jc w:val="both"/>
      </w:pPr>
      <w:r>
        <w:t>Žiadateľ predkladá v rámci konania o ŽoNFP VO vo fáze po podpise zmluvy s úspešným uchádzačom po nadobudnutí  platnosti a účinnosti tejto zmluvy, vrátane všetkých dodatkov k tejto zmluve</w:t>
      </w:r>
      <w:r w:rsidR="007324D5">
        <w:t>,</w:t>
      </w:r>
      <w:r>
        <w:t xml:space="preserve"> a to ako súčasť povinných príloh ŽoNFP.</w:t>
      </w:r>
    </w:p>
    <w:p w14:paraId="2689CBCA" w14:textId="77777777" w:rsidR="00B650E5" w:rsidRDefault="00B650E5">
      <w:pPr>
        <w:numPr>
          <w:ilvl w:val="0"/>
          <w:numId w:val="249"/>
        </w:numPr>
        <w:spacing w:before="120" w:after="120"/>
        <w:ind w:left="426" w:hanging="426"/>
        <w:jc w:val="both"/>
      </w:pPr>
      <w:r>
        <w:t xml:space="preserve">Pri overovaní podmienky poskytnutia príspevku v rámci konania o ŽoNFP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0F5BC2A7" w14:textId="77777777" w:rsidR="00B650E5" w:rsidRPr="00305CCD" w:rsidRDefault="00B650E5">
      <w:pPr>
        <w:numPr>
          <w:ilvl w:val="0"/>
          <w:numId w:val="249"/>
        </w:numPr>
        <w:spacing w:before="120" w:after="120"/>
        <w:ind w:left="426" w:hanging="426"/>
        <w:jc w:val="both"/>
      </w:pPr>
      <w:r>
        <w:t>Overenie podmienky poskytnutia príspevku týkajúcej sa VO musí byť zabezpečené v lehote na ukončenie schvaľovacieho procesu ŽoNFP. V prípade, že RO požaduje od žiadateľa doplnenie alebo vysvetlenie k dokumentácii VO, lehotu na toto doplnenie alebo vysvetlenie určí RO v </w:t>
      </w:r>
      <w:r w:rsidRPr="00530C13">
        <w:t>súlade s lehotami určenými na doplnenie ostatných náležitostí ŽoNFP.</w:t>
      </w:r>
    </w:p>
    <w:p w14:paraId="4E4731F8" w14:textId="77777777" w:rsidR="00B650E5" w:rsidRDefault="00B650E5">
      <w:pPr>
        <w:numPr>
          <w:ilvl w:val="0"/>
          <w:numId w:val="249"/>
        </w:numPr>
        <w:spacing w:before="120" w:after="120"/>
        <w:ind w:left="426" w:hanging="426"/>
        <w:jc w:val="both"/>
      </w:pPr>
      <w:r w:rsidRPr="00530C13">
        <w:t xml:space="preserve">Závery kontroly zaznamená RO do kontrolného zoznamu. Súčasne závery kontroly prenesie do výsledku posúdenia ŽoNFP, resp. národného projektu. Výstupom kontroly VO nie je v tomto prípade správa z kontroly, ale rozhodnutie o schválení alebo neschválení ŽoNFP, resp. národného projektu. RO nie je povinný opätovne vykonávať kontrolu VO po podpise zmluvy o NFP.  Kontrolu oprávnenosti výdavku z pohľadu jeho súladu s pravidlami, princípmi a postupmi VO  vykoná RO vo fáze kontroly príslušnej ŽoP, kde RO overí skutočnosť vykonania uvedenej </w:t>
      </w:r>
      <w:r w:rsidRPr="00530C13">
        <w:lastRenderedPageBreak/>
        <w:t>kontroly a správnosť aplikovania jej záverov. Uvedené však nevylučuje možnosť opätovného vykonania kontroly</w:t>
      </w:r>
      <w:r>
        <w:t xml:space="preserve"> VO, napr. na základe podnetu kontrolných orgánov alebo z vlastného podnetu RO. Dodatky k zmluve s úspešným uchádzačom, ktoré neboli predmetom kontroly v rámci schvaľovacieho procesu žiadosti o NFP, resp. národného projektu podliehajú kontrole v zmysle postupov uvedených v </w:t>
      </w:r>
      <w:r w:rsidRPr="000E286B">
        <w:t>kapitole 3.3.7.2.1</w:t>
      </w:r>
      <w:r>
        <w:t xml:space="preserve">0. </w:t>
      </w:r>
    </w:p>
    <w:p w14:paraId="1C54E4DE" w14:textId="2CB1E359" w:rsidR="00B650E5" w:rsidRDefault="00B650E5">
      <w:pPr>
        <w:numPr>
          <w:ilvl w:val="0"/>
          <w:numId w:val="249"/>
        </w:numPr>
        <w:spacing w:before="120" w:after="120"/>
        <w:ind w:left="426" w:hanging="426"/>
        <w:jc w:val="both"/>
      </w:pPr>
      <w:r>
        <w:t xml:space="preserve">Ak RO pri kontrole VO nezistí porušenie </w:t>
      </w:r>
      <w:r w:rsidR="00F8333A">
        <w:t>pravidiel</w:t>
      </w:r>
      <w:r>
        <w:t xml:space="preserve"> a postupov VO, ktoré mali alebo mohli mať vplyv na výsledok VO a ani iné porušenie ovplyvňujúce oprávnenosť príslušných výdavkov (napr. na základe zistení vecnej kontroly VO), záverom je konštatovanie splnenia podmienky poskytnutia príspevku týkajúcej sa VO ako  jednej z podmienok poskytnutia príspevku stanovených vo výzve.</w:t>
      </w:r>
    </w:p>
    <w:p w14:paraId="7FDCD018" w14:textId="0B97111D" w:rsidR="00B650E5" w:rsidRDefault="00B650E5">
      <w:pPr>
        <w:numPr>
          <w:ilvl w:val="0"/>
          <w:numId w:val="249"/>
        </w:numPr>
        <w:spacing w:before="120" w:after="120"/>
        <w:ind w:left="426" w:hanging="426"/>
        <w:jc w:val="both"/>
      </w:pPr>
      <w:r>
        <w:t xml:space="preserve"> Ak  RO zistí porušenie </w:t>
      </w:r>
      <w:r w:rsidR="00F8333A">
        <w:t>pravidiel</w:t>
      </w:r>
      <w:r>
        <w:t xml:space="preserve"> a postupov VO, pričom rozsah a závažnosť týchto zistení je taký, že mali alebo mohli mať vplyv na výsledok VO, RO </w:t>
      </w:r>
      <w:r w:rsidR="005F09D3">
        <w:t xml:space="preserve">je oprávnený </w:t>
      </w:r>
      <w:r>
        <w:t xml:space="preserve">danú skutočnosť </w:t>
      </w:r>
      <w:r w:rsidR="005F09D3">
        <w:t xml:space="preserve">vyhodnotiť </w:t>
      </w:r>
      <w:r>
        <w:t>ako nesplnenie podmienky poskytnutia príspevku a rozhodn</w:t>
      </w:r>
      <w:r w:rsidR="005F09D3">
        <w:t>úť</w:t>
      </w:r>
      <w:r>
        <w:t xml:space="preserve"> o neschválení ŽoNFP</w:t>
      </w:r>
      <w:r w:rsidR="005F09D3">
        <w:t xml:space="preserve"> alebo uplatniť </w:t>
      </w:r>
      <w:r w:rsidR="00FB1D18">
        <w:t>ex ante</w:t>
      </w:r>
      <w:r w:rsidR="005F09D3">
        <w:t xml:space="preserve"> finančnú opravu, ktorá bude zohľadnená pri vydaní rozhodnutia o schválení žiadosti o NFP</w:t>
      </w:r>
      <w:r>
        <w:t xml:space="preserve">. </w:t>
      </w:r>
      <w:r w:rsidR="005F09D3">
        <w:t xml:space="preserve">Postup podľa predchádzajúcej vety uplatní </w:t>
      </w:r>
      <w:r>
        <w:t>RO aj v prípade, že nedostatky vo verejnom obstarávaní, ktoré mali alebo mohli mať vplyv na výsledok verejného obstarávania identifikoval ÚVO v rozhodnutí podľa</w:t>
      </w:r>
      <w:r w:rsidR="005F09D3">
        <w:t xml:space="preserve"> </w:t>
      </w:r>
      <w:r>
        <w:t xml:space="preserve">§ 175 ods. 4 ZVO alebo boli identifikované v rozhodnutí Rady ÚVO. RO </w:t>
      </w:r>
      <w:r w:rsidR="005F09D3">
        <w:t xml:space="preserve">je povinný </w:t>
      </w:r>
      <w:r>
        <w:t>konštat</w:t>
      </w:r>
      <w:r w:rsidR="005F09D3">
        <w:t>ovať nesplnenie podmienky poskytnutia príspevku a rozhodnúť o neschválení žiadosti o NFP</w:t>
      </w:r>
      <w:r>
        <w:t xml:space="preserve"> v prípade, že zistenia nedostatkov v rámci kontroly vecného súladu predmetu obstarávania sú takého závažného charakteru, že pre riadnu realizáciu posudzovaného projektu nebude môcť žiadateľ využiť výsledok kontrolovaného VO. Uvedený rozsah a dôsledky musia byť jasne zadefinované v relevantnej podmienke poskytnutia príspevku stanovenej vo výzve. Ak predmetom kontroly VO v rámci jedného projektu je viacej VO, identifikovanie nedostatkov v zmysle tohto odseku čo len pri jednom z týchto VO, znamená nesplnenie podmienky poskytnutia príspevku a neschválenie ŽoNFP.</w:t>
      </w:r>
    </w:p>
    <w:p w14:paraId="55281271" w14:textId="77777777" w:rsidR="00B650E5" w:rsidRDefault="00B650E5">
      <w:pPr>
        <w:pStyle w:val="SRK5"/>
        <w:jc w:val="both"/>
      </w:pPr>
      <w:bookmarkStart w:id="386" w:name="_Toc386529572"/>
      <w:bookmarkStart w:id="387" w:name="_Toc390248463"/>
      <w:bookmarkStart w:id="388" w:name="_Toc453234041"/>
      <w:bookmarkStart w:id="389" w:name="_Toc495649398"/>
      <w:r>
        <w:t>3.3.7.2.8. Kontrola verejného obstarávania</w:t>
      </w:r>
      <w:bookmarkEnd w:id="386"/>
      <w:r>
        <w:t xml:space="preserve"> národných projektov, veľkých projektov, ktoré sú súčasťou zoznamu projektov </w:t>
      </w:r>
      <w:bookmarkEnd w:id="387"/>
      <w:bookmarkEnd w:id="388"/>
      <w:r>
        <w:t>a kontrola projektov technickej pomoci, pred podpisom zmluvy o NFP</w:t>
      </w:r>
      <w:bookmarkEnd w:id="389"/>
      <w:r>
        <w:t xml:space="preserve"> </w:t>
      </w:r>
    </w:p>
    <w:p w14:paraId="7D585E47" w14:textId="4A8B9E9A" w:rsidR="00B650E5" w:rsidRDefault="00B650E5">
      <w:pPr>
        <w:numPr>
          <w:ilvl w:val="0"/>
          <w:numId w:val="250"/>
        </w:numPr>
        <w:spacing w:before="120" w:after="120"/>
        <w:ind w:left="426" w:hanging="426"/>
        <w:jc w:val="both"/>
      </w:pPr>
      <w:r>
        <w:t xml:space="preserve">RO môže vykonávať kontrolu VO v rámci národných, veľkých projektov, ktoré sú súčasťou zoznamu projektov a v rámci projektov technickej pomoci, a to vo fáze pred podpisom zmluvy o NFP podľa § 7 zákona o finančnej kontrole (na účely tejto kapitoly ďalej len „individuálne projekty“). Kontrolu individuálnych projektov môže RO vykonávať na základe informácií uvedených v usmernení RO k príprave individuálneho projektu v súlade s § 27 ods. 2, § 28 ods. 3 a § 29 ods. 4 zákona o príspevku z EŠIF. V usmernení RO definuje rozsah tejto spolupráce, vzájomné práva a povinnosti, lehoty a výstupy z tejto kontroly, ako aj iné podstatné náležitosti. Rozsah tejto spolupráce nie je určený, </w:t>
      </w:r>
      <w:r w:rsidR="00C93F30">
        <w:t xml:space="preserve">t. j. </w:t>
      </w:r>
      <w:r>
        <w:t xml:space="preserve"> RO môže aplikovať túto kontrolu nezávisle od hodnoty zákazky, postupu VO alebo fázy realizácie VO. </w:t>
      </w:r>
    </w:p>
    <w:p w14:paraId="4225B2D8" w14:textId="77777777" w:rsidR="00B650E5" w:rsidRDefault="00B650E5">
      <w:pPr>
        <w:numPr>
          <w:ilvl w:val="0"/>
          <w:numId w:val="250"/>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3B4AD56C" w14:textId="77777777" w:rsidR="00B650E5" w:rsidRDefault="00B650E5">
      <w:pPr>
        <w:numPr>
          <w:ilvl w:val="0"/>
          <w:numId w:val="250"/>
        </w:numPr>
        <w:spacing w:before="120" w:after="120"/>
        <w:ind w:left="426" w:hanging="426"/>
        <w:jc w:val="both"/>
      </w:pPr>
      <w:r>
        <w:t xml:space="preserve">Finančná kontrola VO v rámci  individuálnych projektov je uvedená ako možnosť a v prípade, že sa RO rozhodne ju aplikovať, vykonáva ju ako prvú </w:t>
      </w:r>
      <w:r w:rsidR="00FB1D18">
        <w:t>ex ante</w:t>
      </w:r>
      <w:r>
        <w:t xml:space="preserve"> kontrolu, druhú </w:t>
      </w:r>
      <w:r w:rsidR="00FB1D18">
        <w:t>ex ante</w:t>
      </w:r>
      <w:r>
        <w:t xml:space="preserve"> kontrolu a následnú </w:t>
      </w:r>
      <w:r w:rsidR="00FB1D18">
        <w:t>ex post</w:t>
      </w:r>
      <w:r>
        <w:t xml:space="preserve"> kontrolu, ak sa jedná o nadlimitnú zákazku, prípadne ako štandardnú </w:t>
      </w:r>
      <w:r w:rsidR="00FB1D18">
        <w:t>ex post</w:t>
      </w:r>
      <w:r>
        <w:t xml:space="preserve"> kontrolu, ak sa jedná o podlimitnú zákazku alebo zákazku s nízkou hodnotou. Na postupy tejto kontroly sa aplikujú primerane príslušné odseky </w:t>
      </w:r>
      <w:hyperlink w:anchor="kapitola_337" w:tooltip="kapitoly 3.3.7" w:history="1">
        <w:r>
          <w:rPr>
            <w:rStyle w:val="Hypertextovprepojenie"/>
          </w:rPr>
          <w:t>kapitoly 3.3.7</w:t>
        </w:r>
      </w:hyperlink>
      <w:r>
        <w:t>. V prípade, že sa jedná o bežne dostupné tovary, služby alebo stavebné práce, na kontrolu sa primerane aplikujú odseky kapitoly 3.3.7.2.9.</w:t>
      </w:r>
    </w:p>
    <w:p w14:paraId="40EA589E" w14:textId="5477A9F9" w:rsidR="002B2727" w:rsidRPr="002B2727" w:rsidRDefault="00B650E5" w:rsidP="002B2727">
      <w:pPr>
        <w:numPr>
          <w:ilvl w:val="0"/>
          <w:numId w:val="250"/>
        </w:numPr>
        <w:ind w:left="426"/>
        <w:contextualSpacing/>
        <w:jc w:val="both"/>
      </w:pPr>
      <w:r w:rsidRPr="00437BEE">
        <w:t xml:space="preserve">Závery uvedené v správe z kontroly </w:t>
      </w:r>
      <w:r>
        <w:t>(ne</w:t>
      </w:r>
      <w:r w:rsidR="006B1073">
        <w:t>j</w:t>
      </w:r>
      <w:r w:rsidR="008B7D1F">
        <w:t>de</w:t>
      </w:r>
      <w:r>
        <w:t xml:space="preserve"> o správu z kontrolu, ktorú RO vypracúva pri administratívnej finančnej kontrole) </w:t>
      </w:r>
      <w:r w:rsidRPr="00437BEE">
        <w:t xml:space="preserve">sú platné aj po schválení individuálneho projektu a RO už </w:t>
      </w:r>
      <w:r w:rsidRPr="00437BEE">
        <w:lastRenderedPageBreak/>
        <w:t>následne nemusí vykonávať opätovnú kontrolu daného VO po podpise zmluvy o</w:t>
      </w:r>
      <w:r>
        <w:t> </w:t>
      </w:r>
      <w:r w:rsidRPr="00437BEE">
        <w:t>NFP</w:t>
      </w:r>
      <w:r>
        <w:t xml:space="preserve"> </w:t>
      </w:r>
      <w:r w:rsidRPr="004E6C7F">
        <w:t>v prípade, že nepredpokladá, že by opätovne vykonanou kontrolou dospel k iným záverom a ak by výkonom administratívnej finančnej kontroly overil v súvislosti s VO rovnaké skutočnosti, ktoré boli predmetom vykonanej základnej finančnej kontroly</w:t>
      </w:r>
      <w:r w:rsidRPr="00437BEE">
        <w:t xml:space="preserve">. Kontrolu vecného súladu predmetu obstarávania, návrhu zmluvných podmienok a iných údajov so schválenou ŽoNFP a účinnou zmluvou o NFP vykoná RO najneskôr vo fáze kontroly príslušnej ŽoP.  </w:t>
      </w:r>
      <w:r>
        <w:t xml:space="preserve">V prípade, že je vecná kontrola súčasťou kontroly verejného obstarávania, RO vo fáze pred podpisom zmluvy o NFP vykoná kontrolu súladu </w:t>
      </w:r>
      <w:r w:rsidRPr="007A1E8B">
        <w:t xml:space="preserve">predmetu obstarávania, návrhu zmluvných podmienok a iných údajov s opisom projektu. </w:t>
      </w:r>
      <w:r w:rsidRPr="00437BEE">
        <w:t>Dodatky k zmluve s úspešným uchádzačom, ktoré neboli predmetom kontroly  podliehajú kontrole VO v plnom rozsahu.</w:t>
      </w:r>
      <w:r>
        <w:t xml:space="preserve"> </w:t>
      </w:r>
      <w:r w:rsidRPr="00437BEE">
        <w:t xml:space="preserve">Ak kontrola RO zistí porušenie </w:t>
      </w:r>
      <w:r w:rsidR="00F8333A">
        <w:t>pravidiel</w:t>
      </w:r>
      <w:r w:rsidRPr="00437BEE">
        <w:t xml:space="preserve"> a postupov VO, pričom rozsah a závažnosť týchto zistení je taký, že mali alebo mohli mať vplyv na výsledok VO</w:t>
      </w:r>
      <w:r>
        <w:t xml:space="preserve">, RO v záveroch kontroly uvedie, že výdavky z predmetného VO nebudú pripustené do financovania v plnom rozsahu alebo určí zodpovedajúcu výšku </w:t>
      </w:r>
      <w:r w:rsidR="00FB1D18">
        <w:t>ex ante</w:t>
      </w:r>
      <w:r>
        <w:t xml:space="preserve"> finančnej opravy.</w:t>
      </w:r>
      <w:r w:rsidR="00977C0B">
        <w:t xml:space="preserve"> Ak bola kontrola vykonaná ako druhá </w:t>
      </w:r>
      <w:r w:rsidR="00FB1D18">
        <w:t>ex ante</w:t>
      </w:r>
      <w:r w:rsidR="00977C0B">
        <w:t xml:space="preserve"> kontrola, je možné uplatniť </w:t>
      </w:r>
      <w:r w:rsidR="00FB1D18">
        <w:t>ex ante</w:t>
      </w:r>
      <w:r w:rsidR="00977C0B">
        <w:t xml:space="preserve"> finančnú opravu</w:t>
      </w:r>
      <w:r>
        <w:t xml:space="preserve">                  </w:t>
      </w:r>
      <w:r w:rsidR="002B2727" w:rsidRPr="002B2727">
        <w:t>pred podpisom zmluvy s úspešným uchádzačom iba v prípade, ak by opakovaním procesu VO vznikli vysoké dodatočné náklady.</w:t>
      </w:r>
    </w:p>
    <w:p w14:paraId="79566AB4" w14:textId="77777777" w:rsidR="002B2727" w:rsidRDefault="002B2727" w:rsidP="00997CB0">
      <w:pPr>
        <w:ind w:left="426"/>
        <w:contextualSpacing/>
        <w:jc w:val="both"/>
      </w:pPr>
    </w:p>
    <w:p w14:paraId="03487C45" w14:textId="0DC0A195" w:rsidR="00B650E5" w:rsidRDefault="00B650E5" w:rsidP="000E286B">
      <w:pPr>
        <w:numPr>
          <w:ilvl w:val="0"/>
          <w:numId w:val="250"/>
        </w:numPr>
        <w:ind w:left="426"/>
        <w:contextualSpacing/>
        <w:jc w:val="both"/>
      </w:pPr>
      <w:r w:rsidRPr="00437BEE">
        <w:t xml:space="preserve"> ÚVO rozhodnutím nariadi zrušiť použitý postup zadávania zákazky, </w:t>
      </w:r>
      <w:r>
        <w:t>RO v záveroch kontroly uvedie, že výdavky z predmetného VO nebudú pripustené do financovania v plnom rozsahu, resp. určí nápravný mechanizmus, ktorý bude povinný budúci žiadateľ vykonať v rámci prípravy individuálneho projektu pred jeho predložením. Presný postup budúceho žiadateľa RO určí v usmernení RO k príprave individuálneho projektu.</w:t>
      </w:r>
    </w:p>
    <w:p w14:paraId="0ED426BB" w14:textId="77777777" w:rsidR="00B650E5" w:rsidRDefault="00B650E5">
      <w:pPr>
        <w:pStyle w:val="SRK5"/>
        <w:jc w:val="both"/>
      </w:pPr>
      <w:bookmarkStart w:id="390" w:name="_Toc453234042"/>
      <w:bookmarkStart w:id="391" w:name="_Toc495649399"/>
      <w:bookmarkStart w:id="392" w:name="kapitola_337210"/>
      <w:bookmarkStart w:id="393" w:name="kapitola_33729"/>
      <w:bookmarkStart w:id="394" w:name="_Toc390248464"/>
      <w:r>
        <w:t>3.3.7.2.9. Kontrola verejného obstarávania realizovaného cez elektronické trhovisko</w:t>
      </w:r>
      <w:bookmarkEnd w:id="390"/>
      <w:bookmarkEnd w:id="391"/>
    </w:p>
    <w:bookmarkEnd w:id="392"/>
    <w:bookmarkEnd w:id="393"/>
    <w:p w14:paraId="231D4E66" w14:textId="4B0409E4" w:rsidR="00B650E5" w:rsidRDefault="00B650E5" w:rsidP="00997CB0">
      <w:pPr>
        <w:pStyle w:val="Odsekzoznamu"/>
        <w:numPr>
          <w:ilvl w:val="3"/>
          <w:numId w:val="32"/>
        </w:numPr>
        <w:spacing w:before="120" w:after="120"/>
        <w:ind w:left="426" w:hanging="426"/>
        <w:contextualSpacing w:val="0"/>
        <w:jc w:val="both"/>
      </w:pPr>
      <w:r>
        <w:t>Elektronické trhovisko je informačný systém verejnej správy, ktorý slúži na zabezpečenie ponuky a nákupu tovarov, stavebných prác alebo služieb bežne dostupných na trhu, ako aj na zabezpečenie s tým súvisiacich činností. Správcom elektronického trhoviska je Ministerstvo vnútra SR.</w:t>
      </w:r>
      <w:r w:rsidR="00E62229">
        <w:t xml:space="preserve"> </w:t>
      </w:r>
      <w:r>
        <w:t xml:space="preserve">Prijímatelia, ktorí spĺňajú podmienky uvedené v § 108 ods. 1 písm. a) ZVO a predpokladaná hodnota zákazky je rovnaká alebo vyššia ako 15 000 EUR, </w:t>
      </w:r>
      <w:r w:rsidR="00E62229">
        <w:t>môžu</w:t>
      </w:r>
      <w:r>
        <w:t xml:space="preserve"> postupovať podľa § 109 až 112 ZVO, ak ide o dodanie tovaru, uskutočnenie stavebných prác alebo poskytnutie služby bežne dostupných na trhu, </w:t>
      </w:r>
      <w:r w:rsidR="00C93F30">
        <w:t xml:space="preserve">t. j. </w:t>
      </w:r>
      <w:r>
        <w:t xml:space="preserve"> realizovať obstarávanie prostredníctvom elektronického trhoviska. </w:t>
      </w:r>
      <w:r w:rsidRPr="00D97958">
        <w:t xml:space="preserve">Prijímatelia môžu v zmysle § </w:t>
      </w:r>
      <w:r>
        <w:t>66</w:t>
      </w:r>
      <w:r w:rsidRPr="00D97958">
        <w:t xml:space="preserve"> ods. </w:t>
      </w:r>
      <w:r>
        <w:t>8</w:t>
      </w:r>
      <w:r w:rsidRPr="00D97958">
        <w:t xml:space="preserve"> realizovať cez elektronické trhovisko aj nadlimitnú verejnú súťaž na nákup tovarov a</w:t>
      </w:r>
      <w:r>
        <w:t> </w:t>
      </w:r>
      <w:r w:rsidRPr="00D97958">
        <w:t>služieb</w:t>
      </w:r>
      <w:r>
        <w:t>,</w:t>
      </w:r>
      <w:r w:rsidRPr="00655AA4">
        <w:t xml:space="preserve"> ktoré nie sú intelektuálnej povahy</w:t>
      </w:r>
      <w:r>
        <w:t>,</w:t>
      </w:r>
      <w:r w:rsidRPr="00D97958">
        <w:t xml:space="preserve"> bežne dostupných na trhu.</w:t>
      </w:r>
      <w:r w:rsidRPr="003943FB">
        <w:t xml:space="preserve"> V prípade nadlimitnej verejnej súťaže s využitím elektronického trhoviska je predmetom kontroly aj oznámenie</w:t>
      </w:r>
      <w:r>
        <w:t xml:space="preserve"> </w:t>
      </w:r>
      <w:r w:rsidRPr="003943FB">
        <w:t>o vyhlásení verejného obstarávania a súťažné podklady, ktoré boli automatizovaným spôsobom vytvorené z údajov zo zverejnenej ponuky na elektronickom trhovisku a</w:t>
      </w:r>
      <w:r>
        <w:t> </w:t>
      </w:r>
      <w:r w:rsidRPr="003943FB">
        <w:t>informácií</w:t>
      </w:r>
      <w:r>
        <w:t xml:space="preserve"> </w:t>
      </w:r>
      <w:r w:rsidRPr="003943FB">
        <w:t>od prijímateľa.</w:t>
      </w:r>
    </w:p>
    <w:p w14:paraId="36556869" w14:textId="77777777" w:rsidR="00B650E5" w:rsidRDefault="00B650E5" w:rsidP="003120E4">
      <w:pPr>
        <w:pStyle w:val="Odsekzoznamu"/>
        <w:numPr>
          <w:ilvl w:val="3"/>
          <w:numId w:val="32"/>
        </w:numPr>
        <w:spacing w:before="120" w:after="120"/>
        <w:ind w:left="426" w:hanging="426"/>
        <w:contextualSpacing w:val="0"/>
        <w:jc w:val="both"/>
      </w:pPr>
      <w:r>
        <w:t>RO využíva na overenie predložených dokumentov a tiež pri dopĺňaní ďalších potrebných informácií, priamo príslušný informačný systém elektronického trhoviska</w:t>
      </w:r>
      <w:r w:rsidR="007324D5">
        <w:t>,</w:t>
      </w:r>
      <w:r>
        <w:t xml:space="preserve"> a to v rozsahu verejne dostupnom.  </w:t>
      </w:r>
    </w:p>
    <w:p w14:paraId="05935752" w14:textId="74FC50C8" w:rsidR="00B650E5" w:rsidRDefault="00B650E5" w:rsidP="003120E4">
      <w:pPr>
        <w:pStyle w:val="Odsekzoznamu"/>
        <w:numPr>
          <w:ilvl w:val="3"/>
          <w:numId w:val="32"/>
        </w:numPr>
        <w:spacing w:before="120" w:after="120"/>
        <w:ind w:left="426" w:hanging="426"/>
        <w:contextualSpacing w:val="0"/>
        <w:jc w:val="both"/>
      </w:pPr>
      <w:bookmarkStart w:id="395" w:name="kapitola_337210_ods_4"/>
      <w:r>
        <w:t xml:space="preserve">Pri výkone prvej </w:t>
      </w:r>
      <w:r w:rsidR="00FB1D18">
        <w:t>ex ante</w:t>
      </w:r>
      <w:r>
        <w:t xml:space="preserve"> kontroly postupuje RO podľa ustanovení </w:t>
      </w:r>
      <w:hyperlink w:anchor="kapitola_33721" w:tooltip="kapitoly 3.3.7.2.1" w:history="1">
        <w:r>
          <w:rPr>
            <w:rStyle w:val="Hypertextovprepojenie"/>
          </w:rPr>
          <w:t>kapitoly 3.3.7.2.1</w:t>
        </w:r>
      </w:hyperlink>
      <w:r>
        <w:t xml:space="preserve">, pokiaľ nie je v tejto kapitole uvedené inak. Predmetom kontroly RO je okrem dokumentácie preukazujúcej určenie predpokladanej hodnoty zákazky návrh zmluvného formuláru obsahujúceho štandardné zmluvné podmienky, opis predmetu zákazky, prípadné objednávkové atribúty (najmä konkrétne zmluvné špecifikácie a podmienky súťaže). V rámci opisu predmetu zákazky a prípadných objednávkových atribútov je RO povinný overiť, či uvedené návrhy nie sú v rozpore s princípmi VO (napr. či verejný obstarávateľ pri špecifikovaní predmetu zákazky neporušil princíp nediskriminácie a rovnakého zaobchádzania). Predmetom kontroly RO je aj skutočnosť, či nedovoleným rozdelením zákazky na viacero menších zákaziek realizovaných prostredníctvom </w:t>
      </w:r>
      <w:r>
        <w:lastRenderedPageBreak/>
        <w:t xml:space="preserve">elektronického trhoviska nebol porušený § 6 ods. 16 ZVO. Taktiež RO overuje, či sú vhodne zvolené vzorové zmluvné podmienky pre daný typ zákazky (napr. z aspektu spolufinancovania zákazky z fondov a ENRF). Zároveň však RO nie je oprávnený dávať prijímateľovi návrhy na úpravu vzorových zmluvných podmienok, </w:t>
      </w:r>
      <w:r w:rsidR="00C93F30">
        <w:t>keďže</w:t>
      </w:r>
      <w:r>
        <w:t xml:space="preserve"> tie sú nemennou súčasťou informačného systému elektronického trhoviska. </w:t>
      </w:r>
    </w:p>
    <w:p w14:paraId="008989BC" w14:textId="77777777" w:rsidR="00B650E5" w:rsidRDefault="00B650E5" w:rsidP="003120E4">
      <w:pPr>
        <w:pStyle w:val="Odsekzoznamu"/>
        <w:numPr>
          <w:ilvl w:val="3"/>
          <w:numId w:val="32"/>
        </w:numPr>
        <w:spacing w:before="120" w:after="120"/>
        <w:ind w:left="426" w:hanging="426"/>
        <w:contextualSpacing w:val="0"/>
        <w:jc w:val="both"/>
      </w:pPr>
      <w:r>
        <w:t xml:space="preserve">Pri výkone druhej </w:t>
      </w:r>
      <w:r w:rsidR="00FB1D18">
        <w:t>ex ante</w:t>
      </w:r>
      <w:r>
        <w:t xml:space="preserve"> kontroly nadlimitných zákaziek realizovaných cez elektronické trhovisko, postupuje RO primerane podľa ustanovení kapitoly 3.3.7.2.2, pričom podmienkou na uzavretie zmluvy je ukončenie finančnej kontroly VO zo strany príslušného RO.</w:t>
      </w:r>
    </w:p>
    <w:bookmarkEnd w:id="395"/>
    <w:p w14:paraId="37759377" w14:textId="2C03EED3" w:rsidR="00B650E5" w:rsidRPr="00AB2E95" w:rsidRDefault="00B650E5" w:rsidP="00C33709">
      <w:pPr>
        <w:pStyle w:val="Odsekzoznamu"/>
        <w:numPr>
          <w:ilvl w:val="3"/>
          <w:numId w:val="32"/>
        </w:numPr>
        <w:spacing w:before="120" w:after="120"/>
        <w:ind w:left="426" w:hanging="426"/>
        <w:contextualSpacing w:val="0"/>
        <w:jc w:val="both"/>
      </w:pPr>
      <w:r>
        <w:t xml:space="preserve">Pri výkone </w:t>
      </w:r>
      <w:r w:rsidR="00FB1D18">
        <w:t>ex post</w:t>
      </w:r>
      <w:r>
        <w:t xml:space="preserve"> kontroly postupuje RO podľa príslušných ustanovení </w:t>
      </w:r>
      <w:r w:rsidRPr="000E286B">
        <w:t>kapitoly 3.3.7.2.</w:t>
      </w:r>
      <w:r>
        <w:t>3 a 3.3.7.2.4, pokiaľ nie je v tejto kapitole uvedené inak. Dokumentáciu na kontrolu je prijímateľ povinný predložiť na RO vo fáze po vygenerovaní výslednej zmluvy príslušným elektronickým informačným systémom, po jej zverejnení v zmysle zákona o  slobode informácií a pred nadobudnutím účinnosti zmluvy s dodávateľom (pokiaľ sa jedná o povinnú osobu podľa zákona o  slobode informácií). Sprievodnú dokumentáciu tvorí okrem dokumentácie uvedenej v </w:t>
      </w:r>
      <w:r w:rsidRPr="00997CB0">
        <w:t xml:space="preserve">ods. </w:t>
      </w:r>
      <w:r w:rsidR="00473244">
        <w:t>3</w:t>
      </w:r>
      <w:r>
        <w:t xml:space="preserve"> (za podmienky, že nebola predmetom prvej </w:t>
      </w:r>
      <w:r w:rsidR="00FB1D18">
        <w:t>ex ante</w:t>
      </w:r>
      <w:r>
        <w:t xml:space="preserve"> kontroly), automaticky vygenerovaná zmluva, ktorá je výsledkom VO a tiež protokol, ktorý zachytávajúci celý priebeh procesu zadávania zákazy prostredníctvom elektronického trhoviska. </w:t>
      </w:r>
      <w:r w:rsidRPr="00AB2E95">
        <w:rPr>
          <w:color w:val="000000"/>
        </w:rPr>
        <w:t xml:space="preserve">Ak výsledok predmetnej finančnej kontroly nebude kladný, nie je splnená podmienka k nadobudnutiu účinnosti Zmluvy v súlade </w:t>
      </w:r>
      <w:r>
        <w:rPr>
          <w:color w:val="000000"/>
        </w:rPr>
        <w:t xml:space="preserve">              </w:t>
      </w:r>
      <w:r w:rsidRPr="00AB2E95">
        <w:rPr>
          <w:color w:val="000000"/>
        </w:rPr>
        <w:t>so všeobecnými zmluvnými podmienkami elektronického kontraktačného systému.</w:t>
      </w:r>
    </w:p>
    <w:p w14:paraId="34A70F7A" w14:textId="70FDC05A" w:rsidR="00B650E5" w:rsidRDefault="00B650E5" w:rsidP="000E286B">
      <w:pPr>
        <w:pStyle w:val="Odsekzoznamu"/>
        <w:numPr>
          <w:ilvl w:val="3"/>
          <w:numId w:val="32"/>
        </w:numPr>
        <w:spacing w:before="120" w:after="120"/>
        <w:ind w:left="426" w:hanging="426"/>
        <w:contextualSpacing w:val="0"/>
        <w:jc w:val="both"/>
      </w:pPr>
      <w:r>
        <w:t xml:space="preserve">V prípade, že pri </w:t>
      </w:r>
      <w:r w:rsidR="00FB1D18">
        <w:t>ex post</w:t>
      </w:r>
      <w:r>
        <w:t xml:space="preserve"> kontrole zo strany RO, ktorej súčasťou je vecná kontrola verejného obstarávania, bude zistené </w:t>
      </w:r>
      <w:r w:rsidRPr="006E4AC7">
        <w:t xml:space="preserve">porušenie, ktoré môže mať vplyv na oprávnenosť výdavkov, RO </w:t>
      </w:r>
      <w:r>
        <w:t xml:space="preserve">                 </w:t>
      </w:r>
      <w:r w:rsidRPr="006E4AC7">
        <w:t xml:space="preserve">v záveroch kontroly </w:t>
      </w:r>
      <w:r>
        <w:t xml:space="preserve">uvedie tieto zistenia. </w:t>
      </w:r>
      <w:r w:rsidR="006D0974">
        <w:t xml:space="preserve">V prípade zistení v rámci vecnej kontroly verejného obstarávania, ktoré </w:t>
      </w:r>
      <w:r w:rsidR="006D7E32">
        <w:t>môžu</w:t>
      </w:r>
      <w:r w:rsidR="006D0974" w:rsidRPr="006D0974">
        <w:t xml:space="preserve"> mať vplyv na oprávnenosť výdavkov</w:t>
      </w:r>
      <w:r w:rsidR="006D7E32">
        <w:t xml:space="preserve"> a nie je možné ich odstrániť</w:t>
      </w:r>
      <w:r w:rsidR="006D0974">
        <w:t xml:space="preserve">, RO v záveroch kontroly nepripustí výdavky súvisiace s VO do financovania v plnom rozsahu. </w:t>
      </w:r>
      <w:r>
        <w:t xml:space="preserve">V prípade zistení porušenia </w:t>
      </w:r>
      <w:r w:rsidR="00F8333A">
        <w:t>pravidiel</w:t>
      </w:r>
      <w:r>
        <w:t xml:space="preserve"> a postupov VO, resp. porušenia pravidiel a ustanovení legislatívy SR a EÚ, ktoré mali alebo mohli mať vplyv na výsledok verejného obstarávania a zákazka bola zadávaná s využitím elektronického trhoviska, je RO povinný postupovať podľa</w:t>
      </w:r>
      <w:r w:rsidRPr="00BB45A7">
        <w:t xml:space="preserve"> </w:t>
      </w:r>
      <w:r>
        <w:t>metodického pokynu</w:t>
      </w:r>
      <w:r>
        <w:rPr>
          <w:rStyle w:val="Odkaznapoznmkupodiarou"/>
        </w:rPr>
        <w:footnoteReference w:id="104"/>
      </w:r>
      <w:r>
        <w:t xml:space="preserve">, ktorý upravuje postup pri určení finančných opráv za </w:t>
      </w:r>
      <w:r w:rsidR="003E5E8A">
        <w:t xml:space="preserve">porušenie pravidiel a postupov </w:t>
      </w:r>
      <w:r>
        <w:t>VO.</w:t>
      </w:r>
    </w:p>
    <w:p w14:paraId="0809990F" w14:textId="77777777" w:rsidR="00B650E5" w:rsidRDefault="00B650E5" w:rsidP="000E286B">
      <w:pPr>
        <w:pStyle w:val="SRK5"/>
        <w:jc w:val="both"/>
      </w:pPr>
      <w:bookmarkStart w:id="396" w:name="_Toc453234043"/>
      <w:bookmarkStart w:id="397" w:name="_Toc495649400"/>
      <w:bookmarkStart w:id="398" w:name="kapitola_337211"/>
      <w:r>
        <w:t>3.3.7.2.10. Kontrola dodatkov</w:t>
      </w:r>
      <w:bookmarkEnd w:id="394"/>
      <w:bookmarkEnd w:id="396"/>
      <w:r w:rsidRPr="00612607">
        <w:t xml:space="preserve"> </w:t>
      </w:r>
      <w:r>
        <w:t>(z</w:t>
      </w:r>
      <w:r w:rsidRPr="00612607">
        <w:t>mena zmluvy, rámcovej dohody a koncesnej zmluvy počas ich trvania</w:t>
      </w:r>
      <w:r>
        <w:t>)</w:t>
      </w:r>
      <w:bookmarkEnd w:id="397"/>
    </w:p>
    <w:bookmarkEnd w:id="398"/>
    <w:p w14:paraId="734190D7" w14:textId="77777777" w:rsidR="00B650E5" w:rsidRDefault="00B650E5">
      <w:pPr>
        <w:numPr>
          <w:ilvl w:val="0"/>
          <w:numId w:val="251"/>
        </w:numPr>
        <w:spacing w:before="120" w:after="120"/>
        <w:ind w:left="426" w:hanging="426"/>
        <w:jc w:val="both"/>
      </w:pPr>
      <w:r>
        <w:t>Prijímateľ je povinný predložiť na kontrolu RO návrhy všetkých dodatkov súvisiacich s výsledkom VO alebo výsledkom obstarávania spolufinancovaného z fondov a ENRF.  Z uvedeného vyplýva, že prijímateľ zasiela na RO návrh dodatku pred jeho podpisom oboma zmluvnými stranami. Uvedená povinnosť sa vzťahuje aj na prípady, keď sa dodatok vzťahuje na časť výdavkov, ktoré nie sú oprávnenými výdavkami, avšak sú súčasťou zákazky, ktorá je spolufinancovaná z fondov a ENRF.</w:t>
      </w:r>
    </w:p>
    <w:p w14:paraId="355E7161" w14:textId="77777777" w:rsidR="00B650E5" w:rsidRDefault="00B650E5">
      <w:pPr>
        <w:numPr>
          <w:ilvl w:val="0"/>
          <w:numId w:val="251"/>
        </w:numPr>
        <w:spacing w:before="120" w:after="120"/>
        <w:ind w:left="426" w:hanging="426"/>
        <w:jc w:val="both"/>
      </w:pPr>
      <w:r>
        <w:t xml:space="preserve">Prijímateľ je zároveň povinný predložiť takýto dodatok ešte pred tým, ako sa skutočnosť menená dodatkom udeje (napr. uplynutie lehoty realizácie diela, zmeny v súpise položiek alebo v rozpočte diela). Uvedená povinnosť sa nevzťahuje na prípady, keď sa dodatkom menia identifikačné a kontaktné údaje zmluvných strán (napr. adresa sídla, kontaktné osoby, číslo bankového účtu a pod.). V tomto prípade (zmene identifikačných a kontaktných údajov) je prijímateľ oprávnený predložiť takýto dodatok až po jeho podpise oboma zmluvnými stranami, teda nie je povinný ho predložiť na schválenie pred jeho podpisom. Ak zmenu vyplývajúcu </w:t>
      </w:r>
      <w:r>
        <w:lastRenderedPageBreak/>
        <w:t>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 RO                  v rámci dodatku riešiaceho takúto mimoriadnu situáciu, prijímateľ zašle návrh dodatku, alebo už samotný podpísaný dodatok až po pominutí tejto mimoriadnej udalosti súčasne so zdôvodnením. Ak sa takáto situácia rieši v rámci priameho rokovacieho konania podľa § 81 ZVO, pričom výsledkom tohto postupu je nová zmluva, RO postupuje pri kontrole podľa príslušnej kapitoly.</w:t>
      </w:r>
    </w:p>
    <w:p w14:paraId="03307806" w14:textId="77777777" w:rsidR="00B650E5" w:rsidRDefault="00B650E5">
      <w:pPr>
        <w:numPr>
          <w:ilvl w:val="0"/>
          <w:numId w:val="251"/>
        </w:numPr>
        <w:spacing w:before="120" w:after="120"/>
        <w:ind w:left="426" w:hanging="426"/>
        <w:jc w:val="both"/>
      </w:pPr>
      <w:r>
        <w:t xml:space="preserve">Pokiaľ prijímateľ plánuje upraviť existujúci zmluvný vzťah na základe priameho rokovacieho konania, je v tomto prípade povinný  predložiť na RO návrh oznámenia o zámere uzavrieť zmluvu </w:t>
      </w:r>
      <w:r w:rsidR="009A6FCC">
        <w:t xml:space="preserve">a odôvodnenie použitia priameho rokovacieho konania </w:t>
      </w:r>
      <w:r>
        <w:t xml:space="preserve">(viď. </w:t>
      </w:r>
      <w:hyperlink w:anchor="kapitola_33721" w:tooltip="kapitola 3.3.7.2.1" w:history="1">
        <w:r>
          <w:rPr>
            <w:rStyle w:val="Hypertextovprepojenie"/>
          </w:rPr>
          <w:t>kapitola 3.3.7.2.1</w:t>
        </w:r>
      </w:hyperlink>
      <w:r>
        <w:t>). Až po kontrole tohto oznámenia a posúdení oprávnenosti použitia priameho rokovacieho konania je prijímateľ oprávnený začať realizovať tento postup. Po uskutočnení rokovaní zasiela  prijímateľ na RO zápisnice z týchto rokovaní spolu s návrhom dodatku. Tento je ďalej predmetom kontroly RO, tak ako je ďalej popísané.</w:t>
      </w:r>
    </w:p>
    <w:p w14:paraId="7579333A" w14:textId="77777777" w:rsidR="00B650E5" w:rsidRDefault="00B650E5" w:rsidP="003120E4">
      <w:pPr>
        <w:numPr>
          <w:ilvl w:val="0"/>
          <w:numId w:val="251"/>
        </w:numPr>
        <w:spacing w:before="120" w:after="120"/>
        <w:ind w:left="426" w:hanging="426"/>
        <w:jc w:val="both"/>
      </w:pPr>
      <w:r>
        <w:t xml:space="preserve">Predmetom kontroly dodatkov je posúdenie ich súladu s príslušnými ustanoveniami ZVO, a to najmä ustanovením § 18 ZVO. Zároveň RO posudzuje zmeny z neho vyplývajúce po stránke ich súladu so schválenou ŽoNFP a účinnou zmluvou o NFP. </w:t>
      </w:r>
    </w:p>
    <w:p w14:paraId="45AF28FD" w14:textId="10904AE9" w:rsidR="00B650E5" w:rsidRDefault="00B650E5">
      <w:pPr>
        <w:numPr>
          <w:ilvl w:val="0"/>
          <w:numId w:val="251"/>
        </w:numPr>
        <w:spacing w:before="120" w:after="120"/>
        <w:ind w:left="426" w:hanging="426"/>
        <w:jc w:val="both"/>
      </w:pPr>
      <w:r>
        <w:t xml:space="preserve">Lehota na výkon kontroly návrhu dodatku je 15 pracovných dní. V prípade, že RO zašle prijímateľovi žiadosť o vysvetlenie, úpravu alebo doplnenie dodatku, určí v tejto žiadosti lehotu minimálne 5 pracovných dní a maximálne 10 pracovných dní na zaslanie tohto vysvetlenia, úpravy alebo doplnenia zo strany prijímateľa. Dňom odoslania žiadosti </w:t>
      </w:r>
      <w:r w:rsidR="009A6FCC">
        <w:t xml:space="preserve">sa prerušuje </w:t>
      </w:r>
      <w:r>
        <w:t xml:space="preserve">lehota na výkon kontroly. Dňom nasledujúcim po dni doručenia vysvetlenia, úpravy alebo doplnenia dokumentácie na RO </w:t>
      </w:r>
      <w:r w:rsidR="009A6FCC">
        <w:t xml:space="preserve">pokračuje plynutie </w:t>
      </w:r>
      <w:r>
        <w:t>lehot</w:t>
      </w:r>
      <w:r w:rsidR="009A6FCC">
        <w:t>y</w:t>
      </w:r>
      <w:r>
        <w:t xml:space="preserve"> na výkon finančnej kontroly VO.</w:t>
      </w:r>
    </w:p>
    <w:p w14:paraId="6BC4587C" w14:textId="77777777" w:rsidR="00B650E5" w:rsidRDefault="00B650E5">
      <w:pPr>
        <w:numPr>
          <w:ilvl w:val="0"/>
          <w:numId w:val="251"/>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14:paraId="6683806F" w14:textId="0A969328" w:rsidR="00B650E5" w:rsidRDefault="00B650E5">
      <w:pPr>
        <w:numPr>
          <w:ilvl w:val="0"/>
          <w:numId w:val="251"/>
        </w:numPr>
        <w:spacing w:before="120" w:after="120"/>
        <w:ind w:left="426" w:hanging="426"/>
        <w:jc w:val="both"/>
      </w:pPr>
      <w:r>
        <w:t>Ak RO nezašle návrh správy z kontroly (v prípade zistení nedostatkov) alebo správu                    z kontroly (ak kontrolou neboli zistené nedostatky) vo vyššie uvedenej lehote, pričom RO kontrolu nepredĺžil a ani ju neprerušil, prijímateľ je oprávnený, ak je to relevantné, pozastaviť realizáciu hlavných aktivít projektu do času zaslania správy z  kontroly. Týmto ustanovením nie je dotknutá povinnosť RO vykonať kontrolu VO.</w:t>
      </w:r>
    </w:p>
    <w:p w14:paraId="5DE31809" w14:textId="4D981616" w:rsidR="00B650E5" w:rsidRPr="00530C13" w:rsidRDefault="00B650E5">
      <w:pPr>
        <w:numPr>
          <w:ilvl w:val="0"/>
          <w:numId w:val="251"/>
        </w:numPr>
        <w:spacing w:before="120" w:after="120"/>
        <w:ind w:left="426" w:hanging="426"/>
        <w:jc w:val="both"/>
      </w:pPr>
      <w:r>
        <w:t xml:space="preserve">Ak RO nezistí porušenie </w:t>
      </w:r>
      <w:r w:rsidR="00F8333A">
        <w:t>pravidiel</w:t>
      </w:r>
      <w:r>
        <w:t xml:space="preserve"> a postupov VO, resp. porušenie pravidiel a ustanovení  legislatívy SR a EÚ, záverom kontroly je súhlas RO s podpísaním dodatku verejného obstarávateľa  s dodávateľom. Tento súhlas predstavuje predpoklad k vydaniu záveru v rámci </w:t>
      </w:r>
      <w:r w:rsidRPr="00530C13">
        <w:t>následnej kontroly dodatku po jeho podpise. Ak RO zistí skutočnosti ovplyvňujúce posudzovanie oprávnenosti možných v</w:t>
      </w:r>
      <w:r w:rsidRPr="00305CCD">
        <w:t xml:space="preserve">ýdavkov predložených ďalej prijímateľom v rámci ŽoP (napr. na základe zistení vecnej kontroly VO), avšak nezistí  porušenie podľa prvej vety tohto odseku, v záveroch kontroly vydá súhlas s podpísaním dodatku, pričom v zisteniach uvedených </w:t>
      </w:r>
      <w:r w:rsidRPr="00530C13">
        <w:t>v </w:t>
      </w:r>
      <w:r w:rsidRPr="00530C13" w:rsidDel="00CD6BA7">
        <w:t xml:space="preserve"> </w:t>
      </w:r>
      <w:r w:rsidRPr="00530C13">
        <w:t>správe z kontroly uvedie všetky skutočnosti týkajúce sa takýchto zistení.</w:t>
      </w:r>
    </w:p>
    <w:p w14:paraId="6C1DF8D1" w14:textId="727A87B5" w:rsidR="00B650E5" w:rsidRDefault="00B650E5" w:rsidP="00FB5CAA">
      <w:pPr>
        <w:numPr>
          <w:ilvl w:val="0"/>
          <w:numId w:val="251"/>
        </w:numPr>
        <w:spacing w:before="120" w:after="120"/>
        <w:ind w:left="426" w:hanging="426"/>
        <w:jc w:val="both"/>
      </w:pPr>
      <w:r w:rsidRPr="00530C13">
        <w:t>Ak RO zistí porušenie</w:t>
      </w:r>
      <w:r>
        <w:t xml:space="preserve"> </w:t>
      </w:r>
      <w:r w:rsidR="00F8333A">
        <w:t>pravidiel</w:t>
      </w:r>
      <w:r>
        <w:t xml:space="preserve"> a postupov VO, resp. porušenie pravidiel a ustanovení  legislatívy SR a EÚ, záverom kontroly je nesúhlas RO s podpísaním dodatku verejného obstarávateľa,  s dodávateľom. Ak nezrealizovanie zmien vyplývajúcich z dodatku preukázateľne spôsobilo nemožnosť splnenia pôvodnej zmluvy, alebo by táto skutočnosť znamenala pre prijímateľa neprimerané ťažkosti, a ak aj napriek nesúhlasu RO prijímateľ takýto dodatok </w:t>
      </w:r>
      <w:r>
        <w:lastRenderedPageBreak/>
        <w:t>podpíše, je RO oprávnený následne postupovať v zmysle metodického pokynu</w:t>
      </w:r>
      <w:r>
        <w:rPr>
          <w:rStyle w:val="Odkaznapoznmkupodiarou"/>
        </w:rPr>
        <w:footnoteReference w:id="105"/>
      </w:r>
      <w:r>
        <w:t xml:space="preserve">, ktorý upravuje postup pri určení finančných opráv za VO určením návrhu </w:t>
      </w:r>
      <w:r w:rsidR="00FB1D18">
        <w:t>ex ante</w:t>
      </w:r>
      <w:r>
        <w:t xml:space="preserve"> finančnej opravy vzťahujúcej sa na konkrétne porušenie uvedené v tomto pokyne. </w:t>
      </w:r>
      <w:r w:rsidRPr="00FB5CAA">
        <w:t xml:space="preserve">Na </w:t>
      </w:r>
      <w:r>
        <w:t xml:space="preserve">kontrolu návrhu </w:t>
      </w:r>
      <w:r w:rsidRPr="00FB5CAA">
        <w:t xml:space="preserve">dodatku </w:t>
      </w:r>
      <w:r>
        <w:t>sa primerane</w:t>
      </w:r>
      <w:r w:rsidRPr="00FB5CAA">
        <w:t xml:space="preserve"> vzťahujú pravi</w:t>
      </w:r>
      <w:r>
        <w:t xml:space="preserve">dlá uvedené v kapitole </w:t>
      </w:r>
      <w:hyperlink w:anchor="kapitola_33722" w:history="1">
        <w:r w:rsidRPr="00764D0E">
          <w:rPr>
            <w:rStyle w:val="Hypertextovprepojenie"/>
          </w:rPr>
          <w:t>3.3.7.2.2</w:t>
        </w:r>
      </w:hyperlink>
      <w:r>
        <w:t xml:space="preserve"> s výnimkou tých častí, ktoré upravujú kontrolu nadlimitných zákaziek pred podpisom zmluvy zo strany ÚVO v zmysle § 169 ods. 2 ZVO</w:t>
      </w:r>
      <w:r w:rsidRPr="00FB5CAA">
        <w:t xml:space="preserve">. </w:t>
      </w:r>
    </w:p>
    <w:p w14:paraId="54DF6B2D" w14:textId="77777777" w:rsidR="00B650E5" w:rsidRDefault="00B650E5">
      <w:pPr>
        <w:numPr>
          <w:ilvl w:val="0"/>
          <w:numId w:val="251"/>
        </w:numPr>
        <w:spacing w:before="120" w:after="120"/>
        <w:ind w:left="426" w:hanging="426"/>
        <w:jc w:val="both"/>
      </w:pPr>
      <w:r>
        <w:t>Po podpise dodatku s dodávateľom, ktorého návrh bol predmetom kontroly RO, zasiela prijímateľ tento dodatok na RO na jeho následnú kontrolu. Na predkladanie takéhoto dodatku a na jeho kontrolu sa primerané vzťahujú pravidlá uvedené v </w:t>
      </w:r>
      <w:r w:rsidRPr="000E286B">
        <w:t xml:space="preserve">kapitole </w:t>
      </w:r>
      <w:hyperlink w:anchor="kapitola_33724" w:history="1">
        <w:r w:rsidRPr="00764D0E">
          <w:rPr>
            <w:rStyle w:val="Hypertextovprepojenie"/>
          </w:rPr>
          <w:t>3.3.7.2</w:t>
        </w:r>
        <w:r>
          <w:rPr>
            <w:rStyle w:val="Hypertextovprepojenie"/>
          </w:rPr>
          <w:t>.</w:t>
        </w:r>
        <w:r w:rsidRPr="00510CDA">
          <w:rPr>
            <w:rStyle w:val="Hypertextovprepojenie"/>
          </w:rPr>
          <w:t>4</w:t>
        </w:r>
      </w:hyperlink>
      <w:r>
        <w:t xml:space="preserve">. </w:t>
      </w:r>
    </w:p>
    <w:p w14:paraId="1A1F83ED" w14:textId="7A4FB803" w:rsidR="00B650E5" w:rsidRDefault="00B650E5">
      <w:pPr>
        <w:numPr>
          <w:ilvl w:val="0"/>
          <w:numId w:val="251"/>
        </w:numPr>
        <w:spacing w:before="120" w:after="120"/>
        <w:ind w:left="426" w:hanging="426"/>
        <w:jc w:val="both"/>
      </w:pPr>
      <w:r>
        <w:t>Pokiaľ prijímateľ predloží na kontrolu dodatok, ktorý nebol predmetom kontroly pred jeho podpisom zo strany RO, môže byť toto považované za podstatné porušenie zmluvy o NFP. Pri jeho kontrole postupuje RO primerane podľa pravidiel uvedených v </w:t>
      </w:r>
      <w:r w:rsidRPr="000E286B">
        <w:t xml:space="preserve">kapitole </w:t>
      </w:r>
      <w:hyperlink w:anchor="kapitola_33723" w:history="1">
        <w:r w:rsidRPr="00764D0E">
          <w:rPr>
            <w:rStyle w:val="Hypertextovprepojenie"/>
          </w:rPr>
          <w:t>3.3.7.2.</w:t>
        </w:r>
        <w:r w:rsidRPr="00510CDA">
          <w:rPr>
            <w:rStyle w:val="Hypertextovprepojenie"/>
          </w:rPr>
          <w:t>3</w:t>
        </w:r>
      </w:hyperlink>
      <w:r>
        <w:t xml:space="preserve">. Pokiaľ RO pri kontrole tohto dodatku nezistí porušenie </w:t>
      </w:r>
      <w:r w:rsidR="00F8333A">
        <w:t>pravidiel</w:t>
      </w:r>
      <w:r>
        <w:t xml:space="preserve"> a postupov VO, resp. porušenie pravidiel a ustanovení legislatívy SR a EÚ, predmetný dodatok schváli. Pokiaľ RO pri kontrole takéhoto dodatku zistí porušenie </w:t>
      </w:r>
      <w:r w:rsidR="00F8333A">
        <w:t>pravidiel</w:t>
      </w:r>
      <w:r>
        <w:t xml:space="preserve"> a postupov VO, resp. porušenie pravidiel a ustanovení  legislatívy SR a EÚ, predmetný výdavok neschváli, čo znamená, že súvisiace výdavky vyplývajúce zo zmien tohto výdavku nebudú pripustené do 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w:t>
      </w:r>
      <w:r>
        <w:rPr>
          <w:rStyle w:val="Odkaznapoznmkupodiarou"/>
        </w:rPr>
        <w:footnoteReference w:id="106"/>
      </w:r>
      <w:r>
        <w:t xml:space="preserve">, ktorý upravuje postup pri určení finančných opráv za VO určením návrhu </w:t>
      </w:r>
      <w:r w:rsidR="00FB1D18">
        <w:t>ex ante</w:t>
      </w:r>
      <w:r>
        <w:t xml:space="preserve"> finančnej opravy vzťahujúcej sa na konkrétne porušenie uvedené v tomto pokyne.</w:t>
      </w:r>
    </w:p>
    <w:p w14:paraId="4614E820" w14:textId="77777777" w:rsidR="00B650E5" w:rsidRDefault="00B650E5" w:rsidP="0045286B">
      <w:pPr>
        <w:pStyle w:val="SRK4"/>
      </w:pPr>
      <w:bookmarkStart w:id="399" w:name="_Toc386529573"/>
      <w:bookmarkStart w:id="400" w:name="_Toc390248465"/>
      <w:bookmarkStart w:id="401" w:name="_Toc453234044"/>
      <w:bookmarkStart w:id="402" w:name="_Toc495649401"/>
      <w:bookmarkStart w:id="403" w:name="kapitola_3373"/>
      <w:r>
        <w:t>3.3.7.3. Kontrola postupov pri obstarávaní zákazky, na ktorú sa ZVO nevzťahuje</w:t>
      </w:r>
      <w:bookmarkEnd w:id="399"/>
      <w:bookmarkEnd w:id="400"/>
      <w:bookmarkEnd w:id="401"/>
      <w:bookmarkEnd w:id="402"/>
      <w:r>
        <w:t xml:space="preserve">  </w:t>
      </w:r>
    </w:p>
    <w:bookmarkEnd w:id="403"/>
    <w:p w14:paraId="2B19E2FA" w14:textId="18263D4F" w:rsidR="00B650E5" w:rsidRDefault="00B650E5" w:rsidP="00356A5B">
      <w:pPr>
        <w:numPr>
          <w:ilvl w:val="0"/>
          <w:numId w:val="252"/>
        </w:numPr>
        <w:spacing w:before="120" w:after="120"/>
        <w:ind w:left="426" w:hanging="426"/>
        <w:jc w:val="both"/>
      </w:pPr>
      <w:r>
        <w:t xml:space="preserve">RO je povinný overiť dodržanie základných princípov ustanovených v Zmluve o fungovaní EÚ aj v rámci zákaziek, na ktoré sa nevzťahuje povinnosť postupovať pri ich obstarávaní v zmysle ZVO. </w:t>
      </w:r>
      <w:r w:rsidR="008B7D1F">
        <w:t>Ide</w:t>
      </w:r>
      <w:r>
        <w:t xml:space="preserve"> o kontrolu postupov pri obstaraní zákazky, ktoré podliehajú výnimke v zmysle § 1 ods. 2 až 12 ZVO</w:t>
      </w:r>
      <w:r w:rsidRPr="00953734">
        <w:t xml:space="preserve"> </w:t>
      </w:r>
      <w:r>
        <w:t xml:space="preserve">a ďalej v ustanovení § 8 ods. 3 ZVO je upravená výnimka pre určité kategórie osôb, ktoré nie sú verejným obstarávateľom, ani obstarávateľom, a ktoré získali finančné prostriedky </w:t>
      </w:r>
      <w:r w:rsidR="009A6FCC">
        <w:t xml:space="preserve">               </w:t>
      </w:r>
      <w:r>
        <w:t xml:space="preserve">v rámci opatrení spoločnej organizácie poľnohospodárskych trhov alebo finančné prostriedky určené na podporu rozvoja vidieka, poľnohospodárskej prvovýroby, potravinárstva, lesného </w:t>
      </w:r>
      <w:r w:rsidR="009A6FCC">
        <w:t xml:space="preserve">                     </w:t>
      </w:r>
      <w:r>
        <w:t>a rybného hospodárstva podľa osobitných predpisov. Povinnosti a postupy pri realizácii a kontrole takýchto zákaziek upravil CKO v metodickom pokyne.</w:t>
      </w:r>
      <w:r>
        <w:rPr>
          <w:rStyle w:val="Odkaznapoznmkupodiarou"/>
        </w:rPr>
        <w:footnoteReference w:id="107"/>
      </w:r>
      <w:r>
        <w:t xml:space="preserve"> </w:t>
      </w:r>
    </w:p>
    <w:p w14:paraId="1B255203" w14:textId="77777777" w:rsidR="00B650E5" w:rsidRDefault="00B650E5" w:rsidP="0045286B">
      <w:pPr>
        <w:pStyle w:val="SRK4"/>
      </w:pPr>
      <w:bookmarkStart w:id="404" w:name="_Toc386529575"/>
      <w:bookmarkStart w:id="405" w:name="_Toc390248467"/>
      <w:bookmarkStart w:id="406" w:name="_Toc453234045"/>
      <w:bookmarkStart w:id="407" w:name="_Toc495649402"/>
      <w:bookmarkStart w:id="408" w:name="kapitola_3374"/>
      <w:r>
        <w:t>3.3.7.4. Uplatňovanie spolupráce riadiacich orgánov s inými subjektmi v oblasti kontroly verejného obstarávania</w:t>
      </w:r>
      <w:bookmarkEnd w:id="404"/>
      <w:bookmarkEnd w:id="405"/>
      <w:bookmarkEnd w:id="406"/>
      <w:bookmarkEnd w:id="407"/>
    </w:p>
    <w:bookmarkEnd w:id="408"/>
    <w:p w14:paraId="01C7F19E" w14:textId="77777777" w:rsidR="00B650E5" w:rsidRDefault="00B650E5">
      <w:pPr>
        <w:numPr>
          <w:ilvl w:val="0"/>
          <w:numId w:val="253"/>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14:paraId="6E8CFA89" w14:textId="77777777" w:rsidR="00B650E5" w:rsidRDefault="00B650E5">
      <w:pPr>
        <w:numPr>
          <w:ilvl w:val="0"/>
          <w:numId w:val="253"/>
        </w:numPr>
        <w:spacing w:before="120" w:after="120"/>
        <w:ind w:left="426" w:hanging="426"/>
        <w:jc w:val="both"/>
      </w:pPr>
      <w:r>
        <w:t xml:space="preserve">Je dôležité, aby RO v súvislosti s plnením svojich úloh v oblasti poskytovania príspevkov mali zabezpečenú dostatočne kvalifikovanú, efektívnu a účinnú podporu. Zabezpečenie takejto </w:t>
      </w:r>
      <w:r>
        <w:lastRenderedPageBreak/>
        <w:t>podpory činnosťou kompetentných ústredných orgánov štátnej správy má prostredníctvom účinnej spolupráce prispieť k efektívnejšiemu výkonu činností  RO v rámci finančnej kontroly VO. Taktiež má táto spolupráca pomôcť RO identifikovať možné obmedzenia čestnej hospodárskej súťaže alebo iné nezákonné praktiky pri realizácii VO a následné prešetrenie, resp. prekonzultovanie týchto podozrení s týmito orgánmi.</w:t>
      </w:r>
    </w:p>
    <w:p w14:paraId="31744632" w14:textId="77777777" w:rsidR="00B650E5" w:rsidRDefault="00B650E5">
      <w:pPr>
        <w:numPr>
          <w:ilvl w:val="0"/>
          <w:numId w:val="253"/>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14:paraId="54B5B046" w14:textId="77777777" w:rsidR="00B650E5" w:rsidRDefault="00B650E5">
      <w:pPr>
        <w:numPr>
          <w:ilvl w:val="0"/>
          <w:numId w:val="253"/>
        </w:numPr>
        <w:spacing w:before="120" w:after="120"/>
        <w:ind w:left="426" w:hanging="426"/>
        <w:jc w:val="both"/>
      </w:pPr>
      <w:r>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w:t>
      </w:r>
    </w:p>
    <w:p w14:paraId="59384B8A" w14:textId="77777777" w:rsidR="00B650E5" w:rsidRDefault="00B650E5">
      <w:pPr>
        <w:numPr>
          <w:ilvl w:val="0"/>
          <w:numId w:val="253"/>
        </w:numPr>
        <w:spacing w:before="120" w:after="120"/>
        <w:ind w:left="426" w:hanging="426"/>
        <w:jc w:val="both"/>
      </w:pPr>
      <w:r>
        <w:t xml:space="preserve">Spolupráca a súčinnosť s orgánmi činnými v trestnom konaní je vykonávaná v zmysle príslušných ustanovení Trestného poriadku. </w:t>
      </w:r>
    </w:p>
    <w:p w14:paraId="5FB6CC5D" w14:textId="77777777" w:rsidR="00B650E5" w:rsidRDefault="00B650E5">
      <w:pPr>
        <w:numPr>
          <w:ilvl w:val="0"/>
          <w:numId w:val="253"/>
        </w:numPr>
        <w:spacing w:before="120" w:after="120"/>
        <w:ind w:left="426" w:hanging="426"/>
        <w:jc w:val="both"/>
      </w:pPr>
      <w:r>
        <w:t>RO sú oprávnené v rámci kontroly jedného VO využiť spoluprácu aj viacerých z uvedených subjektov.</w:t>
      </w:r>
    </w:p>
    <w:p w14:paraId="02CB06D2" w14:textId="77777777" w:rsidR="00B650E5" w:rsidRDefault="00B650E5">
      <w:pPr>
        <w:numPr>
          <w:ilvl w:val="0"/>
          <w:numId w:val="253"/>
        </w:numPr>
        <w:spacing w:before="120" w:after="120"/>
        <w:ind w:left="426" w:hanging="426"/>
        <w:jc w:val="both"/>
      </w:pPr>
      <w:r>
        <w:t xml:space="preserve">Postupy, pravidlá a povinnosti týkajúce sa spolupráce s inými subjektmi v oblasti finančnej kontroly VO, vyplývajúce z tejto kapitoly Systému riadenia EŠIF nadobudnú platnosť a účinnosť uzavretím uvádzaných dohôd o spolupráci. Do doby uzavretia týchto dohôd postupuje RO v prípade potreby spolupráce s týmito subjektmi v zmysle príslušných ustanovení zákonov upravujúcich danú oblasť (napr. ZVO, zákon o ochrane hospodárskej súťaže, Trestný poriadok). </w:t>
      </w:r>
    </w:p>
    <w:p w14:paraId="41D16381" w14:textId="77777777" w:rsidR="00B650E5" w:rsidRDefault="00B650E5">
      <w:pPr>
        <w:numPr>
          <w:ilvl w:val="0"/>
          <w:numId w:val="253"/>
        </w:numPr>
        <w:spacing w:before="120" w:after="120"/>
        <w:ind w:left="426" w:hanging="426"/>
        <w:jc w:val="both"/>
      </w:pPr>
      <w:r>
        <w:t>Zároveň je potrebné, aby rozsah uplatňovania tejto spolupráce bol jednotným spôsobom upravený, čím sa zabezpečí efektívna spolupráca a táto bude zameraná na skutočne rizikové alebo problematické VO. K tomuto účelu bude RO povinný využívať analýzu rizík a RO bude zároveň povinný pri kontrole VO zohľadňovať a skúmať prítomnosť tzv. rizikových indikátorov („red flags“).</w:t>
      </w:r>
    </w:p>
    <w:p w14:paraId="18E33511" w14:textId="77777777" w:rsidR="00B650E5" w:rsidRDefault="00B650E5">
      <w:pPr>
        <w:numPr>
          <w:ilvl w:val="0"/>
          <w:numId w:val="253"/>
        </w:numPr>
        <w:spacing w:before="120" w:after="120"/>
        <w:ind w:left="426" w:hanging="426"/>
        <w:jc w:val="both"/>
      </w:pPr>
      <w:r>
        <w:t xml:space="preserve">Lehota na výkon finančnej kontroly VO do doručenia výsledku tejto spolupráce neplynie, pričom dňom doručenia tohto výsledku na RO, plynie RO nová lehota na výkon kontroly. Pokiaľ povaha spolupráce s niektorými z uvedených subjektov je taká, že si vyžaduje zachovanie mlčanlivosti, je RO povinný dodržať túto povinnosť, či už sa týka komunikácie s prijímateľom, s tretími osobami nepodieľajúcimi sa na výkone kontroly alebo aj v rámci vlastného organizačného úseku. </w:t>
      </w:r>
    </w:p>
    <w:p w14:paraId="5F77988D" w14:textId="77777777" w:rsidR="00B650E5" w:rsidRDefault="00B650E5">
      <w:pPr>
        <w:pStyle w:val="SRK5"/>
      </w:pPr>
      <w:bookmarkStart w:id="409" w:name="_Toc386529576"/>
      <w:bookmarkStart w:id="410" w:name="_Toc390248468"/>
      <w:bookmarkStart w:id="411" w:name="_Toc453234046"/>
      <w:bookmarkStart w:id="412" w:name="_Toc495649403"/>
      <w:bookmarkStart w:id="413" w:name="kapitola_33741"/>
      <w:r>
        <w:t>3.3.7.4.1 Spolupráca s ÚVO</w:t>
      </w:r>
      <w:bookmarkEnd w:id="409"/>
      <w:bookmarkEnd w:id="410"/>
      <w:bookmarkEnd w:id="411"/>
      <w:bookmarkEnd w:id="412"/>
      <w:r>
        <w:t xml:space="preserve"> </w:t>
      </w:r>
    </w:p>
    <w:p w14:paraId="0A244F17" w14:textId="77777777" w:rsidR="00B650E5" w:rsidRDefault="00B650E5">
      <w:pPr>
        <w:pStyle w:val="SRK5"/>
      </w:pPr>
      <w:bookmarkStart w:id="414" w:name="_Toc453234047"/>
      <w:bookmarkStart w:id="415" w:name="_Toc495649404"/>
      <w:bookmarkEnd w:id="413"/>
      <w:r>
        <w:t>3.3.7.4.1.1 Analýza rizík kontrolovaného verejného obstarávania a následný postup</w:t>
      </w:r>
      <w:bookmarkEnd w:id="414"/>
      <w:bookmarkEnd w:id="415"/>
    </w:p>
    <w:p w14:paraId="2DFACE1E" w14:textId="0E0AD0C6" w:rsidR="00B650E5" w:rsidRDefault="00B650E5">
      <w:pPr>
        <w:numPr>
          <w:ilvl w:val="0"/>
          <w:numId w:val="254"/>
        </w:numPr>
        <w:spacing w:before="120" w:after="120"/>
        <w:ind w:left="426" w:hanging="426"/>
        <w:jc w:val="both"/>
      </w:pPr>
      <w:r>
        <w:t xml:space="preserve">Analýza rizík podlimitných zákaziek bez využitia elektronického trhoviska (na účely tejto kapitoly ďalej len „analýza rizík“) je nástroj, ktorý by mal identifikovať riziko VO z pohľadu potrebnej spolupráce s ÚVO. Sústredením odbornej podpory ÚVO na rizikové VO bude zabezpečený zvýšený dohľad na zákazky s potenciálne vyššou mierou chybovosti. Zároveň týmto nástrojom bude eliminované neprimerané zaťaženie ÚVO v rámci žiadostí o kontrolu VO, ktoré nepredstavujú zvýšené riziko z pohľadu ich zložitosti alebo chybovosti a súčasne tak nebude dochádzať k neprimeraným predĺženiam výkonu kontroly. </w:t>
      </w:r>
    </w:p>
    <w:p w14:paraId="09C2278C" w14:textId="77777777" w:rsidR="00B650E5" w:rsidRDefault="00B650E5">
      <w:pPr>
        <w:numPr>
          <w:ilvl w:val="0"/>
          <w:numId w:val="254"/>
        </w:numPr>
        <w:spacing w:before="120" w:after="120"/>
        <w:ind w:left="426" w:hanging="426"/>
        <w:jc w:val="both"/>
      </w:pPr>
      <w:r w:rsidRPr="00FC1D1C">
        <w:t xml:space="preserve">Analýza rizík sa týka iba štandardnej </w:t>
      </w:r>
      <w:r w:rsidR="00FB1D18">
        <w:t>ex post</w:t>
      </w:r>
      <w:r w:rsidRPr="00FC1D1C">
        <w:t xml:space="preserve"> kontroly podlimitných zákaziek</w:t>
      </w:r>
      <w:r>
        <w:t xml:space="preserve"> bez využitia elektronického trhoviska, </w:t>
      </w:r>
      <w:r w:rsidR="00C93F30" w:rsidRPr="00997CB0">
        <w:rPr>
          <w:highlight w:val="yellow"/>
        </w:rPr>
        <w:t>keďže</w:t>
      </w:r>
      <w:r>
        <w:t xml:space="preserve"> kontrola nadlimitných zákaziek je upravená v ustanovení</w:t>
      </w:r>
      <w:r w:rsidRPr="00FC1D1C">
        <w:t xml:space="preserve"> </w:t>
      </w:r>
      <w:r>
        <w:t xml:space="preserve">                    </w:t>
      </w:r>
      <w:r w:rsidRPr="00FC1D1C">
        <w:t xml:space="preserve">§ 169 ods. 2 ZVO. </w:t>
      </w:r>
      <w:r>
        <w:t xml:space="preserve">V prípade, že RO určil ako povinnú druhú </w:t>
      </w:r>
      <w:r w:rsidR="00FB1D18">
        <w:t>ex ante</w:t>
      </w:r>
      <w:r>
        <w:t xml:space="preserve"> kontrolu aj v prípade podlimitných zákaziek, vykonáva analýzu rizík aj v prípade druhej </w:t>
      </w:r>
      <w:r w:rsidR="00FB1D18">
        <w:t>ex ante</w:t>
      </w:r>
      <w:r>
        <w:t xml:space="preserve"> kontroly podlimitných zákaziek. V ostatných druhoch finančnej kontroly VO, uvedených v </w:t>
      </w:r>
      <w:hyperlink w:anchor="kapitola_3372" w:tooltip="kapitole 3.3.7.2" w:history="1">
        <w:r>
          <w:rPr>
            <w:rStyle w:val="Hypertextovprepojenie"/>
          </w:rPr>
          <w:t>kapitole 3.3.7.2</w:t>
        </w:r>
      </w:hyperlink>
      <w:r>
        <w:t xml:space="preserve"> je RO oprávnený využiť spoluprácu s ÚVO inými spôsobmi uvedenými v </w:t>
      </w:r>
      <w:hyperlink w:anchor="kapitola_337412" w:tooltip="kapitole 3.3.7.4.1.2" w:history="1">
        <w:r>
          <w:rPr>
            <w:rStyle w:val="Hypertextovprepojenie"/>
          </w:rPr>
          <w:t>kapitole 3.3.7.4.1.2</w:t>
        </w:r>
      </w:hyperlink>
      <w:r>
        <w:rPr>
          <w:rStyle w:val="Hypertextovprepojenie"/>
        </w:rPr>
        <w:t>.</w:t>
      </w:r>
      <w:r>
        <w:t xml:space="preserve"> Ak RO už pri výkone analýzy rizík identifikuje také závažné porušenia ZVO, ktoré by v každom prípade </w:t>
      </w:r>
      <w:r>
        <w:lastRenderedPageBreak/>
        <w:t xml:space="preserve">mali za následok </w:t>
      </w:r>
      <w:r>
        <w:rPr>
          <w:b/>
        </w:rPr>
        <w:t>neschválenie</w:t>
      </w:r>
      <w:r>
        <w:t xml:space="preserve"> predmetného VO z jeho strany, je oprávnený tento záver premietnuť do svojej kontroly a predmetné VO nezasielať na kontrolu ÚVO.</w:t>
      </w:r>
    </w:p>
    <w:p w14:paraId="7873E6BF" w14:textId="77777777" w:rsidR="00B650E5" w:rsidRDefault="00B650E5">
      <w:pPr>
        <w:numPr>
          <w:ilvl w:val="0"/>
          <w:numId w:val="254"/>
        </w:numPr>
        <w:spacing w:before="120" w:after="120"/>
        <w:ind w:left="426" w:hanging="426"/>
        <w:jc w:val="both"/>
      </w:pPr>
      <w:r>
        <w:t>Povinnosť RO aplikovať pri spolupráci v rámci dohody s ÚVO analýzu rizík a pravidlá v zmysle predošlého odseku sa nevzťahujú ani na nasledovné situácie:</w:t>
      </w:r>
    </w:p>
    <w:p w14:paraId="116812C5" w14:textId="78BBD704" w:rsidR="00B650E5" w:rsidRDefault="00B650E5">
      <w:pPr>
        <w:pStyle w:val="Odsekzoznamu"/>
        <w:numPr>
          <w:ilvl w:val="0"/>
          <w:numId w:val="255"/>
        </w:numPr>
        <w:spacing w:before="120" w:after="120"/>
        <w:ind w:left="851" w:hanging="425"/>
        <w:contextualSpacing w:val="0"/>
        <w:jc w:val="both"/>
      </w:pPr>
      <w:r>
        <w:t>postup RO podľa § 41 zákona o príspevku z EŠIF,</w:t>
      </w:r>
    </w:p>
    <w:p w14:paraId="60A4B9E6" w14:textId="77777777" w:rsidR="00B650E5" w:rsidRDefault="00B650E5">
      <w:pPr>
        <w:pStyle w:val="Odsekzoznamu"/>
        <w:numPr>
          <w:ilvl w:val="0"/>
          <w:numId w:val="255"/>
        </w:numPr>
        <w:spacing w:before="120" w:after="120"/>
        <w:ind w:left="851" w:hanging="425"/>
        <w:contextualSpacing w:val="0"/>
        <w:jc w:val="both"/>
      </w:pPr>
      <w:r>
        <w:t>VO, v rámci ktorého existuje mediálny podnet, ktorý indikuje možné vážne porušenia ZVO,</w:t>
      </w:r>
    </w:p>
    <w:p w14:paraId="2A7C9E73" w14:textId="77777777" w:rsidR="00B650E5" w:rsidRDefault="00B650E5">
      <w:pPr>
        <w:pStyle w:val="Odsekzoznamu"/>
        <w:numPr>
          <w:ilvl w:val="0"/>
          <w:numId w:val="255"/>
        </w:numPr>
        <w:spacing w:before="120" w:after="120"/>
        <w:ind w:left="851" w:hanging="425"/>
        <w:contextualSpacing w:val="0"/>
        <w:jc w:val="both"/>
      </w:pPr>
      <w:r>
        <w:t>v rámci daného VO už bola zo strany ÚVO vykonaná kontrola podľa § 169 ods. 3 ZVO (napr. v prípade, že prijímateľ dá podnet na kontrolu sám na seba alebo o kontrolu požiadal iný RO).</w:t>
      </w:r>
    </w:p>
    <w:p w14:paraId="09D758DA" w14:textId="243AFD95" w:rsidR="00B650E5" w:rsidRDefault="00B650E5">
      <w:pPr>
        <w:pStyle w:val="Odsekzoznamu"/>
        <w:numPr>
          <w:ilvl w:val="0"/>
          <w:numId w:val="255"/>
        </w:numPr>
        <w:spacing w:before="120" w:after="120"/>
        <w:ind w:left="851" w:hanging="425"/>
        <w:contextualSpacing w:val="0"/>
        <w:jc w:val="both"/>
      </w:pPr>
      <w:r>
        <w:t xml:space="preserve">podlimitné VO, v rámci ktorého bola predložená iba jedna ponuka a/alebo RO identifikuje také závažné porušenia ZVO, ktoré by v každom prípade mali za následok </w:t>
      </w:r>
      <w:r>
        <w:rPr>
          <w:b/>
        </w:rPr>
        <w:t>neschválenie</w:t>
      </w:r>
      <w:r>
        <w:t xml:space="preserve"> VO z jeho strany. RO je v prípade identifikovania týchto závažných porušení ZVO oprávnený tento záver premietnuť do svojej kontroly a predmetné VO nezasielať na kontrolu ÚVO.</w:t>
      </w:r>
    </w:p>
    <w:p w14:paraId="178A54AA" w14:textId="5D3D6450" w:rsidR="00B650E5" w:rsidRDefault="00B650E5">
      <w:pPr>
        <w:pStyle w:val="Odsekzoznamu"/>
        <w:numPr>
          <w:ilvl w:val="0"/>
          <w:numId w:val="255"/>
        </w:numPr>
        <w:spacing w:before="120" w:after="120"/>
        <w:ind w:left="851" w:hanging="425"/>
        <w:contextualSpacing w:val="0"/>
        <w:jc w:val="both"/>
      </w:pPr>
      <w:r>
        <w:t xml:space="preserve">Nadlimitná zákazka verejného obstarávania, </w:t>
      </w:r>
      <w:r w:rsidR="0024412C">
        <w:t>ktorá nebola predmetom výkonu kontroly pred uzavretím zmluvy, koncesnej zmluvy alebo rámcovej dohody, pred ukončením súťaže návrhov, pred zadaním zákazky na základe rámcovej dohody alebo pred ukončením postupu inovatívneho partnerstva</w:t>
      </w:r>
      <w:r w:rsidR="0024412C" w:rsidDel="0024412C">
        <w:t xml:space="preserve"> </w:t>
      </w:r>
      <w:r>
        <w:t xml:space="preserve">podľa § 169 ods. 2 ZVO. </w:t>
      </w:r>
    </w:p>
    <w:p w14:paraId="30DEB79B" w14:textId="173E3A31" w:rsidR="00B650E5" w:rsidRDefault="00B650E5" w:rsidP="00DE5D89">
      <w:pPr>
        <w:spacing w:before="120" w:after="120"/>
        <w:ind w:left="426"/>
        <w:jc w:val="both"/>
      </w:pPr>
      <w:r>
        <w:t>V týchto prípadoch teda RO, okrem prípadu v písm. c), požiada ÚVO o kontrolu VO. V prípadoch pod písm. b), d)</w:t>
      </w:r>
      <w:r w:rsidR="0024412C">
        <w:t xml:space="preserve"> </w:t>
      </w:r>
      <w:r>
        <w:t xml:space="preserve">podá RO podnet na ÚVO iba v prípade, ak ÚVO nevydal rozhodnutie na základe podnetu podľa § 169 ods. 2 ZVO. V prípade uvedenom pod písmenom d), </w:t>
      </w:r>
      <w:r w:rsidR="00C93F30">
        <w:t xml:space="preserve">t. j. </w:t>
      </w:r>
      <w:r>
        <w:t xml:space="preserve"> ak bola v rámci VO predložená iba 1 ponuka, je RO povinný zasielať dokumentáciu na kontrolu ÚVO iba vtedy, ak sa podľa predpokladanej hodnoty zákazky jedná o zákazku v hodnote vyššej ako 40 tisíc EUR bez DPH. Ak sa jedná o zákazku realizovanú cez EKS, má RO možnosť zaslať uvedenú zákazku na kontrolu na ÚVO, v prípade že je splnený limit podľa predchádzajúcej vety. RO bezodkladne po predložení dokumentácie ku kontrole VO zo strany prijímateľa vykoná analýzu rizík. Pokiaľ sú nedostatky tejto dokumentácie takého charakteru, že RO nevie vykonať analýzu rizík (pretože nevie odpovedať na všetky otázky), RO je povinný vykonať analýzu rizík bezodkladne po doručení dokumentácie, ktorú si vyžiadal na doplnenie. Rovnako, pokiaľ počas kontroly zistí nové skutočnosti, ktoré môžu ovplyvniť výsledok analýzy rizík, vykoná túto analýzu opätovne. RO zodpovedá za korektné vyplnenie kontrolného listu analýzy rizík a všetky údaje a odpovede v nej uvedené, musia byť v súlade so skutočnosťami uvedenými v predmetnom VO. Výsledný záznam z vykonania analýzy rizík zasiela RO spolu so žiadosťou o spoluprácu ÚVO.</w:t>
      </w:r>
    </w:p>
    <w:p w14:paraId="6B367179" w14:textId="77777777" w:rsidR="00B650E5" w:rsidRDefault="00B650E5">
      <w:pPr>
        <w:numPr>
          <w:ilvl w:val="0"/>
          <w:numId w:val="254"/>
        </w:numPr>
        <w:spacing w:before="120" w:after="120"/>
        <w:ind w:left="426" w:hanging="426"/>
        <w:jc w:val="both"/>
      </w:pPr>
      <w:r>
        <w:t>Vzorové kontrolné listy analýzy rizík, kontrolné otázky, záznam z analýzy rizík a hodnotiaci kľúč vypracuje RO na základe vzorovej analýzy rizík</w:t>
      </w:r>
      <w:r>
        <w:rPr>
          <w:rStyle w:val="Odkaznapoznmkupodiarou"/>
        </w:rPr>
        <w:footnoteReference w:id="108"/>
      </w:r>
      <w:r>
        <w:t xml:space="preserve">, ktorá má pre RO odporúčací charakter. Konečnú zodpovednosť za rozsah kontrolných otázok a hodnotiaceho kľúča nesie RO, </w:t>
      </w:r>
      <w:r w:rsidR="00C93F30">
        <w:t>keďže</w:t>
      </w:r>
      <w:r>
        <w:t xml:space="preserve"> je tým zabezpečované zohľadnenie špecifík jednotlivých operačných programov. </w:t>
      </w:r>
      <w:r>
        <w:rPr>
          <w:lang w:eastAsia="en-US"/>
        </w:rPr>
        <w:t>Práve indikatívny rámec vzorovej analýzy rizík umožňuje pristúpiť k rozdielom, ktoré spočívajú v rozdielnych predmetoch zákaziek v rámci OP, v prítomnosti rôznych postupov vo verejnom obstarávaní a v rozdielnom rozvrstvení zákaziek.</w:t>
      </w:r>
      <w:r>
        <w:t xml:space="preserve"> </w:t>
      </w:r>
    </w:p>
    <w:p w14:paraId="22AC29B1" w14:textId="77777777" w:rsidR="00B650E5" w:rsidRDefault="00B650E5">
      <w:pPr>
        <w:numPr>
          <w:ilvl w:val="0"/>
          <w:numId w:val="254"/>
        </w:numPr>
        <w:spacing w:before="120" w:after="120"/>
        <w:ind w:left="426" w:hanging="426"/>
        <w:jc w:val="both"/>
      </w:pPr>
      <w:r>
        <w:t xml:space="preserve">Výsledok analýzy rizík je bodové hodnotenie, ktoré v zmysle hodnotiaceho kľúča zaradí kontrolované VO nasledovne: </w:t>
      </w:r>
    </w:p>
    <w:p w14:paraId="41C83328" w14:textId="77777777" w:rsidR="00B650E5" w:rsidRDefault="00B650E5">
      <w:pPr>
        <w:numPr>
          <w:ilvl w:val="0"/>
          <w:numId w:val="50"/>
        </w:numPr>
        <w:spacing w:before="120" w:after="120"/>
        <w:ind w:left="851" w:hanging="425"/>
        <w:jc w:val="both"/>
      </w:pPr>
      <w:r>
        <w:t>VO nepredstavuje zvýšené riziko = RO nie je oprávnený zaslať VO na kontrolu ÚVO,</w:t>
      </w:r>
    </w:p>
    <w:p w14:paraId="385F66CA" w14:textId="77777777" w:rsidR="00B650E5" w:rsidRDefault="00B650E5">
      <w:pPr>
        <w:numPr>
          <w:ilvl w:val="0"/>
          <w:numId w:val="50"/>
        </w:numPr>
        <w:spacing w:before="120" w:after="120"/>
        <w:ind w:left="851" w:hanging="425"/>
        <w:jc w:val="both"/>
      </w:pPr>
      <w:r>
        <w:lastRenderedPageBreak/>
        <w:t>VO predstavuje určité riziko = RO je oprávnené zaslať VO na kontrolu ÚVO,</w:t>
      </w:r>
    </w:p>
    <w:p w14:paraId="3EF72461" w14:textId="77777777" w:rsidR="00B650E5" w:rsidRDefault="00B650E5">
      <w:pPr>
        <w:numPr>
          <w:ilvl w:val="0"/>
          <w:numId w:val="50"/>
        </w:numPr>
        <w:spacing w:before="120" w:after="120"/>
        <w:ind w:left="851" w:hanging="425"/>
        <w:jc w:val="both"/>
      </w:pPr>
      <w:r>
        <w:t>VO predstavuje zvýšené riziko = RO je povinné zaslať VO na kontrolu ÚVO.</w:t>
      </w:r>
      <w:r>
        <w:tab/>
      </w:r>
    </w:p>
    <w:p w14:paraId="2A3B84A4" w14:textId="77777777" w:rsidR="00B650E5" w:rsidRDefault="00B650E5">
      <w:pPr>
        <w:numPr>
          <w:ilvl w:val="0"/>
          <w:numId w:val="254"/>
        </w:numPr>
        <w:spacing w:before="120" w:after="120"/>
        <w:ind w:left="426" w:hanging="426"/>
        <w:jc w:val="both"/>
      </w:pPr>
      <w:r>
        <w:t xml:space="preserve">Samotný výsledok analýzy rizík nemá vplyv na závery finančnej kontroly VO, </w:t>
      </w:r>
      <w:r w:rsidR="00C93F30">
        <w:t>keďže</w:t>
      </w:r>
      <w:r>
        <w:t xml:space="preserve"> RO môže aj pri nerizikových VO objaviť závažné nedostatky a naopak. Predstavuje ale záväzné závery pre aplikáciu spolupráce s ÚVO v zmysle dohody o spolupráci.</w:t>
      </w:r>
    </w:p>
    <w:p w14:paraId="485C5488" w14:textId="77777777" w:rsidR="00B650E5" w:rsidRDefault="00B650E5">
      <w:pPr>
        <w:numPr>
          <w:ilvl w:val="0"/>
          <w:numId w:val="254"/>
        </w:numPr>
        <w:spacing w:before="120" w:after="120"/>
        <w:ind w:left="426" w:hanging="426"/>
        <w:jc w:val="both"/>
      </w:pPr>
      <w:r>
        <w:t>V prípade výsledku analýzy „VO predstavuje určité riziko“ je na zvážení RO, či v rámci daného VO požiada ÚVO o vykonanie kontroly. V prípade výsledkov analýzy rizík „VO nepredstavuje zvýšené riziko“ a „VO predstavuje určité riziko“ je RO v prípade pochybností o správnosti postupu prijímateľa v procese VO oprávnený využiť iné formy spolupráce s ÚVO uvedené v </w:t>
      </w:r>
      <w:r w:rsidRPr="000E286B">
        <w:t xml:space="preserve">kapitole 3.3.7.4.1.2 ods. </w:t>
      </w:r>
      <w:r>
        <w:t xml:space="preserve">4. Pokiaľ je RO podľa výsledku analýzy rizík povinný alebo oprávnený požiadať o vykonanie kontroly, túto žiadosť spolu so záznamom z vykonania analýzy rizík zašle bezodkladne po vykonaní analýzy rizík písomne na ÚVO. O uvedenej skutočnosti zároveň informuje prijímateľa. Dokumentáciu RO na kontrolu ÚVO nepredkladá, </w:t>
      </w:r>
      <w:r w:rsidR="00C93F30">
        <w:t>keďže</w:t>
      </w:r>
      <w:r>
        <w:t xml:space="preserve"> ÚVO svoju kontrolu vykonáva na základe originálnej dokumentácie z procesu VO, ktorú si vyžiada od prijímateľa.</w:t>
      </w:r>
    </w:p>
    <w:p w14:paraId="1923ADCA" w14:textId="494B1735" w:rsidR="00B650E5" w:rsidRPr="00530C13" w:rsidRDefault="00B650E5">
      <w:pPr>
        <w:numPr>
          <w:ilvl w:val="0"/>
          <w:numId w:val="254"/>
        </w:numPr>
        <w:spacing w:before="120" w:after="120"/>
        <w:ind w:left="426" w:hanging="426"/>
        <w:jc w:val="both"/>
      </w:pPr>
      <w:r>
        <w:t xml:space="preserve">Výsledkom takejto spolupráce s ÚVO v rámci druhej </w:t>
      </w:r>
      <w:r w:rsidR="00FB1D18">
        <w:t>ex ante</w:t>
      </w:r>
      <w:r>
        <w:t xml:space="preserve"> kontroly alebo ex</w:t>
      </w:r>
      <w:r w:rsidR="0024412C">
        <w:t>-</w:t>
      </w:r>
      <w:r>
        <w:t xml:space="preserve">post kontroly je konanie o preskúmanie úkonov kontrolovaného (prijímateľa, budúceho žiadateľa) podľa § 169 ods. 1 v spojení s ods. 2 alebo ods. 3 ZVO. ÚVO o začatí tejto kontroly informuje RO. Výsledkom konania ÚVO je rozhodnutie, ktoré predstavuje podklad, ktorý RO zohľadňuje             v záveroch návrhu správy/správy z finančnej kontroly VO a v kontrolnom zozname. V prípade, že rozhodnutie ÚVO vydané v rámci výkonu </w:t>
      </w:r>
      <w:r w:rsidR="00FB1D18">
        <w:t>ex post</w:t>
      </w:r>
      <w:r>
        <w:t xml:space="preserve"> kontroly neidentifikuje porušenie ZVO, ktoré na základe výsledkov finančnej kontroly RO malo alebo mohlo mať vplyv na výsledok </w:t>
      </w:r>
      <w:r w:rsidRPr="00530C13">
        <w:t>VO,</w:t>
      </w:r>
      <w:r>
        <w:t xml:space="preserve"> </w:t>
      </w:r>
      <w:r w:rsidRPr="00530C13">
        <w:t xml:space="preserve">napr. </w:t>
      </w:r>
      <w:r>
        <w:t xml:space="preserve">sa jedná o zistenie z </w:t>
      </w:r>
      <w:r w:rsidRPr="00530C13">
        <w:t>aud</w:t>
      </w:r>
      <w:r w:rsidRPr="00305CCD">
        <w:t>it</w:t>
      </w:r>
      <w:r>
        <w:t>ov</w:t>
      </w:r>
      <w:r w:rsidRPr="00305CCD">
        <w:t xml:space="preserve"> EK/EDA alebo judikatúry ESD), je RO oprávnený nepremietnuť tieto závery kontroly ÚVO do svojich záverov a tieto porušenia uviesť ako svoje zistenia </w:t>
      </w:r>
      <w:r>
        <w:t xml:space="preserve">v návrhu správy z kontroly </w:t>
      </w:r>
      <w:r w:rsidRPr="00530C13">
        <w:t>a v kontrolnom zozname. Zároveň v týchto dokumentoch uvedie RO túto skutočnosť a  zdôvodnenie takéhoto postupu.</w:t>
      </w:r>
    </w:p>
    <w:p w14:paraId="08CEE3B2" w14:textId="77777777" w:rsidR="00B650E5" w:rsidRDefault="00B650E5">
      <w:pPr>
        <w:numPr>
          <w:ilvl w:val="0"/>
          <w:numId w:val="254"/>
        </w:numPr>
        <w:spacing w:before="120" w:after="120"/>
        <w:ind w:left="426" w:hanging="426"/>
        <w:jc w:val="both"/>
      </w:pPr>
      <w:r w:rsidRPr="00530C13">
        <w:t xml:space="preserve">RO po </w:t>
      </w:r>
      <w:r>
        <w:t xml:space="preserve">podaní podnetu </w:t>
      </w:r>
      <w:r w:rsidRPr="00530C13">
        <w:t>na ÚVO pokračuje ďalej vo svojej kontrole a zároveň čaká na výsled</w:t>
      </w:r>
      <w:r>
        <w:t>ok konania ÚVO</w:t>
      </w:r>
      <w:r w:rsidRPr="00530C13">
        <w:t xml:space="preserve">. Po doručení </w:t>
      </w:r>
      <w:r>
        <w:t xml:space="preserve">rozhodnutia </w:t>
      </w:r>
      <w:r w:rsidRPr="00530C13">
        <w:t xml:space="preserve">ÚVO spracuje  </w:t>
      </w:r>
      <w:r>
        <w:t xml:space="preserve">RO </w:t>
      </w:r>
      <w:r w:rsidRPr="00530C13">
        <w:t>závery svojej kontroly</w:t>
      </w:r>
      <w:r>
        <w:t xml:space="preserve">, čím </w:t>
      </w:r>
      <w:r w:rsidRPr="00530C13">
        <w:t xml:space="preserve">nie je dotknutá povinnosť vykonania </w:t>
      </w:r>
      <w:r>
        <w:t xml:space="preserve">finančnej </w:t>
      </w:r>
      <w:r w:rsidRPr="00530C13">
        <w:t>kontroly VO, ani zodpovednosť RO za výkon tejto kontroly  v zmysle  článku 125 ods. 4 všeobecného</w:t>
      </w:r>
      <w:r>
        <w:t xml:space="preserve"> nariadenia. </w:t>
      </w:r>
    </w:p>
    <w:p w14:paraId="0401D7D1" w14:textId="77777777" w:rsidR="00B650E5" w:rsidRDefault="00B650E5">
      <w:pPr>
        <w:numPr>
          <w:ilvl w:val="0"/>
          <w:numId w:val="254"/>
        </w:numPr>
        <w:spacing w:before="120" w:after="120"/>
        <w:ind w:left="426" w:hanging="426"/>
        <w:jc w:val="both"/>
      </w:pPr>
      <w:r>
        <w:t xml:space="preserve">RO je pri prvej </w:t>
      </w:r>
      <w:r w:rsidR="00FB1D18">
        <w:t>ex ante</w:t>
      </w:r>
      <w:r>
        <w:t xml:space="preserv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konania, inovatívne partnerstvo). Predmetom činnosti ÚVO v rámci spolupráce s RO pri prvej </w:t>
      </w:r>
      <w:r w:rsidR="00FB1D18">
        <w:t>ex ante</w:t>
      </w:r>
      <w:r>
        <w:t xml:space="preserve"> kontrole nie je posudzovanie požiadaviek na technické špecifikácie, výkonnostné a funkčné požiadavky a charakteristiky a odborné požiadavky predmetu zákazky podľa § 42 ZVO. RO za účelom kvalifikovaného posúdenia opisu predmetu zákazky z pohľadu jeho nediskriminačného nastavenia môže využívať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Predmetom </w:t>
      </w:r>
      <w:r w:rsidR="00FB1D18">
        <w:t>ex ante</w:t>
      </w:r>
      <w:r>
        <w:t xml:space="preserve"> posúdenia v rámci prvej </w:t>
      </w:r>
      <w:r w:rsidR="00FB1D18">
        <w:t>ex ante</w:t>
      </w:r>
      <w:r>
        <w:t xml:space="preserve"> kontroly zo strany ÚVO nie sú ani zmluvné podmienky, ktoré sú súčasťou súťažných podkladov. V tomto prípade je rovnako v zodpovednosti RO overiť túto súčasť dokumentácie z pohľadu jeho súladu s princípmi VO, pričom zámerom RO by malo byť v čo najvyššej miere podporovať povinné vyžívanie vzorových zmluvných podmienok </w:t>
      </w:r>
      <w:r>
        <w:lastRenderedPageBreak/>
        <w:t>definovaných všeobecne pre  konkrétne typy zákaziek. Uvedenú povinnosť RO definuje vo svojej riadiacej dokumentácii.</w:t>
      </w:r>
    </w:p>
    <w:p w14:paraId="55C13096" w14:textId="77777777" w:rsidR="00B650E5" w:rsidRDefault="00B650E5">
      <w:pPr>
        <w:numPr>
          <w:ilvl w:val="0"/>
          <w:numId w:val="254"/>
        </w:numPr>
        <w:spacing w:before="120" w:after="120"/>
        <w:ind w:left="426" w:hanging="426"/>
        <w:jc w:val="both"/>
      </w:pPr>
      <w:r>
        <w:t xml:space="preserve">RO je vo výnimočných prípadoch oprávnený požiadať o kontrolu bez ohľadu na výsledok analýzy rizík. V tomto prípade je RO povinný v žiadosti uviesť zdôvodnenie tohto postupu, pričom akceptovanie uvedených dôvodov  je v kompetencii ÚVO. </w:t>
      </w:r>
      <w:r>
        <w:tab/>
      </w:r>
      <w:r>
        <w:tab/>
      </w:r>
    </w:p>
    <w:p w14:paraId="6F71C527" w14:textId="2D1D737A" w:rsidR="00617B94" w:rsidRDefault="00617B94">
      <w:pPr>
        <w:numPr>
          <w:ilvl w:val="0"/>
          <w:numId w:val="254"/>
        </w:numPr>
        <w:spacing w:before="120" w:after="120"/>
        <w:ind w:left="426" w:hanging="426"/>
        <w:jc w:val="both"/>
      </w:pPr>
      <w:r w:rsidRPr="00617B94">
        <w:t xml:space="preserve">Rada ÚVO môže na základe podnetu RO, </w:t>
      </w:r>
      <w:r w:rsidR="0012163A">
        <w:t>O</w:t>
      </w:r>
      <w:r w:rsidRPr="00617B94">
        <w:t xml:space="preserve">rgánu auditu alebo </w:t>
      </w:r>
      <w:r w:rsidR="0012163A">
        <w:t>C</w:t>
      </w:r>
      <w:r w:rsidRPr="00617B94">
        <w:t xml:space="preserve">ertifikačného orgánu preskúmať mimo odvolacieho konania rozhodnutie ÚVO vydané podľa § 174 alebo § 175 ZVO za podmienok upravených v ustanovení § 179a ZVO.  </w:t>
      </w:r>
    </w:p>
    <w:p w14:paraId="7AA56120" w14:textId="77777777" w:rsidR="00B650E5" w:rsidRDefault="00B650E5">
      <w:pPr>
        <w:numPr>
          <w:ilvl w:val="0"/>
          <w:numId w:val="254"/>
        </w:numPr>
        <w:spacing w:before="120" w:after="120"/>
        <w:ind w:left="426" w:hanging="426"/>
        <w:jc w:val="both"/>
      </w:pPr>
      <w:r>
        <w:t>Podrobnosti komunikácie RO a ÚVO, lehoty výkonu kontroly a ďalšie povinnosti sú uvedené v dohode o spolupráci.</w:t>
      </w:r>
    </w:p>
    <w:p w14:paraId="358C017C" w14:textId="77777777" w:rsidR="00B650E5" w:rsidRDefault="00B650E5">
      <w:pPr>
        <w:pStyle w:val="SRK5"/>
      </w:pPr>
      <w:bookmarkStart w:id="416" w:name="_Toc453234048"/>
      <w:bookmarkStart w:id="417" w:name="_Toc495649405"/>
      <w:bookmarkStart w:id="418" w:name="kapitola_337412"/>
      <w:r>
        <w:t>3.3.7.4.1.2 Rozsah spolupráce s ÚVO</w:t>
      </w:r>
      <w:bookmarkEnd w:id="416"/>
      <w:bookmarkEnd w:id="417"/>
    </w:p>
    <w:bookmarkEnd w:id="418"/>
    <w:p w14:paraId="5721CB6F" w14:textId="77777777" w:rsidR="00B650E5" w:rsidRDefault="00B650E5">
      <w:pPr>
        <w:numPr>
          <w:ilvl w:val="0"/>
          <w:numId w:val="331"/>
        </w:numPr>
        <w:spacing w:before="120" w:after="120"/>
        <w:ind w:left="426" w:hanging="426"/>
        <w:jc w:val="both"/>
      </w:pPr>
      <w:r>
        <w:t xml:space="preserve">Úprava vzájomnej spolupráce ÚVO a CKO pri zabezpečovaní činností pre jednotlivé RO, najmä vymedzenie rozsahu, lehôt a základných spôsobov spolupráce pri kontrole postupov VO, ktoré sú spolufinancované z fondov a ENRF, je upravené v dohode </w:t>
      </w:r>
      <w:r w:rsidR="00E54F25">
        <w:t xml:space="preserve">o spolupráci </w:t>
      </w:r>
      <w:r>
        <w:t xml:space="preserve">s ÚVO. </w:t>
      </w:r>
    </w:p>
    <w:p w14:paraId="468655EA" w14:textId="77777777" w:rsidR="00B650E5" w:rsidRDefault="00B650E5">
      <w:pPr>
        <w:numPr>
          <w:ilvl w:val="0"/>
          <w:numId w:val="331"/>
        </w:numPr>
        <w:spacing w:before="120" w:after="120"/>
        <w:ind w:left="426" w:hanging="426"/>
        <w:jc w:val="both"/>
      </w:pPr>
      <w:r>
        <w:t>RO sú pri spolupráci s ÚVO povinné postupovať v súlade s ustanoveniami uzavretej dohody s ÚVO.</w:t>
      </w:r>
    </w:p>
    <w:p w14:paraId="2A9ABDC3" w14:textId="77777777" w:rsidR="00B650E5" w:rsidRDefault="00B650E5">
      <w:pPr>
        <w:numPr>
          <w:ilvl w:val="0"/>
          <w:numId w:val="331"/>
        </w:numPr>
        <w:spacing w:before="120" w:after="120"/>
        <w:ind w:left="426" w:hanging="426"/>
        <w:jc w:val="both"/>
      </w:pPr>
      <w:r>
        <w:t>ÚVO vykoná kontrolu pred uzavretím zmluvy, koncesnej zmluvy alebo rámcovej dohody, pred ukončením súťaže návrhov, pred zadaním zákazky na základe rámcovej dohody alebo pred ukončením postupu inovatívneho partnerstva na základe podnetu prijímateľa podľa § 169 ods. 2 ZVO v prípade nadlimitnej zákazky, čo aj z časti financovanej z prostriedkov Európskej únie.</w:t>
      </w:r>
    </w:p>
    <w:p w14:paraId="0D6EADD2" w14:textId="77777777" w:rsidR="00B650E5" w:rsidRDefault="00B650E5">
      <w:pPr>
        <w:numPr>
          <w:ilvl w:val="0"/>
          <w:numId w:val="331"/>
        </w:numPr>
        <w:spacing w:before="120" w:after="120"/>
        <w:ind w:left="426" w:hanging="426"/>
        <w:jc w:val="both"/>
      </w:pPr>
      <w:bookmarkStart w:id="419" w:name="kapitola_337412_ods_3"/>
      <w:r>
        <w:t>V zmysle dohody o spolupráci je RO oprávnený písomne požiadať ÚVO o:</w:t>
      </w:r>
    </w:p>
    <w:bookmarkEnd w:id="419"/>
    <w:p w14:paraId="6A0F0BCE" w14:textId="77777777" w:rsidR="00B650E5" w:rsidRDefault="00FB1D18">
      <w:pPr>
        <w:numPr>
          <w:ilvl w:val="0"/>
          <w:numId w:val="51"/>
        </w:numPr>
        <w:spacing w:before="120" w:after="120"/>
        <w:ind w:left="850" w:hanging="425"/>
        <w:jc w:val="both"/>
      </w:pPr>
      <w:r>
        <w:t>ex ante</w:t>
      </w:r>
      <w:r w:rsidR="00B650E5">
        <w:t xml:space="preserve"> posúdenie dokumentácie k pripravovanému VO – nadlimitné zákazky alebo nasledovné postupy bez ohľadu na finančný limit: súťaž návrhov, súťažný dialóg a rokovacie konania, inovatívne partnerstvo,</w:t>
      </w:r>
    </w:p>
    <w:p w14:paraId="5E44D8B8" w14:textId="77777777" w:rsidR="00B650E5" w:rsidRDefault="00B650E5">
      <w:pPr>
        <w:numPr>
          <w:ilvl w:val="0"/>
          <w:numId w:val="51"/>
        </w:numPr>
        <w:spacing w:before="120" w:after="120"/>
        <w:ind w:left="850" w:hanging="425"/>
        <w:jc w:val="both"/>
      </w:pPr>
      <w:r>
        <w:t xml:space="preserve">osobnú konzultáciu k čiastkovému problému VO – nezávisle od postupu vo verejnom VO, limitu zákazky, alebo štádia procesu konkrétneho VO, </w:t>
      </w:r>
    </w:p>
    <w:p w14:paraId="123AE07D" w14:textId="77777777" w:rsidR="00B650E5" w:rsidRDefault="00B650E5">
      <w:pPr>
        <w:numPr>
          <w:ilvl w:val="0"/>
          <w:numId w:val="51"/>
        </w:numPr>
        <w:spacing w:before="120" w:after="120"/>
        <w:ind w:left="850" w:hanging="425"/>
        <w:jc w:val="both"/>
      </w:pPr>
      <w:r>
        <w:t>vypracovanie stanoviska o súlade čiastkových problémov VO so ZVO v štádiu pred uzavretím zmluvy – nezávisle od postupu vo VO a limitu zákazky,</w:t>
      </w:r>
    </w:p>
    <w:p w14:paraId="77C2E67C" w14:textId="77777777" w:rsidR="00B650E5" w:rsidRDefault="00B650E5">
      <w:pPr>
        <w:numPr>
          <w:ilvl w:val="0"/>
          <w:numId w:val="51"/>
        </w:numPr>
        <w:spacing w:before="120" w:after="120"/>
        <w:ind w:left="850" w:hanging="425"/>
        <w:jc w:val="both"/>
      </w:pPr>
      <w:r>
        <w:t xml:space="preserve">vykonanie kontroly VO pred uzavretím zmluvy pri podlimitných zákazkách v závislosti od výsledku analýzy rizík za predpokladu, že RO rozšíril druhú </w:t>
      </w:r>
      <w:r w:rsidR="00FB1D18">
        <w:t>ex ante</w:t>
      </w:r>
      <w:r>
        <w:t xml:space="preserve"> kontrolu aj o podlimitné zákazky alebo v prípade, ak bola v rámci zadávania zákazky predložená iba jedna ponuka,</w:t>
      </w:r>
    </w:p>
    <w:p w14:paraId="0B112367" w14:textId="5DE3E590" w:rsidR="00B650E5" w:rsidRDefault="00B650E5">
      <w:pPr>
        <w:numPr>
          <w:ilvl w:val="0"/>
          <w:numId w:val="51"/>
        </w:numPr>
        <w:spacing w:before="120" w:after="120"/>
        <w:ind w:left="850" w:hanging="425"/>
        <w:jc w:val="both"/>
      </w:pPr>
      <w:r>
        <w:t xml:space="preserve">vykonanie kontroly VO po uzavretí zmluvy (štandardná </w:t>
      </w:r>
      <w:r w:rsidR="00FB1D18">
        <w:t>ex post</w:t>
      </w:r>
      <w:r>
        <w:t xml:space="preserve"> kontrola) pri nadlimitných zákazkách (ak nebolo vydané rozhodnutie na základe podnetu podľa § 169 ods. 2 ZVO), v závislosti od výsledku analýzy rizík pri podlimitných zákazkách, alebo v prípade, ak bola v rámci zadávania zákazky predložená iba jedna ponuka, v prípade súťaže návrhov, súťažného dialógu, priameho rokovacieho konania, rokovacieho konania so zverejnením alebo inovatívneho partnerstva bez ohľadu na finančný limit a vykonanie kontroly VO po uzavretí zmluvy nezávisle od postupu vo verejnom VO a limitu zákazky v prípade, ak ide                  o podnet podľa § 41 zákona o príspevku z EŠIF,</w:t>
      </w:r>
    </w:p>
    <w:p w14:paraId="169F2DC7" w14:textId="77777777" w:rsidR="00B650E5" w:rsidRDefault="00B650E5">
      <w:pPr>
        <w:numPr>
          <w:ilvl w:val="0"/>
          <w:numId w:val="51"/>
        </w:numPr>
        <w:spacing w:before="120" w:after="120"/>
        <w:ind w:left="850" w:hanging="425"/>
        <w:jc w:val="both"/>
      </w:pPr>
      <w:r>
        <w:t>spoluprácu pri vyhodnocovaní auditných zistení EK</w:t>
      </w:r>
      <w:r w:rsidR="00E54F25">
        <w:t>/EDA</w:t>
      </w:r>
      <w:r>
        <w:t xml:space="preserve"> týkajúcich sa VO.</w:t>
      </w:r>
    </w:p>
    <w:p w14:paraId="270ED4E4" w14:textId="3BF3C8C9" w:rsidR="00B650E5" w:rsidRDefault="00B650E5" w:rsidP="00997CB0">
      <w:pPr>
        <w:numPr>
          <w:ilvl w:val="0"/>
          <w:numId w:val="51"/>
        </w:numPr>
        <w:spacing w:before="120" w:after="120"/>
        <w:ind w:left="850" w:hanging="425"/>
        <w:jc w:val="both"/>
      </w:pPr>
      <w:r>
        <w:t>v prípade podlimitných zákaziek realizovaných cez EKS je RO oprávnený predkladať na kontrolu ÚVO len také zákazky, ktorých hodnota je rovnaká alebo vyššia ako 40 tisíc EUR</w:t>
      </w:r>
      <w:r w:rsidR="00887348">
        <w:t xml:space="preserve"> bez DPH</w:t>
      </w:r>
      <w:r>
        <w:t>.</w:t>
      </w:r>
    </w:p>
    <w:p w14:paraId="7F09F495" w14:textId="77777777" w:rsidR="00B650E5" w:rsidRDefault="00B650E5">
      <w:pPr>
        <w:numPr>
          <w:ilvl w:val="0"/>
          <w:numId w:val="331"/>
        </w:numPr>
        <w:spacing w:before="120" w:after="120"/>
        <w:ind w:left="426" w:hanging="426"/>
        <w:jc w:val="both"/>
      </w:pPr>
      <w:r>
        <w:lastRenderedPageBreak/>
        <w:t xml:space="preserve">RO je povinný poskytovať všetky informácie, ktoré sú potrebné na riadne plnenie práv a povinností vyplývajúcich z dohody s ÚVO. </w:t>
      </w:r>
    </w:p>
    <w:p w14:paraId="3BF8FC74" w14:textId="77777777" w:rsidR="00B650E5" w:rsidRDefault="00B650E5">
      <w:pPr>
        <w:numPr>
          <w:ilvl w:val="0"/>
          <w:numId w:val="331"/>
        </w:numPr>
        <w:spacing w:before="120" w:after="120"/>
        <w:ind w:left="426" w:hanging="426"/>
        <w:jc w:val="both"/>
      </w:pPr>
      <w:r>
        <w:t>RO je povinný súčasne zo svojou žiadosťou o spoluprácu zaslať ÚVO aj súvisiacu dokumentáciu, ktorá bude predmetom kontroly alebo posudzovania. RO nezasiela ÚVO dokumentáciu, ktorú si ÚVO v rámci svojich kontrolných postupov žiada od verejného obstarávateľa (okrem prípadu, že touto dokumentáciou disponuje RO a nie prijímateľ).</w:t>
      </w:r>
    </w:p>
    <w:p w14:paraId="59F9BF96" w14:textId="77777777" w:rsidR="00B650E5" w:rsidRDefault="00B650E5">
      <w:pPr>
        <w:numPr>
          <w:ilvl w:val="0"/>
          <w:numId w:val="331"/>
        </w:numPr>
        <w:spacing w:before="120" w:after="120"/>
        <w:ind w:left="426" w:hanging="426"/>
        <w:jc w:val="both"/>
      </w:pPr>
      <w:r>
        <w:t xml:space="preserve">RO je oprávnený v zmysle dohody požiadať ÚVO o odbornú podporu pri vyhodnocovaní, spracovaní a argumentácii v rámci zistení auditov EK alebo zistení EDA, 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14:paraId="5D37C857" w14:textId="77777777" w:rsidR="00B650E5" w:rsidRDefault="00B650E5">
      <w:pPr>
        <w:numPr>
          <w:ilvl w:val="0"/>
          <w:numId w:val="331"/>
        </w:numPr>
        <w:spacing w:before="120" w:after="120"/>
        <w:ind w:left="426" w:hanging="426"/>
        <w:jc w:val="both"/>
      </w:pPr>
      <w:r>
        <w:t>Akékoľvek  nejasnosti spojené s plnením jednotlivých ustanovení dohody s ÚVO sú povinné RO odstrániť vzájomnými rokovaniami a primeranými preventívnymi opatreniami.</w:t>
      </w:r>
    </w:p>
    <w:p w14:paraId="400D8C32" w14:textId="77777777" w:rsidR="00B650E5" w:rsidRDefault="00B650E5">
      <w:pPr>
        <w:numPr>
          <w:ilvl w:val="0"/>
          <w:numId w:val="331"/>
        </w:numPr>
        <w:spacing w:before="120" w:after="120"/>
        <w:ind w:left="426" w:hanging="426"/>
        <w:jc w:val="both"/>
      </w:pPr>
      <w:r>
        <w:t>RO je povinný informovať CKO v prípade, ak ÚVO neplní svoje povinnosti podľa uzavretej dohody s ÚVO. K informácii RO  zasiela presnú identifikáciu porušení dohody.</w:t>
      </w:r>
    </w:p>
    <w:p w14:paraId="62C824CA" w14:textId="5E4E9E76" w:rsidR="00E13721" w:rsidRPr="00C433B1" w:rsidRDefault="0079703E" w:rsidP="00997CB0">
      <w:pPr>
        <w:numPr>
          <w:ilvl w:val="0"/>
          <w:numId w:val="331"/>
        </w:numPr>
        <w:tabs>
          <w:tab w:val="left" w:pos="426"/>
        </w:tabs>
        <w:ind w:left="426" w:hanging="426"/>
        <w:jc w:val="both"/>
      </w:pPr>
      <w:r>
        <w:t xml:space="preserve">ÚVO </w:t>
      </w:r>
      <w:r w:rsidR="00C433B1">
        <w:t xml:space="preserve">vykonáva </w:t>
      </w:r>
      <w:r w:rsidR="00E13721">
        <w:t xml:space="preserve">v zmysle </w:t>
      </w:r>
      <w:r w:rsidR="00C433B1">
        <w:t>ZVO</w:t>
      </w:r>
      <w:r w:rsidR="00E13721">
        <w:t xml:space="preserve"> </w:t>
      </w:r>
      <w:r w:rsidR="00FB1D18">
        <w:t>ex ante</w:t>
      </w:r>
      <w:r w:rsidR="00E13721">
        <w:t xml:space="preserve"> posúdenie (§ 168 ZVO), kontrolu pred uzavretím zmluvy (§ 169 ods. 1), kontrolu po uzavretí zmluvy (§ 169 ods. 3). Kontrolu pravidiel a postupov VO podľa predchádzajúcej vety, ako aj výsledky kontroly ÚVO bezodkladne </w:t>
      </w:r>
      <w:r w:rsidR="00C433B1">
        <w:t>eviduje</w:t>
      </w:r>
      <w:r w:rsidR="00E13721">
        <w:t xml:space="preserve"> </w:t>
      </w:r>
      <w:r w:rsidR="00C433B1">
        <w:t>v</w:t>
      </w:r>
      <w:r w:rsidR="0023261D">
        <w:t> </w:t>
      </w:r>
      <w:r w:rsidR="00C433B1">
        <w:t>ITMS</w:t>
      </w:r>
      <w:r w:rsidR="0023261D">
        <w:t xml:space="preserve"> </w:t>
      </w:r>
      <w:r w:rsidR="00C433B1">
        <w:t>2014+</w:t>
      </w:r>
      <w:r w:rsidR="00C433B1" w:rsidRPr="00C433B1">
        <w:t xml:space="preserve">. </w:t>
      </w:r>
      <w:r w:rsidR="006D0974">
        <w:t>ÚVO e</w:t>
      </w:r>
      <w:r w:rsidR="00C433B1">
        <w:t>vidovaním v</w:t>
      </w:r>
      <w:r w:rsidR="0023261D">
        <w:t> </w:t>
      </w:r>
      <w:r w:rsidR="00C433B1">
        <w:t>ITMS</w:t>
      </w:r>
      <w:r w:rsidR="0023261D">
        <w:t xml:space="preserve"> </w:t>
      </w:r>
      <w:r w:rsidR="00C433B1">
        <w:t xml:space="preserve">2014+ informuje RO o začiatku ako aj o výsledku </w:t>
      </w:r>
      <w:r w:rsidR="00E13721">
        <w:t xml:space="preserve">daného typu </w:t>
      </w:r>
      <w:r w:rsidR="00C433B1">
        <w:t>kontroly.</w:t>
      </w:r>
    </w:p>
    <w:p w14:paraId="135326DB" w14:textId="77777777" w:rsidR="00B650E5" w:rsidRDefault="00B650E5">
      <w:pPr>
        <w:pStyle w:val="SRK5"/>
      </w:pPr>
      <w:bookmarkStart w:id="420" w:name="_Toc386529577"/>
      <w:bookmarkStart w:id="421" w:name="_Toc390248469"/>
      <w:bookmarkStart w:id="422" w:name="_Toc453234049"/>
      <w:bookmarkStart w:id="423" w:name="_Toc495649406"/>
      <w:bookmarkStart w:id="424" w:name="kapitola_33742"/>
      <w:r>
        <w:t>3.3.7.4.2. Spolupráca s PMÚ</w:t>
      </w:r>
      <w:bookmarkEnd w:id="420"/>
      <w:bookmarkEnd w:id="421"/>
      <w:bookmarkEnd w:id="422"/>
      <w:bookmarkEnd w:id="423"/>
      <w:r>
        <w:t xml:space="preserve"> </w:t>
      </w:r>
    </w:p>
    <w:p w14:paraId="78066E74" w14:textId="77777777" w:rsidR="00B650E5" w:rsidRDefault="00B650E5">
      <w:pPr>
        <w:pStyle w:val="SRK5"/>
      </w:pPr>
      <w:bookmarkStart w:id="425" w:name="_Toc453234050"/>
      <w:bookmarkStart w:id="426" w:name="_Toc495649407"/>
      <w:bookmarkEnd w:id="424"/>
      <w:r>
        <w:t>3.3.7.4.2.1 Podmienky spolupráce</w:t>
      </w:r>
      <w:bookmarkEnd w:id="425"/>
      <w:bookmarkEnd w:id="426"/>
    </w:p>
    <w:p w14:paraId="29C8629C" w14:textId="77777777" w:rsidR="00B650E5" w:rsidRDefault="00B650E5">
      <w:pPr>
        <w:numPr>
          <w:ilvl w:val="0"/>
          <w:numId w:val="256"/>
        </w:numPr>
        <w:spacing w:before="120" w:after="120"/>
        <w:ind w:left="426" w:hanging="426"/>
        <w:jc w:val="both"/>
      </w:pPr>
      <w:r>
        <w:t>PMÚ je nezávislý ústredný orgán štátnej správy pre ochranu hospodárskej súťaže</w:t>
      </w:r>
      <w:r w:rsidR="00036B49">
        <w:t xml:space="preserve"> a koordináciu štátnej pomoci</w:t>
      </w:r>
      <w:r>
        <w:t>.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14:paraId="077BC7ED" w14:textId="5045E0F8" w:rsidR="00B650E5" w:rsidRDefault="00B650E5">
      <w:pPr>
        <w:numPr>
          <w:ilvl w:val="0"/>
          <w:numId w:val="256"/>
        </w:numPr>
        <w:spacing w:before="120" w:after="120"/>
        <w:ind w:left="426" w:hanging="426"/>
        <w:jc w:val="both"/>
      </w:pPr>
      <w:r>
        <w:t>Pre oprávnenie spolupráce RO s PMÚ vychádza RO zo zoznamu rizikových indikátorov, ktorý</w:t>
      </w:r>
      <w:r w:rsidRPr="00D645BB">
        <w:t xml:space="preserve"> </w:t>
      </w:r>
      <w:r>
        <w:t xml:space="preserve">upraví CKO v spolupráci s PMÚ v metodickom pokyne. Kumulácia identifikovania viacerých takýchto indikátorov znamená zvýšené riziko z pohľadu možného porušenia zákona o ochrane hospodárskej súťaže  a teda pre RO zvyšuje potrebu spolupráce s PMÚ. </w:t>
      </w:r>
    </w:p>
    <w:p w14:paraId="32B18CFD" w14:textId="298B7126" w:rsidR="00B650E5" w:rsidRDefault="00B650E5">
      <w:pPr>
        <w:numPr>
          <w:ilvl w:val="0"/>
          <w:numId w:val="256"/>
        </w:numPr>
        <w:spacing w:before="120" w:after="120"/>
        <w:ind w:left="426" w:hanging="426"/>
        <w:jc w:val="both"/>
      </w:pPr>
      <w:r>
        <w:t xml:space="preserve">Spolupráca RO s PMÚ nie je podmienená druhom verejného obstarávania, ani fázou jeho realizácie. V prípade </w:t>
      </w:r>
      <w:r w:rsidRPr="00883EF0">
        <w:rPr>
          <w:color w:val="000000"/>
        </w:rPr>
        <w:t>pod</w:t>
      </w:r>
      <w:r>
        <w:rPr>
          <w:color w:val="000000"/>
        </w:rPr>
        <w:t>ania</w:t>
      </w:r>
      <w:r w:rsidRPr="00883EF0">
        <w:rPr>
          <w:color w:val="000000"/>
        </w:rPr>
        <w:t xml:space="preserve"> podnet</w:t>
      </w:r>
      <w:r>
        <w:rPr>
          <w:color w:val="000000"/>
        </w:rPr>
        <w:t xml:space="preserve">u RO na PMÚ </w:t>
      </w:r>
      <w:r w:rsidRPr="00883EF0">
        <w:rPr>
          <w:color w:val="000000"/>
        </w:rPr>
        <w:t xml:space="preserve">z dôvodu podozrenia na porušenie zákona </w:t>
      </w:r>
      <w:r>
        <w:rPr>
          <w:color w:val="000000"/>
        </w:rPr>
        <w:t xml:space="preserve">                  </w:t>
      </w:r>
      <w:r w:rsidRPr="00883EF0">
        <w:rPr>
          <w:color w:val="000000"/>
        </w:rPr>
        <w:t>o ochrane hospodárskej súťaže</w:t>
      </w:r>
      <w:r>
        <w:t xml:space="preserve"> je spolupráca podmienená predpokladanou hodnotou zákazky, alebo súhrnnou hodnotou dotknutých zákaziek, a to vyššou ako 100 000 EUR</w:t>
      </w:r>
      <w:r w:rsidR="00226058">
        <w:t xml:space="preserve"> bez DPH</w:t>
      </w:r>
      <w:r>
        <w:t xml:space="preserve">. RO postupuje pri spolupráci s PMÚ v zmysle dohody o spolupráci uzavretej medzi CKO a PMÚ. </w:t>
      </w:r>
    </w:p>
    <w:p w14:paraId="607AA119" w14:textId="465588F2" w:rsidR="00B650E5" w:rsidRDefault="00B650E5" w:rsidP="007B0E75">
      <w:pPr>
        <w:numPr>
          <w:ilvl w:val="0"/>
          <w:numId w:val="256"/>
        </w:numPr>
        <w:spacing w:before="120" w:after="120"/>
        <w:ind w:left="426" w:hanging="426"/>
        <w:jc w:val="both"/>
      </w:pPr>
      <w:r>
        <w:t xml:space="preserve">Pre účely spolupráce s PMÚ, RO zašle podľa vybraného spôsobu spolupráce na PMÚ žiadosť o konkrétny typ spolupráce. </w:t>
      </w:r>
      <w:r w:rsidR="002822F6">
        <w:t xml:space="preserve">V prípade iniciovania spolupráce s PMÚ podľa kapitoly 3.3.7.4.2.2, ods. 1 (písomná žiadosť o konzultáciu alebo podnet) sa prerušuje plynutie lehôt na výkon finančnej kontroly VO.  </w:t>
      </w:r>
      <w:r>
        <w:t xml:space="preserve">V prípade </w:t>
      </w:r>
      <w:r w:rsidR="002822F6">
        <w:t xml:space="preserve">využitia formy spolupráce formou podnetu z dôvodu podozrenia na porušenie zákona o  ochrane hospodárskej súťaže, </w:t>
      </w:r>
      <w:r>
        <w:t xml:space="preserve">RO pozastaví výkon finančnej kontroly VO do času vyšetrenia podnetu zo strany PMÚ, resp. do doručenia informácie od PMÚ </w:t>
      </w:r>
      <w:r w:rsidR="007B0E75">
        <w:t xml:space="preserve">o </w:t>
      </w:r>
      <w:r w:rsidR="007B0E75" w:rsidRPr="007B0E75">
        <w:t xml:space="preserve">ukončení prešetrovania (v prípade, ak prešetrovaním neboli zistené dôvody na začatie konania), o nezačatí, resp. nepokračovaní v prešetrovaní (ak podnet zo strany RO a v ňom uvedené </w:t>
      </w:r>
      <w:r w:rsidR="007B0E75" w:rsidRPr="007B0E75">
        <w:lastRenderedPageBreak/>
        <w:t xml:space="preserve">informácie vyhodnotí PMÚ ako nedostatočné </w:t>
      </w:r>
      <w:r w:rsidR="0012163A">
        <w:t>na</w:t>
      </w:r>
      <w:r w:rsidR="007B0E75" w:rsidRPr="007B0E75">
        <w:t xml:space="preserve"> vykonanie prešetrovania) alebo </w:t>
      </w:r>
      <w:r>
        <w:t xml:space="preserve">o zastavení konania, pričom RO sa zdrží takého správania, ktoré môže ohroziť alebo zmariť prešetrenie podnetu zo strany PMÚ. Uvedené sa týka najmä zachovania mlčanlivosti, či už sa to týka komunikácie s prijímateľom, s tretími osobami nepodieľajúcimi sa na výkone kontroly alebo komunikácie v rámci vlastného organizačného úseku. Z tohto dôvodu RO v oznámení o prerušení 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xml:space="preserve">). RO je oprávnený ukončiť kontrolu VO až po doručení výsledku spolupráce s PMÚ. </w:t>
      </w:r>
    </w:p>
    <w:p w14:paraId="5B831818" w14:textId="77777777" w:rsidR="00B650E5" w:rsidRDefault="00B650E5">
      <w:pPr>
        <w:numPr>
          <w:ilvl w:val="0"/>
          <w:numId w:val="256"/>
        </w:numPr>
        <w:spacing w:before="120" w:after="120"/>
        <w:ind w:left="426" w:hanging="426"/>
        <w:jc w:val="both"/>
      </w:pPr>
      <w:r>
        <w:t>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identifikuje možné porušenie zákona o ochrane hospodárskej súťaže, je oprávnený podať na PMÚ podnet.</w:t>
      </w:r>
    </w:p>
    <w:p w14:paraId="4F402CA8" w14:textId="77777777" w:rsidR="00B650E5" w:rsidRDefault="00B650E5">
      <w:pPr>
        <w:numPr>
          <w:ilvl w:val="0"/>
          <w:numId w:val="256"/>
        </w:numPr>
        <w:spacing w:before="120" w:after="120"/>
        <w:ind w:left="426" w:hanging="426"/>
        <w:jc w:val="both"/>
      </w:pPr>
      <w:r>
        <w:t>Uvedené formy spolupráce sa týkajú identifikovania možného porušenia zákona o ochrane hospodárskej súťaže,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14:paraId="6BFDFDFF" w14:textId="77777777" w:rsidR="00B650E5" w:rsidRDefault="00B650E5">
      <w:pPr>
        <w:pStyle w:val="SRK5"/>
      </w:pPr>
      <w:bookmarkStart w:id="427" w:name="_Toc453234051"/>
      <w:bookmarkStart w:id="428" w:name="_Toc495649408"/>
      <w:bookmarkStart w:id="429" w:name="kapitola_337422"/>
      <w:r>
        <w:t>3.3.7.4.2.2 Rozsah spolupráce</w:t>
      </w:r>
      <w:bookmarkEnd w:id="427"/>
      <w:bookmarkEnd w:id="428"/>
    </w:p>
    <w:bookmarkEnd w:id="429"/>
    <w:p w14:paraId="0A061F18" w14:textId="77777777" w:rsidR="00B650E5" w:rsidRDefault="00B650E5">
      <w:pPr>
        <w:numPr>
          <w:ilvl w:val="0"/>
          <w:numId w:val="332"/>
        </w:numPr>
        <w:spacing w:before="120" w:after="120"/>
        <w:ind w:left="426" w:hanging="426"/>
        <w:jc w:val="both"/>
      </w:pPr>
      <w:r>
        <w:t xml:space="preserve">V zmysle dohody s PMÚ je RO oprávnený v prípade identifikovania možného porušenia hospodárskej súťaže:  </w:t>
      </w:r>
    </w:p>
    <w:p w14:paraId="27E38E26" w14:textId="77777777" w:rsidR="00B650E5" w:rsidRDefault="00B650E5">
      <w:pPr>
        <w:numPr>
          <w:ilvl w:val="0"/>
          <w:numId w:val="257"/>
        </w:numPr>
        <w:spacing w:before="120" w:after="120"/>
        <w:ind w:left="851" w:hanging="426"/>
        <w:jc w:val="both"/>
      </w:pPr>
      <w:bookmarkStart w:id="430" w:name="kapitola_337422_ods_1a"/>
      <w:r>
        <w:t xml:space="preserve">písomne požiadať PMÚ o konzultáciu (písomnú, osobnú alebo jej kombináciu) k vybraným častiam alebo zisteným skutočnostiam v rámci kontrolovaného VO a ich možného rozporu so zákonom o ochrane hospodárskej súťaže –  nezávisle od postupu vo VO, alebo štádia procesu konkrétneho VO, </w:t>
      </w:r>
    </w:p>
    <w:p w14:paraId="5FD104A5" w14:textId="77777777" w:rsidR="00B650E5" w:rsidRDefault="00B650E5">
      <w:pPr>
        <w:numPr>
          <w:ilvl w:val="0"/>
          <w:numId w:val="257"/>
        </w:numPr>
        <w:spacing w:before="120" w:after="120"/>
        <w:ind w:left="851" w:hanging="426"/>
        <w:jc w:val="both"/>
      </w:pPr>
      <w:bookmarkStart w:id="431" w:name="kapitola_337422_ods_1b"/>
      <w:bookmarkEnd w:id="430"/>
      <w:r>
        <w:t>podať podnet z dôvodu podozrenia na porušenie zákona o  ochrane hospodárskej súťaže.</w:t>
      </w:r>
    </w:p>
    <w:bookmarkEnd w:id="431"/>
    <w:p w14:paraId="70AC1AA9" w14:textId="1D382AC7" w:rsidR="00B650E5" w:rsidRDefault="00B650E5">
      <w:pPr>
        <w:numPr>
          <w:ilvl w:val="0"/>
          <w:numId w:val="332"/>
        </w:numPr>
        <w:spacing w:before="120" w:after="120"/>
        <w:ind w:left="426" w:hanging="426"/>
        <w:jc w:val="both"/>
      </w:pPr>
      <w:r>
        <w:t xml:space="preserve">V žiadosti RO o spoluprácu s PMÚ je RO povinný jasne označiť, o ktorú formu spolupráce má záujem a uviesť dôvod potreby tejto spolupráce v nadväznosti na podanie informácie, ktoré z rizikových indikátorov </w:t>
      </w:r>
      <w:r w:rsidR="002822F6">
        <w:t xml:space="preserve">v zmysle </w:t>
      </w:r>
      <w:hyperlink w:anchor="kapitola_337423" w:tooltip="kapitole 3.3.7.4.2.3" w:history="1">
        <w:r>
          <w:rPr>
            <w:rStyle w:val="Hypertextovprepojenie"/>
          </w:rPr>
          <w:t>kapitol</w:t>
        </w:r>
        <w:r w:rsidR="002822F6">
          <w:rPr>
            <w:rStyle w:val="Hypertextovprepojenie"/>
          </w:rPr>
          <w:t>y</w:t>
        </w:r>
        <w:r>
          <w:rPr>
            <w:rStyle w:val="Hypertextovprepojenie"/>
          </w:rPr>
          <w:t xml:space="preserve"> 3.3.7.4.2.3</w:t>
        </w:r>
      </w:hyperlink>
      <w:r>
        <w:t xml:space="preserve"> v rámci svojej finančnej 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14:paraId="1587B4BE" w14:textId="77777777" w:rsidR="00B650E5" w:rsidRDefault="00B650E5">
      <w:pPr>
        <w:numPr>
          <w:ilvl w:val="0"/>
          <w:numId w:val="332"/>
        </w:numPr>
        <w:spacing w:before="120" w:after="120"/>
        <w:ind w:left="426" w:hanging="426"/>
        <w:jc w:val="both"/>
      </w:pPr>
      <w:r>
        <w:t>RO je povinný informovať CKO v prípade, ak PMÚ neplní svoje povinnosti podľa uzavretej dohody. K informácii RO  zasiela presnú identifikáciu o porušení dohody s PMÚ.</w:t>
      </w:r>
    </w:p>
    <w:p w14:paraId="122D8D81" w14:textId="77777777" w:rsidR="00B650E5" w:rsidRDefault="00B650E5">
      <w:pPr>
        <w:pStyle w:val="SRK5"/>
      </w:pPr>
      <w:bookmarkStart w:id="432" w:name="_Toc453234052"/>
      <w:bookmarkStart w:id="433" w:name="_Toc495649409"/>
      <w:bookmarkStart w:id="434" w:name="kapitola_337423"/>
      <w:r>
        <w:t>3.3.7.4.2.3 Rizikové indikátory</w:t>
      </w:r>
      <w:bookmarkEnd w:id="432"/>
      <w:bookmarkEnd w:id="433"/>
    </w:p>
    <w:bookmarkEnd w:id="434"/>
    <w:p w14:paraId="789A5557" w14:textId="718F3CB3" w:rsidR="00036B49" w:rsidRDefault="00B650E5" w:rsidP="00036B49">
      <w:pPr>
        <w:numPr>
          <w:ilvl w:val="0"/>
          <w:numId w:val="333"/>
        </w:numPr>
        <w:spacing w:before="120" w:after="120"/>
        <w:ind w:left="426" w:hanging="426"/>
        <w:jc w:val="both"/>
      </w:pPr>
      <w:r>
        <w:t>Rizikové indikátory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Zoznam rizikových indikátorov upraví CKO v spolupráci s PMÚ v metodickom pokyne</w:t>
      </w:r>
      <w:r w:rsidR="004D6BC8">
        <w:rPr>
          <w:rStyle w:val="Odkaznapoznmkupodiarou"/>
        </w:rPr>
        <w:footnoteReference w:id="109"/>
      </w:r>
      <w:r>
        <w:t xml:space="preserve">. Tento zoznam nebude vyčerpávajúcim súhrnom </w:t>
      </w:r>
      <w:r>
        <w:lastRenderedPageBreak/>
        <w:t>všetkých rizikových situácií</w:t>
      </w:r>
      <w:r>
        <w:rPr>
          <w:color w:val="000000"/>
        </w:rPr>
        <w:t>, rizikové indikátory a ich popis môžu byť aktualizované podľa potreby</w:t>
      </w:r>
      <w:r>
        <w:t>.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w:t>
      </w:r>
      <w:r w:rsidR="00036B49">
        <w:t xml:space="preserve"> </w:t>
      </w:r>
    </w:p>
    <w:p w14:paraId="53C8F5BF" w14:textId="494F24DC" w:rsidR="00B650E5" w:rsidRDefault="00372889" w:rsidP="00036B49">
      <w:pPr>
        <w:numPr>
          <w:ilvl w:val="0"/>
          <w:numId w:val="333"/>
        </w:numPr>
        <w:spacing w:before="120" w:after="120"/>
        <w:ind w:left="426" w:hanging="426"/>
        <w:jc w:val="both"/>
      </w:pPr>
      <w:r w:rsidRPr="00372889">
        <w:t xml:space="preserve">Zamestnanec vykonávajúci kontrolu VO je povinný skúmať prítomnosť rizikových indikátorov a pri zvýšenom výskyte rizikových indikátorov RO zváži potrebu spolupráce s PMÚ v dôsledku podozrenia z možného porušenia zákona o ochrane hospodárskej súťaže. Identifikáciu jednotlivých rizikových indikátorov spolu s krátkym odôvodnením uvedie v príslušnom kontrolnom zozname, pričom zvýšený počet rizikových indikátorov nemusí mať automaticky vplyv na financovanie výdavkov VO z fondov EÚ. </w:t>
      </w:r>
      <w:r w:rsidR="00B650E5">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14:paraId="138C0050" w14:textId="23AE376F" w:rsidR="00B650E5" w:rsidRDefault="00B650E5" w:rsidP="0099707E">
      <w:pPr>
        <w:numPr>
          <w:ilvl w:val="0"/>
          <w:numId w:val="333"/>
        </w:numPr>
        <w:spacing w:before="120" w:after="120"/>
        <w:ind w:left="426" w:hanging="426"/>
        <w:jc w:val="both"/>
      </w:pPr>
      <w:r>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14:paraId="3C1C05EE" w14:textId="77777777" w:rsidR="00B650E5" w:rsidRDefault="00B650E5">
      <w:pPr>
        <w:pStyle w:val="SRK5"/>
      </w:pPr>
      <w:bookmarkStart w:id="435" w:name="_Toc386529578"/>
      <w:bookmarkStart w:id="436" w:name="_Toc390248470"/>
      <w:bookmarkStart w:id="437" w:name="_Toc453234053"/>
      <w:bookmarkStart w:id="438" w:name="_Toc495649410"/>
      <w:bookmarkStart w:id="439" w:name="kapitola_33743"/>
      <w:r>
        <w:t>3.3.7.4.3 Spolupráca s orgánmi činnými v trestom konaní pri podozrení z protiprávneho konania</w:t>
      </w:r>
      <w:bookmarkEnd w:id="435"/>
      <w:bookmarkEnd w:id="436"/>
      <w:bookmarkEnd w:id="437"/>
      <w:bookmarkEnd w:id="438"/>
      <w:r>
        <w:t xml:space="preserve"> </w:t>
      </w:r>
    </w:p>
    <w:bookmarkEnd w:id="439"/>
    <w:p w14:paraId="1A1C5168" w14:textId="6D91518C" w:rsidR="00DF24CC" w:rsidRPr="00DF24CC" w:rsidRDefault="00B650E5" w:rsidP="00DF24CC">
      <w:pPr>
        <w:numPr>
          <w:ilvl w:val="0"/>
          <w:numId w:val="54"/>
        </w:numPr>
        <w:spacing w:before="120" w:after="120"/>
        <w:ind w:left="426" w:hanging="426"/>
        <w:jc w:val="both"/>
        <w:rPr>
          <w:i/>
        </w:rPr>
      </w:pPr>
      <w:r>
        <w:t>V prípade, ak RO zistí pri kontrole VO alebo kontrole obstarávania skutočnosti nasvedčujúce tomu, že bol alebo mohol byť spáchaný trestný čin, uvedenú skutočnosť v zmysle § 3 ods. 2 Trestného poriadku oznámi bezodkladne orgánom činným v trestnom konaní. RO postupuje v zmysle príslušných dokumentov upravujúcich evidovanie a nahlasovanie nezrovnalostí.</w:t>
      </w:r>
      <w:r w:rsidR="00DF24CC" w:rsidRPr="00997CB0">
        <w:t xml:space="preserve"> </w:t>
      </w:r>
      <w:r w:rsidR="00DF24CC">
        <w:t xml:space="preserve">Zároveň je </w:t>
      </w:r>
      <w:r w:rsidR="00DF24CC" w:rsidRPr="00DF24CC">
        <w:t xml:space="preserve">RO </w:t>
      </w:r>
      <w:r w:rsidR="00DF24CC" w:rsidRPr="00997CB0">
        <w:t>povinný zdržať sa konania, ktorým by mohol z</w:t>
      </w:r>
      <w:r w:rsidR="00DF24CC" w:rsidRPr="00DF24CC">
        <w:t xml:space="preserve">mariť prípadné vyšetrovanie </w:t>
      </w:r>
      <w:r w:rsidR="00DF24CC">
        <w:t xml:space="preserve">            zo strany orgánov činných v trestnom konaní</w:t>
      </w:r>
      <w:r w:rsidR="00DF24CC" w:rsidRPr="00997CB0">
        <w:t>.</w:t>
      </w:r>
    </w:p>
    <w:p w14:paraId="4B6BC35E" w14:textId="77777777" w:rsidR="00B650E5" w:rsidRDefault="00B650E5">
      <w:pPr>
        <w:pStyle w:val="SRK5"/>
      </w:pPr>
      <w:bookmarkStart w:id="440" w:name="_Toc453234054"/>
      <w:bookmarkStart w:id="441" w:name="_Toc495649411"/>
      <w:bookmarkStart w:id="442" w:name="kapitola_337431"/>
      <w:r>
        <w:t>3.3.7.4.3.1 Rizikové indikátory</w:t>
      </w:r>
      <w:bookmarkEnd w:id="440"/>
      <w:bookmarkEnd w:id="441"/>
    </w:p>
    <w:bookmarkEnd w:id="442"/>
    <w:p w14:paraId="0032DD05" w14:textId="7AF258D9" w:rsidR="00B650E5" w:rsidRDefault="00B650E5">
      <w:pPr>
        <w:numPr>
          <w:ilvl w:val="0"/>
          <w:numId w:val="258"/>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Pr>
          <w:vertAlign w:val="superscript"/>
        </w:rPr>
        <w:footnoteReference w:id="110"/>
      </w:r>
      <w:r>
        <w:t>. Pokiaľ určitý rizikový indikátor sám o sebe znamená porušenie ZVO (napr. indikátor č. 13) alebo porušenie iného právneho predpisu (napr. indikátor č. 1), nepotvrdenie skutočnosti o spáchaní trestného činu nemá vplyv na  konštatovanie o porušení ZVO (</w:t>
      </w:r>
      <w:r w:rsidR="00C93F30">
        <w:t xml:space="preserve">t. j. </w:t>
      </w:r>
      <w:r>
        <w:t xml:space="preserve"> porušenie VO stále platí) ani na povinnosť RO riešiť 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w:t>
      </w:r>
      <w:r w:rsidRPr="00CD417C">
        <w:t>Zamestnanec vykonávajúci kontrolu VO je povinný skúmať prítomnosť rizikových indikátorov a pri zvýšenom výskyte rizikových indikátorov sa zvyšuje potreba spolupráce s</w:t>
      </w:r>
      <w:r>
        <w:t> orgánmi činnými v trestnom konaní</w:t>
      </w:r>
      <w:r w:rsidRPr="00CD417C">
        <w:t xml:space="preserve"> v dôsledku podozrenia z</w:t>
      </w:r>
      <w:r>
        <w:rPr>
          <w:u w:val="single"/>
        </w:rPr>
        <w:t> </w:t>
      </w:r>
      <w:r w:rsidRPr="00CD417C">
        <w:t>možného</w:t>
      </w:r>
      <w:r>
        <w:t xml:space="preserve"> protiprávneho konania</w:t>
      </w:r>
      <w:r w:rsidRPr="00CD417C">
        <w:t xml:space="preserve">. Identifikáciu jednotlivých rizikových indikátorov spolu s krátkym odôvodnením uvedie v príslušnom kontrolnom zozname a v návrhu správy z kontroly. </w:t>
      </w:r>
      <w:r>
        <w:t xml:space="preserve">Účelom oboznámenia sa s rizikovými indikátormi nie je vykonanie podrobnej kontroly a analýzy každého z nich, ale ich správne identifikovanie, pokiaľ </w:t>
      </w:r>
      <w:r>
        <w:lastRenderedPageBreak/>
        <w:t xml:space="preserve">dokumentácia alebo iné informačné zdroje indikujú prítomnosť takejto skutočnosti a následné vyhodnotenie tejto skutočnosti s ohľadom na oznámenie zistených skutočností orgánom činným v trestnom konaní. </w:t>
      </w:r>
    </w:p>
    <w:p w14:paraId="3A55C390" w14:textId="77777777" w:rsidR="00B650E5" w:rsidRDefault="00B650E5">
      <w:pPr>
        <w:numPr>
          <w:ilvl w:val="0"/>
          <w:numId w:val="258"/>
        </w:numPr>
        <w:spacing w:before="120" w:after="120"/>
        <w:ind w:left="426" w:hanging="426"/>
        <w:jc w:val="both"/>
      </w:pPr>
      <w:r>
        <w:t>Rizikové indikátory  sú nasledovné</w:t>
      </w:r>
      <w:r>
        <w:rPr>
          <w:vertAlign w:val="superscript"/>
        </w:rPr>
        <w:footnoteReference w:id="111"/>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3600"/>
        <w:gridCol w:w="5472"/>
      </w:tblGrid>
      <w:tr w:rsidR="00B650E5" w14:paraId="2DB63ABB" w14:textId="77777777">
        <w:tc>
          <w:tcPr>
            <w:tcW w:w="567" w:type="dxa"/>
          </w:tcPr>
          <w:p w14:paraId="073C2E61" w14:textId="77777777" w:rsidR="00B650E5" w:rsidRDefault="00B650E5">
            <w:pPr>
              <w:keepNext/>
              <w:keepLines/>
              <w:spacing w:before="120" w:after="120"/>
              <w:ind w:left="-66" w:right="-108"/>
              <w:jc w:val="center"/>
              <w:rPr>
                <w:b/>
                <w:bCs/>
                <w:i/>
              </w:rPr>
            </w:pPr>
            <w:r>
              <w:rPr>
                <w:b/>
                <w:bCs/>
                <w:i/>
              </w:rPr>
              <w:lastRenderedPageBreak/>
              <w:t>P. č.</w:t>
            </w:r>
          </w:p>
        </w:tc>
        <w:tc>
          <w:tcPr>
            <w:tcW w:w="3600" w:type="dxa"/>
          </w:tcPr>
          <w:p w14:paraId="2ACBF08B" w14:textId="77777777" w:rsidR="00B650E5" w:rsidRDefault="00B650E5">
            <w:pPr>
              <w:keepNext/>
              <w:keepLines/>
              <w:spacing w:before="120" w:after="120"/>
              <w:ind w:left="34"/>
              <w:jc w:val="center"/>
              <w:rPr>
                <w:b/>
                <w:bCs/>
                <w:i/>
              </w:rPr>
            </w:pPr>
            <w:r>
              <w:rPr>
                <w:b/>
                <w:bCs/>
                <w:i/>
              </w:rPr>
              <w:t>Názov rizikového indikátora</w:t>
            </w:r>
          </w:p>
        </w:tc>
        <w:tc>
          <w:tcPr>
            <w:tcW w:w="5472" w:type="dxa"/>
          </w:tcPr>
          <w:p w14:paraId="6CD7CBE6" w14:textId="77777777" w:rsidR="00B650E5" w:rsidRDefault="00B650E5">
            <w:pPr>
              <w:keepNext/>
              <w:keepLines/>
              <w:spacing w:before="120" w:after="120"/>
              <w:jc w:val="center"/>
              <w:rPr>
                <w:b/>
                <w:bCs/>
                <w:i/>
              </w:rPr>
            </w:pPr>
            <w:r>
              <w:rPr>
                <w:b/>
                <w:bCs/>
                <w:i/>
              </w:rPr>
              <w:t>Popis rizikového indikátora</w:t>
            </w:r>
          </w:p>
        </w:tc>
      </w:tr>
      <w:tr w:rsidR="00B650E5" w14:paraId="52075665" w14:textId="77777777">
        <w:tc>
          <w:tcPr>
            <w:tcW w:w="567" w:type="dxa"/>
            <w:vAlign w:val="center"/>
          </w:tcPr>
          <w:p w14:paraId="42F7DB4B" w14:textId="77777777" w:rsidR="00B650E5" w:rsidRDefault="00B650E5">
            <w:pPr>
              <w:keepNext/>
              <w:keepLines/>
              <w:spacing w:before="120" w:after="120"/>
              <w:ind w:left="34"/>
              <w:jc w:val="center"/>
              <w:rPr>
                <w:bCs/>
                <w:i/>
              </w:rPr>
            </w:pPr>
            <w:r>
              <w:rPr>
                <w:bCs/>
                <w:i/>
              </w:rPr>
              <w:t>1</w:t>
            </w:r>
          </w:p>
        </w:tc>
        <w:tc>
          <w:tcPr>
            <w:tcW w:w="3600" w:type="dxa"/>
            <w:vAlign w:val="center"/>
          </w:tcPr>
          <w:p w14:paraId="39A4B166" w14:textId="77777777" w:rsidR="00B650E5" w:rsidRDefault="00B650E5">
            <w:pPr>
              <w:keepNext/>
              <w:keepLines/>
              <w:spacing w:before="120" w:after="120"/>
              <w:ind w:left="34"/>
              <w:jc w:val="center"/>
              <w:rPr>
                <w:bCs/>
                <w:i/>
              </w:rPr>
            </w:pPr>
            <w:r>
              <w:rPr>
                <w:bCs/>
                <w:i/>
              </w:rPr>
              <w:t>Konflikt záujmov</w:t>
            </w:r>
          </w:p>
        </w:tc>
        <w:tc>
          <w:tcPr>
            <w:tcW w:w="5472" w:type="dxa"/>
          </w:tcPr>
          <w:p w14:paraId="7E367822" w14:textId="77777777" w:rsidR="00B650E5" w:rsidRDefault="00B650E5">
            <w:pPr>
              <w:keepNext/>
              <w:keepLines/>
              <w:spacing w:before="120" w:after="120"/>
              <w:jc w:val="both"/>
              <w:rPr>
                <w:bCs/>
                <w:i/>
              </w:rPr>
            </w:pPr>
            <w:r>
              <w:rPr>
                <w:bCs/>
                <w:i/>
              </w:rPr>
              <w:t>Akýkoľvek dôkaz o konflikte záujmov člena hodnotiacej komisie alebo štatutárneho zástupcu verejného obstarávateľa</w:t>
            </w:r>
            <w:r>
              <w:rPr>
                <w:bCs/>
                <w:i/>
                <w:vertAlign w:val="superscript"/>
              </w:rPr>
              <w:footnoteReference w:id="112"/>
            </w:r>
            <w:r>
              <w:rPr>
                <w:bCs/>
                <w:i/>
              </w:rPr>
              <w:t xml:space="preserve"> (napr. z dôvodu, že takáto osoba má obchodný podiel v spoločnostiach, ktoré dávajú ponuku). Spoločenské alebo osobné kontakty medzi osobami úspešného uchádzača a verejného obstarávateľa.</w:t>
            </w:r>
          </w:p>
          <w:p w14:paraId="0AABA7A4" w14:textId="77777777" w:rsidR="00B650E5" w:rsidRDefault="00B650E5">
            <w:pPr>
              <w:keepNext/>
              <w:keepLines/>
              <w:numPr>
                <w:ilvl w:val="0"/>
                <w:numId w:val="52"/>
              </w:numPr>
              <w:spacing w:before="120" w:after="120"/>
              <w:jc w:val="both"/>
              <w:rPr>
                <w:bCs/>
                <w:i/>
              </w:rPr>
            </w:pPr>
            <w:r>
              <w:rPr>
                <w:bCs/>
                <w:i/>
              </w:rPr>
              <w:t xml:space="preserve">životopis jedného z členov hodnotiacej komisie indikuje predchádzajúce zamestnanie v jednej zo spoločností, ktoré sa zúčastňujú </w:t>
            </w:r>
            <w:r w:rsidR="0012163A">
              <w:rPr>
                <w:bCs/>
                <w:i/>
              </w:rPr>
              <w:t xml:space="preserve">na </w:t>
            </w:r>
            <w:r>
              <w:rPr>
                <w:bCs/>
                <w:i/>
              </w:rPr>
              <w:t>VO</w:t>
            </w:r>
          </w:p>
          <w:p w14:paraId="764AF8A5" w14:textId="77777777" w:rsidR="00B650E5" w:rsidRDefault="00B650E5">
            <w:pPr>
              <w:keepNext/>
              <w:keepLines/>
              <w:numPr>
                <w:ilvl w:val="0"/>
                <w:numId w:val="52"/>
              </w:numPr>
              <w:spacing w:before="120" w:after="120"/>
              <w:jc w:val="both"/>
              <w:rPr>
                <w:bCs/>
                <w:i/>
              </w:rPr>
            </w:pPr>
            <w:r>
              <w:rPr>
                <w:bCs/>
                <w:i/>
              </w:rPr>
              <w:t>spoločnosť, ktorá sa uchádza o účasť vo VO bola vytvorená tesne pred vyhlásením  VO, resp. bol upravený predmet jej podnikania</w:t>
            </w:r>
          </w:p>
          <w:p w14:paraId="3531C961" w14:textId="3E4779BD" w:rsidR="00B650E5" w:rsidRDefault="00B650E5">
            <w:pPr>
              <w:keepNext/>
              <w:keepLines/>
              <w:numPr>
                <w:ilvl w:val="0"/>
                <w:numId w:val="52"/>
              </w:numPr>
              <w:spacing w:before="120" w:after="120"/>
              <w:jc w:val="both"/>
              <w:rPr>
                <w:bCs/>
                <w:i/>
              </w:rPr>
            </w:pPr>
            <w:r>
              <w:rPr>
                <w:bCs/>
                <w:i/>
              </w:rPr>
              <w:t>rovnaká adresa sídla prijímateľa a</w:t>
            </w:r>
            <w:r w:rsidR="0012163A">
              <w:rPr>
                <w:bCs/>
                <w:i/>
              </w:rPr>
              <w:t> </w:t>
            </w:r>
            <w:r>
              <w:rPr>
                <w:bCs/>
                <w:i/>
              </w:rPr>
              <w:t>uchádzača</w:t>
            </w:r>
            <w:r w:rsidR="0012163A">
              <w:rPr>
                <w:bCs/>
                <w:i/>
              </w:rPr>
              <w:t>.</w:t>
            </w:r>
          </w:p>
        </w:tc>
      </w:tr>
      <w:tr w:rsidR="00B650E5" w14:paraId="637CA7D0" w14:textId="77777777">
        <w:tc>
          <w:tcPr>
            <w:tcW w:w="567" w:type="dxa"/>
            <w:vAlign w:val="center"/>
          </w:tcPr>
          <w:p w14:paraId="7E8A3774" w14:textId="77777777" w:rsidR="00B650E5" w:rsidRDefault="00B650E5">
            <w:pPr>
              <w:keepNext/>
              <w:keepLines/>
              <w:spacing w:before="120" w:after="120"/>
              <w:ind w:left="34"/>
              <w:jc w:val="center"/>
              <w:rPr>
                <w:bCs/>
                <w:i/>
              </w:rPr>
            </w:pPr>
            <w:r>
              <w:rPr>
                <w:bCs/>
                <w:i/>
              </w:rPr>
              <w:t>2</w:t>
            </w:r>
          </w:p>
        </w:tc>
        <w:tc>
          <w:tcPr>
            <w:tcW w:w="3600" w:type="dxa"/>
            <w:vAlign w:val="center"/>
          </w:tcPr>
          <w:p w14:paraId="177E6A62" w14:textId="77777777" w:rsidR="00B650E5" w:rsidRDefault="00B650E5">
            <w:pPr>
              <w:keepNext/>
              <w:keepLines/>
              <w:spacing w:before="120" w:after="120"/>
              <w:ind w:left="34"/>
              <w:jc w:val="center"/>
              <w:rPr>
                <w:bCs/>
                <w:i/>
              </w:rPr>
            </w:pPr>
            <w:r>
              <w:rPr>
                <w:bCs/>
                <w:i/>
              </w:rPr>
              <w:t>Rozdelenie zákaziek alebo nedovolené spájanie zákaziek</w:t>
            </w:r>
          </w:p>
        </w:tc>
        <w:tc>
          <w:tcPr>
            <w:tcW w:w="5472" w:type="dxa"/>
          </w:tcPr>
          <w:p w14:paraId="67C3F436" w14:textId="77777777" w:rsidR="00B650E5" w:rsidRDefault="00B650E5">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B650E5" w14:paraId="323A839F" w14:textId="77777777">
        <w:tc>
          <w:tcPr>
            <w:tcW w:w="567" w:type="dxa"/>
            <w:vAlign w:val="center"/>
          </w:tcPr>
          <w:p w14:paraId="403EBB7E" w14:textId="77777777" w:rsidR="00B650E5" w:rsidRDefault="00B650E5">
            <w:pPr>
              <w:keepNext/>
              <w:keepLines/>
              <w:spacing w:before="120" w:after="120"/>
              <w:ind w:left="34"/>
              <w:jc w:val="center"/>
              <w:rPr>
                <w:bCs/>
                <w:i/>
              </w:rPr>
            </w:pPr>
            <w:r>
              <w:rPr>
                <w:bCs/>
                <w:i/>
              </w:rPr>
              <w:t>3</w:t>
            </w:r>
          </w:p>
        </w:tc>
        <w:tc>
          <w:tcPr>
            <w:tcW w:w="3600" w:type="dxa"/>
            <w:vAlign w:val="center"/>
          </w:tcPr>
          <w:p w14:paraId="41AB9DF3" w14:textId="77777777" w:rsidR="00B650E5" w:rsidRDefault="00B650E5">
            <w:pPr>
              <w:keepNext/>
              <w:keepLines/>
              <w:spacing w:before="120" w:after="120"/>
              <w:ind w:left="34"/>
              <w:jc w:val="center"/>
              <w:rPr>
                <w:bCs/>
                <w:i/>
              </w:rPr>
            </w:pPr>
            <w:r>
              <w:rPr>
                <w:bCs/>
                <w:i/>
              </w:rPr>
              <w:t>Viacero kontaktných miest alebo osôb</w:t>
            </w:r>
          </w:p>
        </w:tc>
        <w:tc>
          <w:tcPr>
            <w:tcW w:w="5472" w:type="dxa"/>
          </w:tcPr>
          <w:p w14:paraId="6FD7508F" w14:textId="571619B5" w:rsidR="00B650E5" w:rsidRDefault="00B650E5">
            <w:pPr>
              <w:keepNext/>
              <w:keepLines/>
              <w:spacing w:before="120" w:after="120"/>
              <w:jc w:val="both"/>
              <w:rPr>
                <w:bCs/>
                <w:i/>
              </w:rPr>
            </w:pPr>
            <w:r>
              <w:rPr>
                <w:bCs/>
                <w:i/>
              </w:rPr>
              <w:t>Verejný obstarávateľ určil viacero kontaktných miest alebo kontaktných osôb, napr. na vyžiadanie informácií k</w:t>
            </w:r>
            <w:r w:rsidR="0012163A">
              <w:rPr>
                <w:bCs/>
                <w:i/>
              </w:rPr>
              <w:t> </w:t>
            </w:r>
            <w:r>
              <w:rPr>
                <w:bCs/>
                <w:i/>
              </w:rPr>
              <w:t>VO</w:t>
            </w:r>
            <w:r w:rsidR="0012163A">
              <w:rPr>
                <w:bCs/>
                <w:i/>
              </w:rPr>
              <w:t>.</w:t>
            </w:r>
            <w:r>
              <w:rPr>
                <w:bCs/>
                <w:i/>
              </w:rPr>
              <w:t xml:space="preserve"> </w:t>
            </w:r>
          </w:p>
        </w:tc>
      </w:tr>
      <w:tr w:rsidR="00B650E5" w14:paraId="0F14677A" w14:textId="77777777">
        <w:tc>
          <w:tcPr>
            <w:tcW w:w="567" w:type="dxa"/>
            <w:vAlign w:val="center"/>
          </w:tcPr>
          <w:p w14:paraId="09D84667" w14:textId="77777777" w:rsidR="00B650E5" w:rsidRDefault="00B650E5">
            <w:pPr>
              <w:keepNext/>
              <w:keepLines/>
              <w:spacing w:before="120" w:after="120"/>
              <w:ind w:left="34"/>
              <w:jc w:val="center"/>
              <w:rPr>
                <w:bCs/>
                <w:i/>
              </w:rPr>
            </w:pPr>
            <w:r>
              <w:rPr>
                <w:bCs/>
                <w:i/>
              </w:rPr>
              <w:t>4</w:t>
            </w:r>
          </w:p>
        </w:tc>
        <w:tc>
          <w:tcPr>
            <w:tcW w:w="3600" w:type="dxa"/>
            <w:vAlign w:val="center"/>
          </w:tcPr>
          <w:p w14:paraId="49119683" w14:textId="77777777" w:rsidR="00B650E5" w:rsidRDefault="00B650E5">
            <w:pPr>
              <w:keepNext/>
              <w:keepLines/>
              <w:spacing w:before="120" w:after="120"/>
              <w:ind w:left="34"/>
              <w:jc w:val="center"/>
              <w:rPr>
                <w:bCs/>
                <w:i/>
              </w:rPr>
            </w:pPr>
            <w:r>
              <w:rPr>
                <w:bCs/>
                <w:i/>
              </w:rPr>
              <w:t>Kontaktné osoby nie sú zamestnanci verejného obstarávateľa</w:t>
            </w:r>
          </w:p>
        </w:tc>
        <w:tc>
          <w:tcPr>
            <w:tcW w:w="5472" w:type="dxa"/>
          </w:tcPr>
          <w:p w14:paraId="42C8092A" w14:textId="05E50AA0" w:rsidR="00B650E5" w:rsidRDefault="00B650E5">
            <w:pPr>
              <w:keepNext/>
              <w:keepLines/>
              <w:spacing w:before="120" w:after="120"/>
              <w:jc w:val="both"/>
              <w:rPr>
                <w:bCs/>
                <w:i/>
              </w:rPr>
            </w:pPr>
            <w:r>
              <w:rPr>
                <w:bCs/>
                <w:i/>
              </w:rPr>
              <w:t xml:space="preserve">Osoby, ktoré sú uvedené ako kontaktné osoby (napr. </w:t>
            </w:r>
            <w:r w:rsidR="0012163A">
              <w:rPr>
                <w:bCs/>
                <w:i/>
              </w:rPr>
              <w:t>na</w:t>
            </w:r>
            <w:r>
              <w:rPr>
                <w:bCs/>
                <w:i/>
              </w:rPr>
              <w:t>e účely informovania sa o súťaži, alebo osoba zodpovedná za proces VO) nie sú zamestnanci verejného obstarávateľa</w:t>
            </w:r>
            <w:r w:rsidR="0012163A">
              <w:rPr>
                <w:bCs/>
                <w:i/>
              </w:rPr>
              <w:t>.</w:t>
            </w:r>
          </w:p>
        </w:tc>
      </w:tr>
      <w:tr w:rsidR="00B650E5" w14:paraId="66518A31" w14:textId="77777777">
        <w:tc>
          <w:tcPr>
            <w:tcW w:w="567" w:type="dxa"/>
            <w:vAlign w:val="center"/>
          </w:tcPr>
          <w:p w14:paraId="1CD27748" w14:textId="77777777" w:rsidR="00B650E5" w:rsidRDefault="00B650E5">
            <w:pPr>
              <w:keepNext/>
              <w:keepLines/>
              <w:spacing w:before="120" w:after="120"/>
              <w:ind w:left="34"/>
              <w:jc w:val="center"/>
              <w:rPr>
                <w:bCs/>
                <w:i/>
              </w:rPr>
            </w:pPr>
            <w:r>
              <w:rPr>
                <w:bCs/>
                <w:i/>
              </w:rPr>
              <w:t>5</w:t>
            </w:r>
          </w:p>
        </w:tc>
        <w:tc>
          <w:tcPr>
            <w:tcW w:w="3600" w:type="dxa"/>
            <w:vAlign w:val="center"/>
          </w:tcPr>
          <w:p w14:paraId="5136D554" w14:textId="77777777" w:rsidR="00B650E5" w:rsidRDefault="00B650E5">
            <w:pPr>
              <w:keepNext/>
              <w:keepLines/>
              <w:spacing w:before="120" w:after="120"/>
              <w:ind w:left="34"/>
              <w:jc w:val="center"/>
              <w:rPr>
                <w:bCs/>
                <w:i/>
              </w:rPr>
            </w:pPr>
            <w:r>
              <w:rPr>
                <w:bCs/>
                <w:i/>
              </w:rPr>
              <w:t>Kontaktné miesto/kancelária nepodlieha správe verejného obstarávateľa</w:t>
            </w:r>
          </w:p>
        </w:tc>
        <w:tc>
          <w:tcPr>
            <w:tcW w:w="5472" w:type="dxa"/>
          </w:tcPr>
          <w:p w14:paraId="3FA2DEFE" w14:textId="77777777" w:rsidR="00B650E5" w:rsidRDefault="00B650E5">
            <w:pPr>
              <w:keepNext/>
              <w:keepLines/>
              <w:spacing w:before="120" w:after="120"/>
              <w:jc w:val="both"/>
              <w:rPr>
                <w:bCs/>
                <w:i/>
              </w:rPr>
            </w:pPr>
            <w:r>
              <w:rPr>
                <w:bCs/>
                <w:i/>
              </w:rPr>
              <w:t>Miesto, ktoré určil verejný obstarávateľ ako kontaktné miesto (napr. na predkladanie ponúk), nie je aj sídlom tohto verejného obstarávateľa, resp. nie je v jeho správe</w:t>
            </w:r>
            <w:r w:rsidR="0012163A">
              <w:rPr>
                <w:bCs/>
                <w:i/>
              </w:rPr>
              <w:t>.</w:t>
            </w:r>
          </w:p>
        </w:tc>
      </w:tr>
      <w:tr w:rsidR="00B650E5" w14:paraId="38642B4C" w14:textId="77777777">
        <w:tc>
          <w:tcPr>
            <w:tcW w:w="567" w:type="dxa"/>
            <w:vAlign w:val="center"/>
          </w:tcPr>
          <w:p w14:paraId="612F646C" w14:textId="77777777" w:rsidR="00B650E5" w:rsidRDefault="00B650E5">
            <w:pPr>
              <w:keepNext/>
              <w:keepLines/>
              <w:spacing w:before="120" w:after="120"/>
              <w:ind w:left="34"/>
              <w:jc w:val="center"/>
              <w:rPr>
                <w:bCs/>
                <w:i/>
              </w:rPr>
            </w:pPr>
            <w:r>
              <w:rPr>
                <w:bCs/>
                <w:i/>
              </w:rPr>
              <w:t>6</w:t>
            </w:r>
          </w:p>
        </w:tc>
        <w:tc>
          <w:tcPr>
            <w:tcW w:w="3600" w:type="dxa"/>
            <w:vAlign w:val="center"/>
          </w:tcPr>
          <w:p w14:paraId="722C6F47" w14:textId="77777777" w:rsidR="00B650E5" w:rsidRDefault="00B650E5">
            <w:pPr>
              <w:keepNext/>
              <w:keepLines/>
              <w:spacing w:before="120" w:after="120"/>
              <w:ind w:left="34"/>
              <w:jc w:val="center"/>
              <w:rPr>
                <w:bCs/>
                <w:i/>
              </w:rPr>
            </w:pPr>
            <w:r>
              <w:rPr>
                <w:bCs/>
                <w:i/>
              </w:rPr>
              <w:t xml:space="preserve">Predpokladaná hodnota zákazky tesne pod hranicou súťažného </w:t>
            </w:r>
            <w:r>
              <w:rPr>
                <w:bCs/>
                <w:i/>
              </w:rPr>
              <w:lastRenderedPageBreak/>
              <w:t>postupu</w:t>
            </w:r>
          </w:p>
        </w:tc>
        <w:tc>
          <w:tcPr>
            <w:tcW w:w="5472" w:type="dxa"/>
          </w:tcPr>
          <w:p w14:paraId="2DB5F426" w14:textId="77777777" w:rsidR="00B650E5" w:rsidRDefault="00B650E5">
            <w:pPr>
              <w:keepNext/>
              <w:keepLines/>
              <w:spacing w:before="120" w:after="120"/>
              <w:jc w:val="both"/>
              <w:rPr>
                <w:bCs/>
                <w:i/>
              </w:rPr>
            </w:pPr>
            <w:r>
              <w:rPr>
                <w:bCs/>
                <w:i/>
              </w:rPr>
              <w:lastRenderedPageBreak/>
              <w:t xml:space="preserve">Verejný obstarávateľ zadal zákazku, napr. podlimitným spôsobom, pričom predpokladaná </w:t>
            </w:r>
            <w:r>
              <w:rPr>
                <w:bCs/>
                <w:i/>
              </w:rPr>
              <w:lastRenderedPageBreak/>
              <w:t>hodnota zákazky je tesne pod limitom platnom pre nadlimitné zákazky</w:t>
            </w:r>
            <w:r w:rsidR="0012163A">
              <w:rPr>
                <w:bCs/>
                <w:i/>
              </w:rPr>
              <w:t>.</w:t>
            </w:r>
          </w:p>
        </w:tc>
      </w:tr>
      <w:tr w:rsidR="00B650E5" w14:paraId="37FCABE0" w14:textId="77777777">
        <w:tc>
          <w:tcPr>
            <w:tcW w:w="567" w:type="dxa"/>
            <w:vAlign w:val="center"/>
          </w:tcPr>
          <w:p w14:paraId="75DDE61C" w14:textId="77777777" w:rsidR="00B650E5" w:rsidRDefault="00B650E5">
            <w:pPr>
              <w:keepNext/>
              <w:keepLines/>
              <w:spacing w:before="120" w:after="120"/>
              <w:ind w:left="34"/>
              <w:jc w:val="center"/>
              <w:rPr>
                <w:bCs/>
                <w:i/>
              </w:rPr>
            </w:pPr>
            <w:r>
              <w:rPr>
                <w:bCs/>
                <w:i/>
              </w:rPr>
              <w:lastRenderedPageBreak/>
              <w:t>7</w:t>
            </w:r>
          </w:p>
        </w:tc>
        <w:tc>
          <w:tcPr>
            <w:tcW w:w="3600" w:type="dxa"/>
            <w:vAlign w:val="center"/>
          </w:tcPr>
          <w:p w14:paraId="5CD1C8C4" w14:textId="77777777" w:rsidR="00B650E5" w:rsidRDefault="00B650E5">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14:paraId="770FE622" w14:textId="77777777" w:rsidR="00B650E5" w:rsidRDefault="00B650E5">
            <w:pPr>
              <w:keepNext/>
              <w:keepLines/>
              <w:spacing w:before="120" w:after="120"/>
              <w:jc w:val="both"/>
              <w:rPr>
                <w:bCs/>
                <w:i/>
              </w:rPr>
            </w:pPr>
            <w:r>
              <w:rPr>
                <w:bCs/>
                <w:i/>
              </w:rPr>
              <w:t>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uchádzačom</w:t>
            </w:r>
            <w:r w:rsidR="0012163A">
              <w:rPr>
                <w:bCs/>
                <w:i/>
              </w:rPr>
              <w:t>.</w:t>
            </w:r>
          </w:p>
        </w:tc>
      </w:tr>
      <w:tr w:rsidR="00B650E5" w14:paraId="4295860C" w14:textId="77777777">
        <w:tc>
          <w:tcPr>
            <w:tcW w:w="567" w:type="dxa"/>
            <w:vAlign w:val="center"/>
          </w:tcPr>
          <w:p w14:paraId="735A7E39" w14:textId="77777777" w:rsidR="00B650E5" w:rsidRDefault="00B650E5">
            <w:pPr>
              <w:keepNext/>
              <w:keepLines/>
              <w:spacing w:before="120" w:after="120"/>
              <w:ind w:left="34"/>
              <w:jc w:val="center"/>
              <w:rPr>
                <w:bCs/>
                <w:i/>
              </w:rPr>
            </w:pPr>
            <w:r>
              <w:rPr>
                <w:bCs/>
                <w:i/>
              </w:rPr>
              <w:t>8</w:t>
            </w:r>
          </w:p>
        </w:tc>
        <w:tc>
          <w:tcPr>
            <w:tcW w:w="3600" w:type="dxa"/>
            <w:vAlign w:val="center"/>
          </w:tcPr>
          <w:p w14:paraId="71A94657" w14:textId="77777777" w:rsidR="00B650E5" w:rsidRDefault="00B650E5">
            <w:pPr>
              <w:keepNext/>
              <w:keepLines/>
              <w:spacing w:before="120" w:after="120"/>
              <w:ind w:left="34"/>
              <w:jc w:val="center"/>
              <w:rPr>
                <w:bCs/>
                <w:i/>
              </w:rPr>
            </w:pPr>
            <w:r>
              <w:rPr>
                <w:bCs/>
                <w:i/>
              </w:rPr>
              <w:t>Skrátenie reálneho časového rozpätia pre podanie ponuky, žiadosti o účasť</w:t>
            </w:r>
          </w:p>
        </w:tc>
        <w:tc>
          <w:tcPr>
            <w:tcW w:w="5472" w:type="dxa"/>
          </w:tcPr>
          <w:p w14:paraId="05FC7EB4" w14:textId="77777777" w:rsidR="00B650E5" w:rsidRDefault="00B650E5">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r w:rsidR="0012163A">
              <w:rPr>
                <w:bCs/>
                <w:i/>
              </w:rPr>
              <w:t>.</w:t>
            </w:r>
          </w:p>
        </w:tc>
      </w:tr>
      <w:tr w:rsidR="00B650E5" w14:paraId="5928A646" w14:textId="77777777">
        <w:tc>
          <w:tcPr>
            <w:tcW w:w="567" w:type="dxa"/>
            <w:vAlign w:val="center"/>
          </w:tcPr>
          <w:p w14:paraId="7D445F36" w14:textId="77777777" w:rsidR="00B650E5" w:rsidRDefault="00B650E5">
            <w:pPr>
              <w:keepNext/>
              <w:keepLines/>
              <w:spacing w:before="120" w:after="120"/>
              <w:ind w:left="34"/>
              <w:jc w:val="center"/>
              <w:rPr>
                <w:bCs/>
                <w:i/>
              </w:rPr>
            </w:pPr>
            <w:r>
              <w:rPr>
                <w:bCs/>
                <w:i/>
              </w:rPr>
              <w:t>9</w:t>
            </w:r>
          </w:p>
        </w:tc>
        <w:tc>
          <w:tcPr>
            <w:tcW w:w="3600" w:type="dxa"/>
            <w:vAlign w:val="center"/>
          </w:tcPr>
          <w:p w14:paraId="43058730" w14:textId="3ED555BF" w:rsidR="00B650E5" w:rsidRDefault="00B650E5">
            <w:pPr>
              <w:keepNext/>
              <w:keepLines/>
              <w:spacing w:before="120" w:after="120"/>
              <w:ind w:left="34"/>
              <w:jc w:val="center"/>
              <w:rPr>
                <w:bCs/>
                <w:i/>
              </w:rPr>
            </w:pPr>
            <w:r>
              <w:rPr>
                <w:bCs/>
                <w:i/>
              </w:rPr>
              <w:t xml:space="preserve">Bol využitý postup </w:t>
            </w:r>
            <w:r w:rsidR="0012163A">
              <w:rPr>
                <w:bCs/>
                <w:i/>
              </w:rPr>
              <w:t>na</w:t>
            </w:r>
            <w:r>
              <w:rPr>
                <w:bCs/>
                <w:i/>
              </w:rPr>
              <w:t xml:space="preserve"> skrátené konanie</w:t>
            </w:r>
          </w:p>
        </w:tc>
        <w:tc>
          <w:tcPr>
            <w:tcW w:w="5472" w:type="dxa"/>
          </w:tcPr>
          <w:p w14:paraId="46201DEB" w14:textId="77777777" w:rsidR="00B650E5" w:rsidRDefault="00B650E5">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r w:rsidR="0012163A">
              <w:rPr>
                <w:bCs/>
                <w:i/>
              </w:rPr>
              <w:t>.</w:t>
            </w:r>
          </w:p>
        </w:tc>
      </w:tr>
      <w:tr w:rsidR="00B650E5" w14:paraId="5D6D6131" w14:textId="77777777">
        <w:tc>
          <w:tcPr>
            <w:tcW w:w="567" w:type="dxa"/>
            <w:vAlign w:val="center"/>
          </w:tcPr>
          <w:p w14:paraId="077FA679" w14:textId="77777777" w:rsidR="00B650E5" w:rsidRDefault="00B650E5">
            <w:pPr>
              <w:keepNext/>
              <w:keepLines/>
              <w:spacing w:before="120" w:after="120"/>
              <w:ind w:left="34"/>
              <w:jc w:val="center"/>
              <w:rPr>
                <w:bCs/>
                <w:i/>
              </w:rPr>
            </w:pPr>
            <w:r>
              <w:rPr>
                <w:bCs/>
                <w:i/>
              </w:rPr>
              <w:t>10</w:t>
            </w:r>
          </w:p>
        </w:tc>
        <w:tc>
          <w:tcPr>
            <w:tcW w:w="3600" w:type="dxa"/>
            <w:vAlign w:val="center"/>
          </w:tcPr>
          <w:p w14:paraId="472217AB" w14:textId="77777777" w:rsidR="00B650E5" w:rsidRDefault="00B650E5">
            <w:pPr>
              <w:keepNext/>
              <w:keepLines/>
              <w:spacing w:before="120" w:after="120"/>
              <w:ind w:left="34"/>
              <w:jc w:val="center"/>
              <w:rPr>
                <w:bCs/>
                <w:i/>
              </w:rPr>
            </w:pPr>
            <w:r>
              <w:rPr>
                <w:bCs/>
                <w:i/>
              </w:rPr>
              <w:t>Rozsah zákazky  je neprimerane/nezvyčajne rozsiahly</w:t>
            </w:r>
          </w:p>
        </w:tc>
        <w:tc>
          <w:tcPr>
            <w:tcW w:w="5472" w:type="dxa"/>
          </w:tcPr>
          <w:p w14:paraId="01F2DF4E" w14:textId="77777777" w:rsidR="00B650E5" w:rsidRDefault="00B650E5">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r w:rsidR="0012163A">
              <w:rPr>
                <w:bCs/>
                <w:i/>
              </w:rPr>
              <w:t>.</w:t>
            </w:r>
          </w:p>
        </w:tc>
      </w:tr>
      <w:tr w:rsidR="00B650E5" w14:paraId="7A54D244" w14:textId="77777777">
        <w:tc>
          <w:tcPr>
            <w:tcW w:w="567" w:type="dxa"/>
            <w:vAlign w:val="center"/>
          </w:tcPr>
          <w:p w14:paraId="483674F0" w14:textId="77777777" w:rsidR="00B650E5" w:rsidRDefault="00B650E5">
            <w:pPr>
              <w:keepNext/>
              <w:keepLines/>
              <w:spacing w:before="120" w:after="120"/>
              <w:ind w:left="34"/>
              <w:jc w:val="center"/>
              <w:rPr>
                <w:bCs/>
                <w:i/>
              </w:rPr>
            </w:pPr>
            <w:r>
              <w:rPr>
                <w:bCs/>
                <w:i/>
              </w:rPr>
              <w:t>11</w:t>
            </w:r>
          </w:p>
        </w:tc>
        <w:tc>
          <w:tcPr>
            <w:tcW w:w="3600" w:type="dxa"/>
            <w:vAlign w:val="center"/>
          </w:tcPr>
          <w:p w14:paraId="6C30E763" w14:textId="77777777" w:rsidR="00B650E5" w:rsidRDefault="00B650E5">
            <w:pPr>
              <w:keepNext/>
              <w:keepLines/>
              <w:spacing w:before="120" w:after="120"/>
              <w:ind w:left="34"/>
              <w:jc w:val="center"/>
              <w:rPr>
                <w:bCs/>
                <w:i/>
              </w:rPr>
            </w:pPr>
            <w:r>
              <w:rPr>
                <w:bCs/>
                <w:i/>
              </w:rPr>
              <w:t>Niektoré z položiek alebo častí ponuky  sú oproti iným ponukám neprimerane nízke</w:t>
            </w:r>
          </w:p>
        </w:tc>
        <w:tc>
          <w:tcPr>
            <w:tcW w:w="5472" w:type="dxa"/>
          </w:tcPr>
          <w:p w14:paraId="2B29B6C1" w14:textId="77777777" w:rsidR="00B650E5" w:rsidRDefault="00B650E5">
            <w:pPr>
              <w:keepNext/>
              <w:keepLines/>
              <w:spacing w:before="120" w:after="120"/>
              <w:jc w:val="both"/>
              <w:rPr>
                <w:bCs/>
                <w:i/>
              </w:rPr>
            </w:pPr>
            <w:r>
              <w:rPr>
                <w:bCs/>
                <w:i/>
              </w:rPr>
              <w:t>V rámci ponuky úspešného uchádzača sú identifikované položky alebo časti predmetu zákazky, ktorých hodnota je neprimerane nízka oproti hodnotám rovnakých položiek iných uchádzačov</w:t>
            </w:r>
            <w:r w:rsidR="0012163A">
              <w:rPr>
                <w:bCs/>
                <w:i/>
              </w:rPr>
              <w:t>.</w:t>
            </w:r>
          </w:p>
        </w:tc>
      </w:tr>
      <w:tr w:rsidR="00B650E5" w14:paraId="401FDD9A" w14:textId="77777777">
        <w:tc>
          <w:tcPr>
            <w:tcW w:w="567" w:type="dxa"/>
            <w:vAlign w:val="center"/>
          </w:tcPr>
          <w:p w14:paraId="231377D6" w14:textId="77777777" w:rsidR="00B650E5" w:rsidRDefault="00B650E5">
            <w:pPr>
              <w:keepNext/>
              <w:keepLines/>
              <w:spacing w:before="120" w:after="120"/>
              <w:ind w:left="34"/>
              <w:jc w:val="center"/>
              <w:rPr>
                <w:bCs/>
                <w:i/>
              </w:rPr>
            </w:pPr>
            <w:r>
              <w:rPr>
                <w:bCs/>
                <w:i/>
              </w:rPr>
              <w:t>12</w:t>
            </w:r>
          </w:p>
        </w:tc>
        <w:tc>
          <w:tcPr>
            <w:tcW w:w="3600" w:type="dxa"/>
            <w:vAlign w:val="center"/>
          </w:tcPr>
          <w:p w14:paraId="3CE90D68" w14:textId="77777777" w:rsidR="00B650E5" w:rsidRDefault="00B650E5">
            <w:pPr>
              <w:keepNext/>
              <w:keepLines/>
              <w:spacing w:before="120" w:after="120"/>
              <w:ind w:left="34"/>
              <w:jc w:val="center"/>
              <w:rPr>
                <w:bCs/>
                <w:i/>
              </w:rPr>
            </w:pPr>
            <w:r>
              <w:rPr>
                <w:bCs/>
                <w:i/>
              </w:rPr>
              <w:t>Zjavne vysoké ponukové sumy</w:t>
            </w:r>
          </w:p>
        </w:tc>
        <w:tc>
          <w:tcPr>
            <w:tcW w:w="5472" w:type="dxa"/>
          </w:tcPr>
          <w:p w14:paraId="53B41F41" w14:textId="77777777" w:rsidR="00B650E5" w:rsidRDefault="00B650E5">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r w:rsidR="0012163A">
              <w:rPr>
                <w:bCs/>
                <w:i/>
              </w:rPr>
              <w:t>.</w:t>
            </w:r>
          </w:p>
        </w:tc>
      </w:tr>
      <w:tr w:rsidR="00B650E5" w14:paraId="4A1DA8E6" w14:textId="77777777">
        <w:tc>
          <w:tcPr>
            <w:tcW w:w="567" w:type="dxa"/>
            <w:vAlign w:val="center"/>
          </w:tcPr>
          <w:p w14:paraId="21852062" w14:textId="77777777" w:rsidR="00B650E5" w:rsidRDefault="00B650E5">
            <w:pPr>
              <w:keepNext/>
              <w:keepLines/>
              <w:spacing w:before="120" w:after="120"/>
              <w:ind w:left="34"/>
              <w:jc w:val="center"/>
              <w:rPr>
                <w:bCs/>
                <w:i/>
              </w:rPr>
            </w:pPr>
            <w:r>
              <w:rPr>
                <w:bCs/>
                <w:i/>
              </w:rPr>
              <w:t>13</w:t>
            </w:r>
          </w:p>
        </w:tc>
        <w:tc>
          <w:tcPr>
            <w:tcW w:w="3600" w:type="dxa"/>
            <w:vAlign w:val="center"/>
          </w:tcPr>
          <w:p w14:paraId="0B38155D" w14:textId="77777777" w:rsidR="00B650E5" w:rsidRDefault="00B650E5">
            <w:pPr>
              <w:keepNext/>
              <w:keepLines/>
              <w:spacing w:before="120" w:after="120"/>
              <w:ind w:left="34"/>
              <w:jc w:val="center"/>
              <w:rPr>
                <w:bCs/>
                <w:i/>
              </w:rPr>
            </w:pPr>
            <w:r>
              <w:rPr>
                <w:bCs/>
                <w:i/>
              </w:rPr>
              <w:t>Čas na predloženie ponuky nie je v súlade so ZVO</w:t>
            </w:r>
          </w:p>
        </w:tc>
        <w:tc>
          <w:tcPr>
            <w:tcW w:w="5472" w:type="dxa"/>
          </w:tcPr>
          <w:p w14:paraId="01984863" w14:textId="77777777" w:rsidR="00B650E5" w:rsidRDefault="00B650E5">
            <w:pPr>
              <w:keepNext/>
              <w:keepLines/>
              <w:spacing w:before="120" w:after="120"/>
              <w:jc w:val="both"/>
              <w:rPr>
                <w:bCs/>
                <w:i/>
              </w:rPr>
            </w:pPr>
            <w:r>
              <w:rPr>
                <w:bCs/>
                <w:i/>
              </w:rPr>
              <w:t>Verejný obstarávateľ určil lehotu na predkladanie ponúk alebo žiadosti o účasť v rozpore so ZVO</w:t>
            </w:r>
            <w:r w:rsidR="0012163A">
              <w:rPr>
                <w:bCs/>
                <w:i/>
              </w:rPr>
              <w:t>.</w:t>
            </w:r>
          </w:p>
        </w:tc>
      </w:tr>
      <w:tr w:rsidR="00B650E5" w14:paraId="080C043D" w14:textId="77777777">
        <w:tc>
          <w:tcPr>
            <w:tcW w:w="567" w:type="dxa"/>
            <w:vAlign w:val="center"/>
          </w:tcPr>
          <w:p w14:paraId="6EE55C77" w14:textId="77777777" w:rsidR="00B650E5" w:rsidRDefault="00B650E5">
            <w:pPr>
              <w:keepNext/>
              <w:keepLines/>
              <w:spacing w:before="120" w:after="120"/>
              <w:ind w:left="34"/>
              <w:jc w:val="center"/>
              <w:rPr>
                <w:bCs/>
                <w:i/>
              </w:rPr>
            </w:pPr>
            <w:r>
              <w:rPr>
                <w:bCs/>
                <w:i/>
              </w:rPr>
              <w:t>14</w:t>
            </w:r>
          </w:p>
        </w:tc>
        <w:tc>
          <w:tcPr>
            <w:tcW w:w="3600" w:type="dxa"/>
            <w:vAlign w:val="center"/>
          </w:tcPr>
          <w:p w14:paraId="70192F86" w14:textId="77777777" w:rsidR="00B650E5" w:rsidRDefault="00B650E5">
            <w:pPr>
              <w:keepNext/>
              <w:keepLines/>
              <w:spacing w:before="120" w:after="120"/>
              <w:ind w:left="34"/>
              <w:jc w:val="center"/>
              <w:rPr>
                <w:bCs/>
                <w:i/>
              </w:rPr>
            </w:pPr>
            <w:r>
              <w:rPr>
                <w:bCs/>
                <w:i/>
              </w:rPr>
              <w:t>Obmedzenie prístupu záujemcov/uchádzačov k informáciám/dokumentácii</w:t>
            </w:r>
          </w:p>
        </w:tc>
        <w:tc>
          <w:tcPr>
            <w:tcW w:w="5472" w:type="dxa"/>
          </w:tcPr>
          <w:p w14:paraId="11410FE8" w14:textId="77777777" w:rsidR="00B650E5" w:rsidRDefault="00B650E5">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r w:rsidR="0012163A">
              <w:rPr>
                <w:bCs/>
                <w:i/>
              </w:rPr>
              <w:t>.</w:t>
            </w:r>
          </w:p>
        </w:tc>
      </w:tr>
      <w:tr w:rsidR="00B650E5" w14:paraId="34610E8A" w14:textId="77777777">
        <w:tc>
          <w:tcPr>
            <w:tcW w:w="567" w:type="dxa"/>
            <w:vAlign w:val="center"/>
          </w:tcPr>
          <w:p w14:paraId="500B3A2D" w14:textId="77777777" w:rsidR="00B650E5" w:rsidRDefault="00B650E5">
            <w:pPr>
              <w:keepNext/>
              <w:keepLines/>
              <w:spacing w:before="120" w:after="120"/>
              <w:ind w:left="34"/>
              <w:jc w:val="center"/>
              <w:rPr>
                <w:bCs/>
                <w:i/>
              </w:rPr>
            </w:pPr>
            <w:r>
              <w:rPr>
                <w:bCs/>
                <w:i/>
              </w:rPr>
              <w:t>15</w:t>
            </w:r>
          </w:p>
        </w:tc>
        <w:tc>
          <w:tcPr>
            <w:tcW w:w="3600" w:type="dxa"/>
            <w:vAlign w:val="center"/>
          </w:tcPr>
          <w:p w14:paraId="59C3BC05" w14:textId="77777777" w:rsidR="00B650E5" w:rsidRDefault="00B650E5">
            <w:pPr>
              <w:keepNext/>
              <w:keepLines/>
              <w:spacing w:before="120" w:after="120"/>
              <w:ind w:left="34"/>
              <w:jc w:val="center"/>
              <w:rPr>
                <w:bCs/>
                <w:i/>
              </w:rPr>
            </w:pPr>
            <w:r>
              <w:rPr>
                <w:bCs/>
                <w:i/>
              </w:rPr>
              <w:t>Ponuky predložené po lehote na predkladanie sú akceptované</w:t>
            </w:r>
          </w:p>
        </w:tc>
        <w:tc>
          <w:tcPr>
            <w:tcW w:w="5472" w:type="dxa"/>
          </w:tcPr>
          <w:p w14:paraId="4510E654" w14:textId="77777777" w:rsidR="00B650E5" w:rsidRDefault="00B650E5">
            <w:pPr>
              <w:keepNext/>
              <w:keepLines/>
              <w:spacing w:before="120" w:after="120"/>
              <w:jc w:val="both"/>
              <w:rPr>
                <w:bCs/>
                <w:i/>
              </w:rPr>
            </w:pPr>
            <w:r>
              <w:rPr>
                <w:bCs/>
                <w:i/>
              </w:rPr>
              <w:t>Napriek skutočnosti, že ponuky boli predložené po lehote na predkladanie ponúk, verejný obstarávateľ tieto ponuky akceptoval</w:t>
            </w:r>
            <w:r w:rsidR="0012163A">
              <w:rPr>
                <w:bCs/>
                <w:i/>
              </w:rPr>
              <w:t>.</w:t>
            </w:r>
          </w:p>
        </w:tc>
      </w:tr>
      <w:tr w:rsidR="00B650E5" w14:paraId="02704BB3" w14:textId="77777777">
        <w:tc>
          <w:tcPr>
            <w:tcW w:w="567" w:type="dxa"/>
            <w:vAlign w:val="center"/>
          </w:tcPr>
          <w:p w14:paraId="0A779ECD" w14:textId="77777777" w:rsidR="00B650E5" w:rsidRDefault="00B650E5">
            <w:pPr>
              <w:keepNext/>
              <w:keepLines/>
              <w:spacing w:before="120" w:after="120"/>
              <w:ind w:left="34"/>
              <w:jc w:val="center"/>
              <w:rPr>
                <w:bCs/>
                <w:i/>
              </w:rPr>
            </w:pPr>
            <w:r>
              <w:rPr>
                <w:bCs/>
                <w:i/>
              </w:rPr>
              <w:t>16</w:t>
            </w:r>
          </w:p>
        </w:tc>
        <w:tc>
          <w:tcPr>
            <w:tcW w:w="3600" w:type="dxa"/>
            <w:vAlign w:val="center"/>
          </w:tcPr>
          <w:p w14:paraId="2A13C9B5" w14:textId="77777777" w:rsidR="00B650E5" w:rsidRDefault="00B650E5">
            <w:pPr>
              <w:keepNext/>
              <w:keepLines/>
              <w:spacing w:before="120" w:after="120"/>
              <w:ind w:left="34"/>
              <w:jc w:val="center"/>
              <w:rPr>
                <w:bCs/>
                <w:i/>
              </w:rPr>
            </w:pPr>
            <w:r>
              <w:rPr>
                <w:bCs/>
                <w:i/>
              </w:rPr>
              <w:t>Nízky počet ponúk/žiadostí o účasť</w:t>
            </w:r>
          </w:p>
        </w:tc>
        <w:tc>
          <w:tcPr>
            <w:tcW w:w="5472" w:type="dxa"/>
          </w:tcPr>
          <w:p w14:paraId="542DF72D" w14:textId="77777777" w:rsidR="00B650E5" w:rsidRDefault="00B650E5">
            <w:pPr>
              <w:keepNext/>
              <w:keepLines/>
              <w:spacing w:before="120" w:after="120"/>
              <w:jc w:val="both"/>
              <w:rPr>
                <w:bCs/>
                <w:i/>
              </w:rPr>
            </w:pPr>
            <w:r>
              <w:rPr>
                <w:bCs/>
                <w:i/>
              </w:rPr>
              <w:t xml:space="preserve">V rámci súťaže bol predložený nízky počet ponúk alebo žiadostí o účasť (1 až 2) </w:t>
            </w:r>
          </w:p>
        </w:tc>
      </w:tr>
      <w:tr w:rsidR="00B650E5" w14:paraId="3A1EE049" w14:textId="77777777">
        <w:tc>
          <w:tcPr>
            <w:tcW w:w="567" w:type="dxa"/>
            <w:vAlign w:val="center"/>
          </w:tcPr>
          <w:p w14:paraId="2914B70B" w14:textId="77777777" w:rsidR="00B650E5" w:rsidRDefault="00B650E5">
            <w:pPr>
              <w:keepNext/>
              <w:keepLines/>
              <w:spacing w:before="120" w:after="120"/>
              <w:ind w:left="34"/>
              <w:jc w:val="center"/>
              <w:rPr>
                <w:bCs/>
                <w:i/>
              </w:rPr>
            </w:pPr>
            <w:r>
              <w:rPr>
                <w:bCs/>
                <w:i/>
              </w:rPr>
              <w:lastRenderedPageBreak/>
              <w:t>17</w:t>
            </w:r>
          </w:p>
        </w:tc>
        <w:tc>
          <w:tcPr>
            <w:tcW w:w="3600" w:type="dxa"/>
            <w:vAlign w:val="center"/>
          </w:tcPr>
          <w:p w14:paraId="1ABEF080" w14:textId="77777777" w:rsidR="00B650E5" w:rsidRDefault="00B650E5">
            <w:pPr>
              <w:keepNext/>
              <w:keepLines/>
              <w:spacing w:before="120" w:after="120"/>
              <w:ind w:left="34"/>
              <w:jc w:val="center"/>
              <w:rPr>
                <w:bCs/>
                <w:i/>
              </w:rPr>
            </w:pPr>
            <w:r>
              <w:rPr>
                <w:bCs/>
                <w:i/>
              </w:rPr>
              <w:t>Akékoľvek „tieňové“ ponuky/žiadosti o účasť</w:t>
            </w:r>
          </w:p>
        </w:tc>
        <w:tc>
          <w:tcPr>
            <w:tcW w:w="5472" w:type="dxa"/>
          </w:tcPr>
          <w:p w14:paraId="2A1D1E44" w14:textId="77777777" w:rsidR="00B650E5" w:rsidRDefault="00B650E5">
            <w:pPr>
              <w:keepNext/>
              <w:keepLines/>
              <w:spacing w:before="120" w:after="120"/>
              <w:jc w:val="both"/>
              <w:rPr>
                <w:bCs/>
                <w:i/>
              </w:rPr>
            </w:pPr>
            <w:r>
              <w:rPr>
                <w:bCs/>
                <w:i/>
              </w:rPr>
              <w:t>Ponuky predložili aj uchádzači, ktorí nie sú zjavne kvalifikovaní</w:t>
            </w:r>
            <w:r w:rsidR="00F64BDD">
              <w:rPr>
                <w:bCs/>
                <w:i/>
              </w:rPr>
              <w:t>,</w:t>
            </w:r>
            <w:r>
              <w:rPr>
                <w:bCs/>
                <w:i/>
              </w:rPr>
              <w:t xml:space="preserve"> resp. ich ponuka nespĺňa základné požiadavky určené verejným obstarávateľom</w:t>
            </w:r>
          </w:p>
        </w:tc>
      </w:tr>
      <w:tr w:rsidR="00B650E5" w14:paraId="46E80E1B" w14:textId="77777777">
        <w:tc>
          <w:tcPr>
            <w:tcW w:w="567" w:type="dxa"/>
            <w:vAlign w:val="center"/>
          </w:tcPr>
          <w:p w14:paraId="4D8F123B" w14:textId="77777777" w:rsidR="00B650E5" w:rsidRDefault="00B650E5">
            <w:pPr>
              <w:keepNext/>
              <w:keepLines/>
              <w:spacing w:before="120" w:after="120"/>
              <w:ind w:left="34"/>
              <w:jc w:val="center"/>
              <w:rPr>
                <w:bCs/>
                <w:i/>
              </w:rPr>
            </w:pPr>
            <w:r>
              <w:rPr>
                <w:bCs/>
                <w:i/>
              </w:rPr>
              <w:t>18</w:t>
            </w:r>
          </w:p>
        </w:tc>
        <w:tc>
          <w:tcPr>
            <w:tcW w:w="3600" w:type="dxa"/>
            <w:vAlign w:val="center"/>
          </w:tcPr>
          <w:p w14:paraId="04BB46BE" w14:textId="77777777" w:rsidR="00B650E5" w:rsidRDefault="00B650E5">
            <w:pPr>
              <w:keepNext/>
              <w:keepLines/>
              <w:spacing w:before="120" w:after="120"/>
              <w:ind w:left="34"/>
              <w:jc w:val="center"/>
              <w:rPr>
                <w:bCs/>
                <w:i/>
              </w:rPr>
            </w:pPr>
            <w:r>
              <w:rPr>
                <w:bCs/>
                <w:i/>
              </w:rPr>
              <w:t>„Offshore“ ponuky</w:t>
            </w:r>
          </w:p>
        </w:tc>
        <w:tc>
          <w:tcPr>
            <w:tcW w:w="5472" w:type="dxa"/>
          </w:tcPr>
          <w:p w14:paraId="1F958A51" w14:textId="77777777" w:rsidR="00B650E5" w:rsidRDefault="00B650E5">
            <w:pPr>
              <w:keepNext/>
              <w:keepLines/>
              <w:spacing w:before="120" w:after="120"/>
              <w:jc w:val="both"/>
              <w:rPr>
                <w:bCs/>
                <w:i/>
              </w:rPr>
            </w:pPr>
            <w:r>
              <w:rPr>
                <w:bCs/>
                <w:i/>
              </w:rPr>
              <w:t>Ponuku predložil uchádzač, ktorého sídlo je v krajine tzv. „daňového raja“ , uchádzač má síce sídlo v krajne EÚ, ale jeho bankové účty sú v krajine tzv. „daňového raja“</w:t>
            </w:r>
          </w:p>
        </w:tc>
      </w:tr>
      <w:tr w:rsidR="00B650E5" w14:paraId="650989B6" w14:textId="77777777">
        <w:tc>
          <w:tcPr>
            <w:tcW w:w="567" w:type="dxa"/>
            <w:vAlign w:val="center"/>
          </w:tcPr>
          <w:p w14:paraId="4F7202FD" w14:textId="77777777" w:rsidR="00B650E5" w:rsidRDefault="00B650E5">
            <w:pPr>
              <w:keepNext/>
              <w:keepLines/>
              <w:spacing w:before="120" w:after="120"/>
              <w:ind w:left="34"/>
              <w:jc w:val="center"/>
              <w:rPr>
                <w:bCs/>
                <w:i/>
              </w:rPr>
            </w:pPr>
            <w:r>
              <w:rPr>
                <w:bCs/>
                <w:i/>
              </w:rPr>
              <w:t>19</w:t>
            </w:r>
          </w:p>
        </w:tc>
        <w:tc>
          <w:tcPr>
            <w:tcW w:w="3600" w:type="dxa"/>
            <w:vAlign w:val="center"/>
          </w:tcPr>
          <w:p w14:paraId="63E9944D" w14:textId="77777777" w:rsidR="00B650E5" w:rsidRDefault="00B650E5">
            <w:pPr>
              <w:keepNext/>
              <w:keepLines/>
              <w:spacing w:before="120" w:after="120"/>
              <w:ind w:left="34"/>
              <w:jc w:val="center"/>
              <w:rPr>
                <w:bCs/>
                <w:i/>
              </w:rPr>
            </w:pPr>
            <w:r>
              <w:rPr>
                <w:bCs/>
                <w:i/>
              </w:rPr>
              <w:t>Identifikované zmeny v ponuke uchádzača po jej predložení</w:t>
            </w:r>
          </w:p>
        </w:tc>
        <w:tc>
          <w:tcPr>
            <w:tcW w:w="5472" w:type="dxa"/>
          </w:tcPr>
          <w:p w14:paraId="12EB397F" w14:textId="77777777" w:rsidR="00B650E5" w:rsidRDefault="00B650E5">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B650E5" w14:paraId="2FF23E7D" w14:textId="77777777">
        <w:tc>
          <w:tcPr>
            <w:tcW w:w="567" w:type="dxa"/>
            <w:vAlign w:val="center"/>
          </w:tcPr>
          <w:p w14:paraId="39F4FD62" w14:textId="77777777" w:rsidR="00B650E5" w:rsidRDefault="00B650E5">
            <w:pPr>
              <w:keepNext/>
              <w:keepLines/>
              <w:spacing w:before="120" w:after="120"/>
              <w:ind w:left="34"/>
              <w:jc w:val="center"/>
              <w:rPr>
                <w:bCs/>
                <w:i/>
              </w:rPr>
            </w:pPr>
            <w:r>
              <w:rPr>
                <w:bCs/>
                <w:i/>
              </w:rPr>
              <w:t>20</w:t>
            </w:r>
          </w:p>
        </w:tc>
        <w:tc>
          <w:tcPr>
            <w:tcW w:w="3600" w:type="dxa"/>
            <w:vAlign w:val="center"/>
          </w:tcPr>
          <w:p w14:paraId="06A97285" w14:textId="77777777" w:rsidR="00B650E5" w:rsidRDefault="00B650E5">
            <w:pPr>
              <w:keepNext/>
              <w:keepLines/>
              <w:spacing w:before="120" w:after="120"/>
              <w:ind w:left="34"/>
              <w:jc w:val="center"/>
              <w:rPr>
                <w:bCs/>
                <w:i/>
              </w:rPr>
            </w:pPr>
            <w:r>
              <w:rPr>
                <w:bCs/>
                <w:i/>
              </w:rPr>
              <w:t>Ponuky vylúčené pre chyby</w:t>
            </w:r>
          </w:p>
        </w:tc>
        <w:tc>
          <w:tcPr>
            <w:tcW w:w="5472" w:type="dxa"/>
          </w:tcPr>
          <w:p w14:paraId="2D9B0A98" w14:textId="77777777" w:rsidR="00B650E5" w:rsidRDefault="00B650E5">
            <w:pPr>
              <w:keepNext/>
              <w:keepLines/>
              <w:spacing w:before="120" w:after="120"/>
              <w:jc w:val="both"/>
              <w:rPr>
                <w:bCs/>
                <w:i/>
              </w:rPr>
            </w:pPr>
            <w:r>
              <w:rPr>
                <w:bCs/>
                <w:i/>
              </w:rPr>
              <w:t>Verejný obstarávateľ vylúčil zjavne kvalifikované ponuky pre formálne nedostatky, resp. pre otázne dôvody</w:t>
            </w:r>
            <w:r w:rsidR="0012163A">
              <w:rPr>
                <w:bCs/>
                <w:i/>
              </w:rPr>
              <w:t>.</w:t>
            </w:r>
          </w:p>
        </w:tc>
      </w:tr>
      <w:tr w:rsidR="00B650E5" w14:paraId="7B24C56F" w14:textId="77777777">
        <w:tc>
          <w:tcPr>
            <w:tcW w:w="567" w:type="dxa"/>
            <w:vAlign w:val="center"/>
          </w:tcPr>
          <w:p w14:paraId="7B541002" w14:textId="77777777" w:rsidR="00B650E5" w:rsidRDefault="00B650E5">
            <w:pPr>
              <w:keepNext/>
              <w:keepLines/>
              <w:spacing w:before="120" w:after="120"/>
              <w:ind w:left="34"/>
              <w:jc w:val="center"/>
              <w:rPr>
                <w:bCs/>
                <w:i/>
              </w:rPr>
            </w:pPr>
            <w:r>
              <w:rPr>
                <w:bCs/>
                <w:i/>
              </w:rPr>
              <w:t>21</w:t>
            </w:r>
          </w:p>
        </w:tc>
        <w:tc>
          <w:tcPr>
            <w:tcW w:w="3600" w:type="dxa"/>
            <w:vAlign w:val="center"/>
          </w:tcPr>
          <w:p w14:paraId="62F70B52" w14:textId="77777777" w:rsidR="00B650E5" w:rsidRDefault="00B650E5">
            <w:pPr>
              <w:keepNext/>
              <w:keepLines/>
              <w:spacing w:before="120" w:after="120"/>
              <w:ind w:left="34"/>
              <w:jc w:val="center"/>
              <w:rPr>
                <w:bCs/>
                <w:i/>
              </w:rPr>
            </w:pPr>
            <w:r>
              <w:rPr>
                <w:bCs/>
                <w:i/>
              </w:rPr>
              <w:t>Akékoľvek sťažnosti od neúspešných uchádzačov/záujemcov, mediálne podnety</w:t>
            </w:r>
          </w:p>
        </w:tc>
        <w:tc>
          <w:tcPr>
            <w:tcW w:w="5472" w:type="dxa"/>
          </w:tcPr>
          <w:p w14:paraId="3A7A2686" w14:textId="77777777" w:rsidR="00B650E5" w:rsidRDefault="00B650E5">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r w:rsidR="0012163A">
              <w:rPr>
                <w:bCs/>
                <w:i/>
              </w:rPr>
              <w:t>.</w:t>
            </w:r>
          </w:p>
        </w:tc>
      </w:tr>
      <w:tr w:rsidR="00B650E5" w14:paraId="3F564115" w14:textId="77777777">
        <w:tc>
          <w:tcPr>
            <w:tcW w:w="567" w:type="dxa"/>
            <w:vAlign w:val="center"/>
          </w:tcPr>
          <w:p w14:paraId="4CB71C99" w14:textId="77777777" w:rsidR="00B650E5" w:rsidRDefault="00B650E5">
            <w:pPr>
              <w:keepNext/>
              <w:keepLines/>
              <w:spacing w:before="120" w:after="120"/>
              <w:ind w:left="34"/>
              <w:jc w:val="center"/>
              <w:rPr>
                <w:bCs/>
                <w:i/>
              </w:rPr>
            </w:pPr>
            <w:r>
              <w:rPr>
                <w:bCs/>
                <w:i/>
              </w:rPr>
              <w:t>22</w:t>
            </w:r>
          </w:p>
        </w:tc>
        <w:tc>
          <w:tcPr>
            <w:tcW w:w="3600" w:type="dxa"/>
            <w:vAlign w:val="center"/>
          </w:tcPr>
          <w:p w14:paraId="27D0FB5E" w14:textId="77777777" w:rsidR="00B650E5" w:rsidRDefault="00B650E5">
            <w:pPr>
              <w:keepNext/>
              <w:keepLines/>
              <w:spacing w:before="120" w:after="120"/>
              <w:ind w:left="34"/>
              <w:jc w:val="center"/>
              <w:rPr>
                <w:bCs/>
                <w:i/>
              </w:rPr>
            </w:pPr>
            <w:r>
              <w:rPr>
                <w:bCs/>
                <w:i/>
              </w:rPr>
              <w:t>Vykonané zmeny hneď po uzavretí zmluvy, alebo pri podpísaní zmluvy</w:t>
            </w:r>
          </w:p>
        </w:tc>
        <w:tc>
          <w:tcPr>
            <w:tcW w:w="5472" w:type="dxa"/>
          </w:tcPr>
          <w:p w14:paraId="1747FA33" w14:textId="77777777" w:rsidR="00B650E5" w:rsidRDefault="00B650E5">
            <w:pPr>
              <w:keepNext/>
              <w:keepLines/>
              <w:spacing w:before="120" w:after="120"/>
              <w:jc w:val="both"/>
              <w:rPr>
                <w:bCs/>
                <w:i/>
              </w:rPr>
            </w:pPr>
            <w:r>
              <w:rPr>
                <w:bCs/>
                <w:i/>
              </w:rPr>
              <w:t>Samotná podpísaná ponuka obsahuje napr. naviac položky, ktoré ale neboli predmetom zákazky, resp. ponuky uchádzača. Sú vykonané podstatné zmeny meniace zmluvnú rovnováhu alebo predmet zákazky.</w:t>
            </w:r>
          </w:p>
        </w:tc>
      </w:tr>
      <w:tr w:rsidR="00B650E5" w14:paraId="52B8FE09" w14:textId="77777777">
        <w:tc>
          <w:tcPr>
            <w:tcW w:w="567" w:type="dxa"/>
            <w:vAlign w:val="center"/>
          </w:tcPr>
          <w:p w14:paraId="6B0B9233" w14:textId="77777777" w:rsidR="00B650E5" w:rsidRDefault="00B650E5">
            <w:pPr>
              <w:keepNext/>
              <w:keepLines/>
              <w:spacing w:before="120" w:after="120"/>
              <w:ind w:left="34"/>
              <w:jc w:val="center"/>
              <w:rPr>
                <w:bCs/>
                <w:i/>
              </w:rPr>
            </w:pPr>
            <w:r>
              <w:rPr>
                <w:bCs/>
                <w:i/>
              </w:rPr>
              <w:t>23</w:t>
            </w:r>
          </w:p>
        </w:tc>
        <w:tc>
          <w:tcPr>
            <w:tcW w:w="3600" w:type="dxa"/>
            <w:vAlign w:val="center"/>
          </w:tcPr>
          <w:p w14:paraId="35F4AAFC" w14:textId="77777777" w:rsidR="00B650E5" w:rsidRDefault="00B650E5">
            <w:pPr>
              <w:keepNext/>
              <w:keepLines/>
              <w:spacing w:before="120" w:after="120"/>
              <w:ind w:left="34"/>
              <w:jc w:val="center"/>
              <w:rPr>
                <w:bCs/>
                <w:i/>
              </w:rPr>
            </w:pPr>
            <w:r>
              <w:rPr>
                <w:bCs/>
                <w:i/>
              </w:rPr>
              <w:t>Výšky ponúk sa nezvyčajne  blízko približujú k hodnote predpokladanej hodnoty zákazky</w:t>
            </w:r>
            <w:r w:rsidR="00F64BDD">
              <w:rPr>
                <w:bCs/>
                <w:i/>
              </w:rPr>
              <w:t>,</w:t>
            </w:r>
            <w:r>
              <w:rPr>
                <w:bCs/>
                <w:i/>
              </w:rPr>
              <w:t xml:space="preserve"> resp. k hodnote schváleného projektu</w:t>
            </w:r>
          </w:p>
        </w:tc>
        <w:tc>
          <w:tcPr>
            <w:tcW w:w="5472" w:type="dxa"/>
          </w:tcPr>
          <w:p w14:paraId="06505427" w14:textId="77777777" w:rsidR="00B650E5" w:rsidRDefault="00B650E5">
            <w:pPr>
              <w:keepNext/>
              <w:keepLines/>
              <w:spacing w:before="120" w:after="120"/>
              <w:jc w:val="both"/>
              <w:rPr>
                <w:bCs/>
                <w:i/>
              </w:rPr>
            </w:pPr>
            <w:r>
              <w:rPr>
                <w:bCs/>
                <w:i/>
              </w:rPr>
              <w:t>Väčšina z ponúk ich výškou takmer kopíruje predpokladanú hodnotu zákazky alebo hodnotu projektu tak</w:t>
            </w:r>
            <w:r w:rsidR="0012163A">
              <w:rPr>
                <w:bCs/>
                <w:i/>
              </w:rPr>
              <w:t>,</w:t>
            </w:r>
            <w:r>
              <w:rPr>
                <w:bCs/>
                <w:i/>
              </w:rPr>
              <w:t xml:space="preserve"> ako bol schválený v rámci ŽoNFP</w:t>
            </w:r>
            <w:r w:rsidR="0012163A">
              <w:rPr>
                <w:bCs/>
                <w:i/>
              </w:rPr>
              <w:t>.</w:t>
            </w:r>
            <w:r>
              <w:rPr>
                <w:bCs/>
                <w:i/>
              </w:rPr>
              <w:t xml:space="preserve"> </w:t>
            </w:r>
          </w:p>
        </w:tc>
      </w:tr>
      <w:tr w:rsidR="00B650E5" w14:paraId="482FC3B1" w14:textId="77777777">
        <w:tc>
          <w:tcPr>
            <w:tcW w:w="567" w:type="dxa"/>
            <w:vAlign w:val="center"/>
          </w:tcPr>
          <w:p w14:paraId="1DF67D02" w14:textId="77777777" w:rsidR="00B650E5" w:rsidRDefault="00B650E5">
            <w:pPr>
              <w:keepNext/>
              <w:keepLines/>
              <w:spacing w:before="120" w:after="120"/>
              <w:ind w:left="34"/>
              <w:jc w:val="center"/>
              <w:rPr>
                <w:bCs/>
                <w:i/>
              </w:rPr>
            </w:pPr>
            <w:r>
              <w:rPr>
                <w:bCs/>
                <w:i/>
              </w:rPr>
              <w:t>24</w:t>
            </w:r>
          </w:p>
        </w:tc>
        <w:tc>
          <w:tcPr>
            <w:tcW w:w="3600" w:type="dxa"/>
            <w:vAlign w:val="center"/>
          </w:tcPr>
          <w:p w14:paraId="1426721F" w14:textId="77777777" w:rsidR="00B650E5" w:rsidRDefault="00B650E5">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14:paraId="21F4D22D" w14:textId="77777777" w:rsidR="00B650E5" w:rsidRDefault="00B650E5">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B650E5" w14:paraId="27BCA072" w14:textId="77777777">
        <w:tc>
          <w:tcPr>
            <w:tcW w:w="567" w:type="dxa"/>
            <w:vAlign w:val="center"/>
          </w:tcPr>
          <w:p w14:paraId="6B7331BE" w14:textId="77777777" w:rsidR="00B650E5" w:rsidRDefault="00B650E5">
            <w:pPr>
              <w:keepNext/>
              <w:keepLines/>
              <w:spacing w:before="120" w:after="120"/>
              <w:ind w:left="34"/>
              <w:jc w:val="center"/>
              <w:rPr>
                <w:bCs/>
                <w:i/>
              </w:rPr>
            </w:pPr>
            <w:r>
              <w:rPr>
                <w:bCs/>
                <w:i/>
              </w:rPr>
              <w:t>25</w:t>
            </w:r>
          </w:p>
        </w:tc>
        <w:tc>
          <w:tcPr>
            <w:tcW w:w="3600" w:type="dxa"/>
            <w:vAlign w:val="center"/>
          </w:tcPr>
          <w:p w14:paraId="3D483B10" w14:textId="77777777" w:rsidR="00B650E5" w:rsidRDefault="00B650E5">
            <w:pPr>
              <w:keepNext/>
              <w:keepLines/>
              <w:spacing w:before="120" w:after="120"/>
              <w:ind w:left="34"/>
              <w:jc w:val="center"/>
              <w:rPr>
                <w:bCs/>
                <w:i/>
              </w:rPr>
            </w:pPr>
            <w:r>
              <w:rPr>
                <w:bCs/>
                <w:i/>
              </w:rPr>
              <w:t>Chýba zdôvodnenie výberu úspešného uchádzača</w:t>
            </w:r>
            <w:r w:rsidR="00F64BDD">
              <w:rPr>
                <w:bCs/>
                <w:i/>
              </w:rPr>
              <w:t>,</w:t>
            </w:r>
            <w:r>
              <w:rPr>
                <w:bCs/>
                <w:i/>
              </w:rPr>
              <w:t xml:space="preserve"> resp. zdôvodnenie vylúčenia neúspešných uchádzačov</w:t>
            </w:r>
          </w:p>
        </w:tc>
        <w:tc>
          <w:tcPr>
            <w:tcW w:w="5472" w:type="dxa"/>
          </w:tcPr>
          <w:p w14:paraId="170EA42A" w14:textId="77777777" w:rsidR="00B650E5" w:rsidRDefault="00B650E5">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r w:rsidR="0012163A">
              <w:rPr>
                <w:bCs/>
                <w:i/>
              </w:rPr>
              <w:t>.</w:t>
            </w:r>
          </w:p>
        </w:tc>
      </w:tr>
      <w:tr w:rsidR="00B650E5" w14:paraId="02CBB2B6" w14:textId="77777777">
        <w:tc>
          <w:tcPr>
            <w:tcW w:w="567" w:type="dxa"/>
            <w:vAlign w:val="center"/>
          </w:tcPr>
          <w:p w14:paraId="0A64104E" w14:textId="77777777" w:rsidR="00B650E5" w:rsidRDefault="00B650E5">
            <w:pPr>
              <w:keepNext/>
              <w:keepLines/>
              <w:spacing w:before="120" w:after="120"/>
              <w:ind w:left="34"/>
              <w:jc w:val="center"/>
              <w:rPr>
                <w:bCs/>
                <w:i/>
              </w:rPr>
            </w:pPr>
            <w:r>
              <w:rPr>
                <w:bCs/>
                <w:i/>
              </w:rPr>
              <w:t>26</w:t>
            </w:r>
          </w:p>
        </w:tc>
        <w:tc>
          <w:tcPr>
            <w:tcW w:w="3600" w:type="dxa"/>
            <w:vAlign w:val="center"/>
          </w:tcPr>
          <w:p w14:paraId="3BD2407A" w14:textId="77777777" w:rsidR="00B650E5" w:rsidRDefault="00B650E5">
            <w:pPr>
              <w:keepNext/>
              <w:keepLines/>
              <w:spacing w:before="120" w:after="120"/>
              <w:ind w:left="34"/>
              <w:jc w:val="center"/>
              <w:rPr>
                <w:bCs/>
                <w:i/>
              </w:rPr>
            </w:pPr>
            <w:r>
              <w:rPr>
                <w:bCs/>
                <w:i/>
              </w:rPr>
              <w:t>Nezrovnalosti v zápisnici z vyhodnotenia</w:t>
            </w:r>
          </w:p>
        </w:tc>
        <w:tc>
          <w:tcPr>
            <w:tcW w:w="5472" w:type="dxa"/>
          </w:tcPr>
          <w:p w14:paraId="0C004E62" w14:textId="77777777" w:rsidR="00B650E5" w:rsidRDefault="00B650E5">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B650E5" w14:paraId="3CA869F5" w14:textId="77777777">
        <w:tc>
          <w:tcPr>
            <w:tcW w:w="567" w:type="dxa"/>
            <w:vAlign w:val="center"/>
          </w:tcPr>
          <w:p w14:paraId="5B93B0EE" w14:textId="77777777" w:rsidR="00B650E5" w:rsidRDefault="00B650E5">
            <w:pPr>
              <w:keepNext/>
              <w:keepLines/>
              <w:spacing w:before="120" w:after="120"/>
              <w:ind w:left="34"/>
              <w:jc w:val="center"/>
              <w:rPr>
                <w:bCs/>
                <w:i/>
              </w:rPr>
            </w:pPr>
            <w:r>
              <w:rPr>
                <w:bCs/>
                <w:i/>
              </w:rPr>
              <w:lastRenderedPageBreak/>
              <w:t>28</w:t>
            </w:r>
          </w:p>
        </w:tc>
        <w:tc>
          <w:tcPr>
            <w:tcW w:w="3600" w:type="dxa"/>
            <w:vAlign w:val="center"/>
          </w:tcPr>
          <w:p w14:paraId="4BF778DF" w14:textId="77777777" w:rsidR="00B650E5" w:rsidRDefault="00B650E5">
            <w:pPr>
              <w:keepNext/>
              <w:keepLines/>
              <w:spacing w:before="120" w:after="120"/>
              <w:ind w:left="34"/>
              <w:jc w:val="center"/>
              <w:rPr>
                <w:bCs/>
                <w:i/>
              </w:rPr>
            </w:pPr>
            <w:r>
              <w:rPr>
                <w:bCs/>
                <w:i/>
              </w:rPr>
              <w:t>Vysoký počet zadaní zákaziek jednému dodávateľovi</w:t>
            </w:r>
          </w:p>
        </w:tc>
        <w:tc>
          <w:tcPr>
            <w:tcW w:w="5472" w:type="dxa"/>
          </w:tcPr>
          <w:p w14:paraId="6FE4EEC2" w14:textId="19474E04" w:rsidR="00B650E5" w:rsidRDefault="00B650E5">
            <w:pPr>
              <w:keepNext/>
              <w:keepLines/>
              <w:spacing w:before="120" w:after="120"/>
              <w:jc w:val="both"/>
              <w:rPr>
                <w:bCs/>
                <w:i/>
              </w:rPr>
            </w:pPr>
            <w:r>
              <w:rPr>
                <w:bCs/>
                <w:i/>
              </w:rPr>
              <w:t>Pri vyššom počte zadaní zákaziek je úspešným uchádzačom stále ten istý subjekt (či už na úrovni prijímateľa alebo aj na vyššej – napr. OP a</w:t>
            </w:r>
            <w:r w:rsidR="0012163A">
              <w:rPr>
                <w:bCs/>
                <w:i/>
              </w:rPr>
              <w:t> </w:t>
            </w:r>
            <w:r>
              <w:rPr>
                <w:bCs/>
                <w:i/>
              </w:rPr>
              <w:t>pod</w:t>
            </w:r>
            <w:r w:rsidR="0012163A">
              <w:rPr>
                <w:bCs/>
                <w:i/>
              </w:rPr>
              <w:t>.</w:t>
            </w:r>
            <w:r>
              <w:rPr>
                <w:bCs/>
                <w:i/>
              </w:rPr>
              <w:t>)</w:t>
            </w:r>
            <w:r w:rsidR="0012163A">
              <w:rPr>
                <w:bCs/>
                <w:i/>
              </w:rPr>
              <w:t>.</w:t>
            </w:r>
          </w:p>
        </w:tc>
      </w:tr>
      <w:tr w:rsidR="00B650E5" w14:paraId="175D49AB" w14:textId="77777777">
        <w:tc>
          <w:tcPr>
            <w:tcW w:w="567" w:type="dxa"/>
            <w:vAlign w:val="center"/>
          </w:tcPr>
          <w:p w14:paraId="23F5C1FC" w14:textId="77777777" w:rsidR="00B650E5" w:rsidRDefault="00B650E5">
            <w:pPr>
              <w:keepNext/>
              <w:keepLines/>
              <w:spacing w:before="120" w:after="120"/>
              <w:ind w:left="34"/>
              <w:jc w:val="center"/>
              <w:rPr>
                <w:bCs/>
                <w:i/>
              </w:rPr>
            </w:pPr>
            <w:r>
              <w:rPr>
                <w:bCs/>
                <w:i/>
              </w:rPr>
              <w:t>29</w:t>
            </w:r>
          </w:p>
        </w:tc>
        <w:tc>
          <w:tcPr>
            <w:tcW w:w="3600" w:type="dxa"/>
            <w:vAlign w:val="center"/>
          </w:tcPr>
          <w:p w14:paraId="261F9C31" w14:textId="77777777" w:rsidR="00B650E5" w:rsidRDefault="00B650E5">
            <w:pPr>
              <w:keepNext/>
              <w:keepLines/>
              <w:spacing w:before="120" w:after="120"/>
              <w:ind w:left="34"/>
              <w:jc w:val="center"/>
              <w:rPr>
                <w:bCs/>
                <w:i/>
              </w:rPr>
            </w:pPr>
            <w:r>
              <w:rPr>
                <w:bCs/>
                <w:i/>
              </w:rPr>
              <w:t>Kaskádové (reťazové) subkontrahovanie</w:t>
            </w:r>
          </w:p>
        </w:tc>
        <w:tc>
          <w:tcPr>
            <w:tcW w:w="5472" w:type="dxa"/>
          </w:tcPr>
          <w:p w14:paraId="25B7CDC2" w14:textId="77777777" w:rsidR="00B650E5" w:rsidRDefault="00B650E5">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14:paraId="70DFF5D1" w14:textId="77777777" w:rsidR="00B650E5" w:rsidRDefault="00B650E5">
      <w:pPr>
        <w:pStyle w:val="SRK2"/>
        <w:rPr>
          <w:rStyle w:val="Nadpis1Char"/>
          <w:bCs/>
          <w:sz w:val="36"/>
          <w:szCs w:val="26"/>
        </w:rPr>
      </w:pPr>
      <w:bookmarkStart w:id="443" w:name="_Toc453234055"/>
      <w:bookmarkStart w:id="444" w:name="_Toc495649412"/>
      <w:r>
        <w:rPr>
          <w:rStyle w:val="Nadpis1Char"/>
          <w:bCs/>
          <w:sz w:val="36"/>
          <w:szCs w:val="26"/>
        </w:rPr>
        <w:t>3.4 Osobitné spôsoby implementácie operačných programov</w:t>
      </w:r>
      <w:bookmarkEnd w:id="335"/>
      <w:bookmarkEnd w:id="443"/>
      <w:bookmarkEnd w:id="444"/>
    </w:p>
    <w:p w14:paraId="5AE644D1" w14:textId="77777777" w:rsidR="00B650E5" w:rsidRDefault="00B650E5">
      <w:pPr>
        <w:pStyle w:val="SRK3"/>
      </w:pPr>
      <w:bookmarkStart w:id="445" w:name="_Toc378947523"/>
      <w:bookmarkStart w:id="446" w:name="_Toc453234056"/>
      <w:bookmarkStart w:id="447" w:name="_Toc495649413"/>
      <w:bookmarkStart w:id="448" w:name="kapitola_341"/>
      <w:r>
        <w:t>3.4.1 Národné projekty</w:t>
      </w:r>
      <w:bookmarkEnd w:id="445"/>
      <w:bookmarkEnd w:id="446"/>
      <w:bookmarkEnd w:id="447"/>
    </w:p>
    <w:bookmarkEnd w:id="448"/>
    <w:p w14:paraId="4EEAE35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EÚ:</w:t>
      </w:r>
    </w:p>
    <w:p w14:paraId="24212DA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xml:space="preserve">Čl. 125 ods. 1 a 3 všeobecného nariadenia </w:t>
      </w:r>
    </w:p>
    <w:p w14:paraId="27E1CC8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SR:</w:t>
      </w:r>
    </w:p>
    <w:p w14:paraId="1C6FC42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26</w:t>
      </w:r>
      <w:r w:rsidR="00AF2804">
        <w:rPr>
          <w:bCs/>
          <w:i/>
          <w:iCs/>
          <w:szCs w:val="22"/>
          <w:lang w:eastAsia="en-US"/>
        </w:rPr>
        <w:t xml:space="preserve"> </w:t>
      </w:r>
      <w:r>
        <w:rPr>
          <w:bCs/>
          <w:i/>
          <w:iCs/>
          <w:szCs w:val="22"/>
          <w:lang w:eastAsia="en-US"/>
        </w:rPr>
        <w:t>zákona o príspevku z EŠIF</w:t>
      </w:r>
    </w:p>
    <w:p w14:paraId="06C53B6E"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14:paraId="578598F7"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Národný projekt realizuje na návrh poskytovateľa prijímateľ</w:t>
      </w:r>
    </w:p>
    <w:p w14:paraId="3B4A29CD"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určený v OP, alebo</w:t>
      </w:r>
    </w:p>
    <w:p w14:paraId="273270CB"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ktorého kompetencie spojené s realizáciou projektu vyplývajú priamo z osobitných predpisov, alebo</w:t>
      </w:r>
    </w:p>
    <w:p w14:paraId="551DF4FC"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schválený MV, alebo</w:t>
      </w:r>
    </w:p>
    <w:p w14:paraId="794C4E32" w14:textId="3B5F2922" w:rsidR="00B650E5" w:rsidRDefault="00B650E5">
      <w:pPr>
        <w:numPr>
          <w:ilvl w:val="1"/>
          <w:numId w:val="346"/>
        </w:numPr>
        <w:spacing w:before="120" w:after="120"/>
        <w:ind w:left="851" w:hanging="425"/>
        <w:jc w:val="both"/>
        <w:rPr>
          <w:bCs/>
          <w:iCs/>
          <w:szCs w:val="22"/>
          <w:lang w:eastAsia="en-US"/>
        </w:rPr>
      </w:pPr>
      <w:r>
        <w:rPr>
          <w:bCs/>
          <w:iCs/>
          <w:szCs w:val="22"/>
          <w:lang w:eastAsia="en-US"/>
        </w:rPr>
        <w:t xml:space="preserve">schválený komisiou </w:t>
      </w:r>
      <w:r w:rsidR="00C228C8">
        <w:rPr>
          <w:bCs/>
          <w:iCs/>
          <w:szCs w:val="22"/>
          <w:lang w:eastAsia="en-US"/>
        </w:rPr>
        <w:t>pri</w:t>
      </w:r>
      <w:r>
        <w:rPr>
          <w:bCs/>
          <w:iCs/>
          <w:szCs w:val="22"/>
          <w:lang w:eastAsia="en-US"/>
        </w:rPr>
        <w:t xml:space="preserve"> MV.</w:t>
      </w:r>
    </w:p>
    <w:p w14:paraId="7F60CE85" w14:textId="4ED36432" w:rsidR="00B650E5" w:rsidRDefault="00B650E5">
      <w:pPr>
        <w:numPr>
          <w:ilvl w:val="0"/>
          <w:numId w:val="10"/>
        </w:numPr>
        <w:spacing w:before="120" w:after="120"/>
        <w:ind w:left="426" w:hanging="426"/>
        <w:jc w:val="both"/>
        <w:rPr>
          <w:bCs/>
          <w:iCs/>
          <w:szCs w:val="22"/>
          <w:lang w:eastAsia="en-US"/>
        </w:rPr>
      </w:pPr>
      <w:bookmarkStart w:id="449" w:name="kapitola_341_ods_3"/>
      <w:r>
        <w:rPr>
          <w:bCs/>
          <w:iCs/>
          <w:szCs w:val="22"/>
          <w:lang w:eastAsia="en-US"/>
        </w:rPr>
        <w:t xml:space="preserve">Zámery národných projektov schvaľuje MV alebo komisia </w:t>
      </w:r>
      <w:r w:rsidR="00C228C8">
        <w:rPr>
          <w:bCs/>
          <w:iCs/>
          <w:szCs w:val="22"/>
          <w:lang w:eastAsia="en-US"/>
        </w:rPr>
        <w:t>pri</w:t>
      </w:r>
      <w:r>
        <w:rPr>
          <w:bCs/>
          <w:iCs/>
          <w:szCs w:val="22"/>
          <w:lang w:eastAsia="en-US"/>
        </w:rPr>
        <w:t xml:space="preserve"> MV na návrh RO. </w:t>
      </w:r>
      <w:r w:rsidRPr="00CE2906">
        <w:rPr>
          <w:bCs/>
          <w:iCs/>
          <w:szCs w:val="22"/>
          <w:lang w:eastAsia="en-US"/>
        </w:rPr>
        <w:t xml:space="preserve">V rámci každého zámeru národného projektu, ktorý je predkladaný na schvaľovanie a má byť realizovaný ako národný projekt, </w:t>
      </w:r>
      <w:r w:rsidR="008B7D1F">
        <w:rPr>
          <w:bCs/>
          <w:iCs/>
          <w:szCs w:val="22"/>
          <w:lang w:eastAsia="en-US"/>
        </w:rPr>
        <w:t>je</w:t>
      </w:r>
      <w:r w:rsidRPr="00CE2906">
        <w:rPr>
          <w:bCs/>
          <w:iCs/>
          <w:szCs w:val="22"/>
          <w:lang w:eastAsia="en-US"/>
        </w:rPr>
        <w:t xml:space="preserve"> vypln</w:t>
      </w:r>
      <w:r w:rsidR="008B7D1F">
        <w:rPr>
          <w:bCs/>
          <w:iCs/>
          <w:szCs w:val="22"/>
          <w:lang w:eastAsia="en-US"/>
        </w:rPr>
        <w:t>ený</w:t>
      </w:r>
      <w:r w:rsidRPr="00CE2906">
        <w:rPr>
          <w:bCs/>
          <w:iCs/>
          <w:szCs w:val="22"/>
          <w:lang w:eastAsia="en-US"/>
        </w:rPr>
        <w:t xml:space="preserve"> Vzor CKO č. 34 Zámer národného projektu, ktorého obsahom je najmä </w:t>
      </w:r>
      <w:r>
        <w:t>zdôvodnenie využitia národného projektu a vylúčenia výberu projektu prostredníctvom výzvy</w:t>
      </w:r>
      <w:r w:rsidRPr="00CE2906">
        <w:rPr>
          <w:bCs/>
          <w:iCs/>
          <w:szCs w:val="22"/>
          <w:lang w:eastAsia="en-US"/>
        </w:rPr>
        <w:t xml:space="preserve"> a predloží ho na schválenie MV alebo komisii </w:t>
      </w:r>
      <w:r w:rsidR="00C228C8">
        <w:rPr>
          <w:bCs/>
          <w:iCs/>
          <w:szCs w:val="22"/>
          <w:lang w:eastAsia="en-US"/>
        </w:rPr>
        <w:t>pri</w:t>
      </w:r>
      <w:r w:rsidRPr="00CE2906">
        <w:rPr>
          <w:bCs/>
          <w:iCs/>
          <w:szCs w:val="22"/>
          <w:lang w:eastAsia="en-US"/>
        </w:rPr>
        <w:t xml:space="preserve"> MV. </w:t>
      </w:r>
      <w:r>
        <w:rPr>
          <w:bCs/>
          <w:iCs/>
          <w:szCs w:val="22"/>
          <w:lang w:eastAsia="en-US"/>
        </w:rPr>
        <w:t>Zloženie komisie</w:t>
      </w:r>
      <w:r w:rsidR="00C228C8">
        <w:rPr>
          <w:bCs/>
          <w:iCs/>
          <w:szCs w:val="22"/>
          <w:lang w:eastAsia="en-US"/>
        </w:rPr>
        <w:t xml:space="preserve"> pri MV</w:t>
      </w:r>
      <w:r>
        <w:rPr>
          <w:bCs/>
          <w:iCs/>
          <w:szCs w:val="22"/>
          <w:lang w:eastAsia="en-US"/>
        </w:rPr>
        <w:t xml:space="preserve">, jej úlohy a činnosti upraví štatút, ktorý schvaľuje MV. Zloženie komisie </w:t>
      </w:r>
      <w:r w:rsidR="00C228C8">
        <w:rPr>
          <w:bCs/>
          <w:iCs/>
          <w:szCs w:val="22"/>
          <w:lang w:eastAsia="en-US"/>
        </w:rPr>
        <w:t xml:space="preserve">pri MV </w:t>
      </w:r>
      <w:r>
        <w:rPr>
          <w:bCs/>
          <w:iCs/>
          <w:szCs w:val="22"/>
          <w:lang w:eastAsia="en-US"/>
        </w:rPr>
        <w:t xml:space="preserve">musí rešpektovať zásady partnerstva upravené pri kreovaní MV. RO je oprávnený zriadiť </w:t>
      </w:r>
      <w:r w:rsidR="0012163A">
        <w:rPr>
          <w:bCs/>
          <w:iCs/>
          <w:szCs w:val="22"/>
          <w:lang w:eastAsia="en-US"/>
        </w:rPr>
        <w:t>s</w:t>
      </w:r>
      <w:r>
        <w:rPr>
          <w:bCs/>
          <w:iCs/>
          <w:szCs w:val="22"/>
          <w:lang w:eastAsia="en-US"/>
        </w:rPr>
        <w:t xml:space="preserve"> </w:t>
      </w:r>
      <w:r w:rsidR="0012163A">
        <w:rPr>
          <w:bCs/>
          <w:iCs/>
          <w:szCs w:val="22"/>
          <w:lang w:eastAsia="en-US"/>
        </w:rPr>
        <w:t>cieľom</w:t>
      </w:r>
      <w:r>
        <w:rPr>
          <w:bCs/>
          <w:iCs/>
          <w:szCs w:val="22"/>
          <w:lang w:eastAsia="en-US"/>
        </w:rPr>
        <w:t xml:space="preserve"> schvaľova</w:t>
      </w:r>
      <w:r w:rsidR="0012163A">
        <w:rPr>
          <w:bCs/>
          <w:iCs/>
          <w:szCs w:val="22"/>
          <w:lang w:eastAsia="en-US"/>
        </w:rPr>
        <w:t>ť</w:t>
      </w:r>
      <w:r>
        <w:rPr>
          <w:bCs/>
          <w:iCs/>
          <w:szCs w:val="22"/>
          <w:lang w:eastAsia="en-US"/>
        </w:rPr>
        <w:t xml:space="preserve"> zámer</w:t>
      </w:r>
      <w:r w:rsidR="0012163A">
        <w:rPr>
          <w:bCs/>
          <w:iCs/>
          <w:szCs w:val="22"/>
          <w:lang w:eastAsia="en-US"/>
        </w:rPr>
        <w:t>y</w:t>
      </w:r>
      <w:r>
        <w:rPr>
          <w:bCs/>
          <w:iCs/>
          <w:szCs w:val="22"/>
          <w:lang w:eastAsia="en-US"/>
        </w:rPr>
        <w:t xml:space="preserve"> národných projektov aj viacero komisií </w:t>
      </w:r>
      <w:r w:rsidR="00C228C8">
        <w:rPr>
          <w:bCs/>
          <w:iCs/>
          <w:szCs w:val="22"/>
          <w:lang w:eastAsia="en-US"/>
        </w:rPr>
        <w:t xml:space="preserve">pri MV </w:t>
      </w:r>
      <w:r>
        <w:rPr>
          <w:bCs/>
          <w:iCs/>
          <w:szCs w:val="22"/>
          <w:lang w:eastAsia="en-US"/>
        </w:rPr>
        <w:t>v prípade potreby posudzovania národných projektov z vecne odlišných oblastí OP. Ak je prijímateľ národného projektu určený priamo v OP alebo jeho kompetencie vyplývajú priamo z osobitných predpisov, schváleniu MV nepodlieha priamo schvaľovanie prijímateľa</w:t>
      </w:r>
      <w:r w:rsidR="00AF2804">
        <w:rPr>
          <w:bCs/>
          <w:iCs/>
          <w:szCs w:val="22"/>
          <w:lang w:eastAsia="en-US"/>
        </w:rPr>
        <w:t>,</w:t>
      </w:r>
      <w:r>
        <w:rPr>
          <w:bCs/>
          <w:iCs/>
          <w:szCs w:val="22"/>
          <w:lang w:eastAsia="en-US"/>
        </w:rPr>
        <w:t xml:space="preserve"> ale len ostatné časti zámeru národného projektu.</w:t>
      </w:r>
    </w:p>
    <w:bookmarkEnd w:id="449"/>
    <w:p w14:paraId="501EEE2D" w14:textId="7B09C9D2" w:rsidR="00B650E5" w:rsidRDefault="00B650E5">
      <w:pPr>
        <w:numPr>
          <w:ilvl w:val="0"/>
          <w:numId w:val="10"/>
        </w:numPr>
        <w:spacing w:before="120" w:after="120"/>
        <w:ind w:left="426" w:hanging="426"/>
        <w:jc w:val="both"/>
        <w:rPr>
          <w:bCs/>
          <w:iCs/>
          <w:szCs w:val="22"/>
          <w:lang w:eastAsia="en-US"/>
        </w:rPr>
      </w:pPr>
      <w:r>
        <w:rPr>
          <w:bCs/>
          <w:iCs/>
          <w:szCs w:val="22"/>
          <w:lang w:eastAsia="en-US"/>
        </w:rPr>
        <w:t>RO pri návrhu zámerov národných projektov vychádza z koncepcií a stratégií na regionálnej a národnej úrovni, pričom zohľadňuje stanovené priority v daných oblastiach v súlade so</w:t>
      </w:r>
      <w:r w:rsidR="00AF2804">
        <w:rPr>
          <w:bCs/>
          <w:iCs/>
          <w:szCs w:val="22"/>
          <w:lang w:eastAsia="en-US"/>
        </w:rPr>
        <w:t> </w:t>
      </w:r>
      <w:r>
        <w:rPr>
          <w:bCs/>
          <w:iCs/>
          <w:szCs w:val="22"/>
          <w:lang w:eastAsia="en-US"/>
        </w:rPr>
        <w:t>stratégiou definovanou v rámci príslušného OP.</w:t>
      </w:r>
    </w:p>
    <w:p w14:paraId="4DA40C63"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lastRenderedPageBreak/>
        <w:t xml:space="preserve">Zoznam národných projektov vytvorený na základe schválených zámerov národných projektov podľa </w:t>
      </w:r>
      <w:hyperlink w:anchor="kapitola_341_ods_3" w:tooltip="ods. 3" w:history="1">
        <w:r>
          <w:rPr>
            <w:rStyle w:val="Hypertextovprepojenie"/>
            <w:bCs/>
            <w:iCs/>
            <w:szCs w:val="22"/>
            <w:lang w:eastAsia="en-US"/>
          </w:rPr>
          <w:t xml:space="preserve">ods. </w:t>
        </w:r>
        <w:r>
          <w:rPr>
            <w:rStyle w:val="Hypertextovprepojenie"/>
          </w:rPr>
          <w:t>3</w:t>
        </w:r>
      </w:hyperlink>
      <w:r>
        <w:rPr>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14:paraId="297C1C37" w14:textId="18ACC1A4" w:rsidR="00B650E5" w:rsidRPr="003F670C" w:rsidRDefault="00B650E5" w:rsidP="00991DC9">
      <w:pPr>
        <w:numPr>
          <w:ilvl w:val="0"/>
          <w:numId w:val="10"/>
        </w:numPr>
        <w:spacing w:before="120" w:after="120"/>
        <w:ind w:left="426" w:hanging="426"/>
        <w:jc w:val="both"/>
        <w:rPr>
          <w:bCs/>
          <w:iCs/>
        </w:rPr>
      </w:pPr>
      <w:bookmarkStart w:id="450" w:name="kapitola_341_ods_6"/>
      <w:r w:rsidRPr="00997CB0">
        <w:rPr>
          <w:bCs/>
          <w:iCs/>
        </w:rPr>
        <w:t xml:space="preserve">RO predkladá na schválenie MV alebo komisii </w:t>
      </w:r>
      <w:r w:rsidR="00C228C8">
        <w:rPr>
          <w:bCs/>
          <w:iCs/>
        </w:rPr>
        <w:t xml:space="preserve">pri MV </w:t>
      </w:r>
      <w:r w:rsidRPr="00997CB0">
        <w:rPr>
          <w:bCs/>
          <w:iCs/>
        </w:rPr>
        <w:t>akékoľvek zmeny v</w:t>
      </w:r>
      <w:r w:rsidRPr="00F12951">
        <w:rPr>
          <w:bCs/>
          <w:iCs/>
        </w:rPr>
        <w:t> </w:t>
      </w:r>
      <w:r w:rsidRPr="00997CB0">
        <w:rPr>
          <w:bCs/>
          <w:iCs/>
        </w:rPr>
        <w:t>zámeroch národných projekto</w:t>
      </w:r>
      <w:r w:rsidR="00AF2804">
        <w:rPr>
          <w:bCs/>
          <w:iCs/>
        </w:rPr>
        <w:t>v</w:t>
      </w:r>
      <w:r w:rsidRPr="00997CB0">
        <w:rPr>
          <w:bCs/>
          <w:iCs/>
        </w:rPr>
        <w:t xml:space="preserve"> a</w:t>
      </w:r>
      <w:r w:rsidRPr="00F12951">
        <w:rPr>
          <w:bCs/>
          <w:iCs/>
        </w:rPr>
        <w:t> </w:t>
      </w:r>
      <w:r w:rsidRPr="00997CB0">
        <w:rPr>
          <w:bCs/>
          <w:iCs/>
        </w:rPr>
        <w:t>v zozname národných projektov, ktoré znamenajú zmenu v</w:t>
      </w:r>
      <w:r w:rsidRPr="00F12951">
        <w:rPr>
          <w:bCs/>
          <w:iCs/>
        </w:rPr>
        <w:t> </w:t>
      </w:r>
      <w:r w:rsidRPr="00997CB0">
        <w:rPr>
          <w:bCs/>
          <w:iCs/>
        </w:rPr>
        <w:t>osobe určeného prijímateľa, podstatnú zmenu v</w:t>
      </w:r>
      <w:r w:rsidRPr="00F12951">
        <w:rPr>
          <w:bCs/>
          <w:iCs/>
        </w:rPr>
        <w:t> </w:t>
      </w:r>
      <w:r w:rsidRPr="00997CB0">
        <w:rPr>
          <w:bCs/>
          <w:iCs/>
        </w:rPr>
        <w:t>rozsahu aktivít, ktoré majú byť v</w:t>
      </w:r>
      <w:r w:rsidRPr="00F12951">
        <w:rPr>
          <w:bCs/>
          <w:iCs/>
        </w:rPr>
        <w:t> </w:t>
      </w:r>
      <w:r w:rsidRPr="00997CB0">
        <w:rPr>
          <w:bCs/>
          <w:iCs/>
        </w:rPr>
        <w:t>rámci národného projektu realizované (</w:t>
      </w:r>
      <w:r w:rsidR="00C93F30">
        <w:rPr>
          <w:bCs/>
          <w:iCs/>
        </w:rPr>
        <w:t xml:space="preserve">t. j. </w:t>
      </w:r>
      <w:r w:rsidRPr="00997CB0">
        <w:rPr>
          <w:bCs/>
          <w:iCs/>
        </w:rPr>
        <w:t xml:space="preserve">minimálne jedna </w:t>
      </w:r>
      <w:r w:rsidR="0058398F">
        <w:rPr>
          <w:bCs/>
          <w:iCs/>
        </w:rPr>
        <w:t xml:space="preserve">hlavná </w:t>
      </w:r>
      <w:r w:rsidRPr="00997CB0">
        <w:rPr>
          <w:bCs/>
          <w:iCs/>
        </w:rPr>
        <w:t>aktivita nebude v</w:t>
      </w:r>
      <w:r w:rsidRPr="00F12951">
        <w:rPr>
          <w:bCs/>
          <w:iCs/>
        </w:rPr>
        <w:t> </w:t>
      </w:r>
      <w:r w:rsidRPr="00997CB0">
        <w:rPr>
          <w:bCs/>
          <w:iCs/>
        </w:rPr>
        <w:t>rámci národného projektu realizovaná, resp. má dôjsť k</w:t>
      </w:r>
      <w:r w:rsidRPr="00F12951">
        <w:rPr>
          <w:bCs/>
          <w:iCs/>
        </w:rPr>
        <w:t> </w:t>
      </w:r>
      <w:r w:rsidRPr="00997CB0">
        <w:rPr>
          <w:bCs/>
          <w:iCs/>
        </w:rPr>
        <w:t>výraznému zväčšeniu alebo zmenšeniu rozsahu schválených aktivít, príp. doplneniu novej aktivity) alebo finančnej výšky určenej na realizáciu národného projektu (v</w:t>
      </w:r>
      <w:r w:rsidR="0058398F">
        <w:rPr>
          <w:bCs/>
          <w:iCs/>
        </w:rPr>
        <w:t> </w:t>
      </w:r>
      <w:r w:rsidRPr="00997CB0">
        <w:rPr>
          <w:bCs/>
          <w:iCs/>
        </w:rPr>
        <w:t xml:space="preserve">prípade ak </w:t>
      </w:r>
      <w:r>
        <w:rPr>
          <w:bCs/>
          <w:iCs/>
        </w:rPr>
        <w:t>zvýšenie</w:t>
      </w:r>
      <w:r w:rsidRPr="00997CB0">
        <w:rPr>
          <w:bCs/>
          <w:iCs/>
        </w:rPr>
        <w:t xml:space="preserve"> predstavuje viac ako </w:t>
      </w:r>
      <w:r>
        <w:rPr>
          <w:bCs/>
          <w:iCs/>
        </w:rPr>
        <w:t>1</w:t>
      </w:r>
      <w:r w:rsidRPr="00997CB0">
        <w:rPr>
          <w:bCs/>
          <w:iCs/>
        </w:rPr>
        <w:t>0 % alokácie schválenej ako súčasť zoznamu národných projektov a</w:t>
      </w:r>
      <w:r w:rsidRPr="00F12951">
        <w:rPr>
          <w:bCs/>
          <w:iCs/>
        </w:rPr>
        <w:t> </w:t>
      </w:r>
      <w:r w:rsidRPr="00997CB0">
        <w:rPr>
          <w:bCs/>
          <w:iCs/>
        </w:rPr>
        <w:t>nejde o</w:t>
      </w:r>
      <w:r w:rsidRPr="00F12951">
        <w:rPr>
          <w:bCs/>
          <w:iCs/>
        </w:rPr>
        <w:t> </w:t>
      </w:r>
      <w:r w:rsidRPr="00997CB0">
        <w:rPr>
          <w:bCs/>
          <w:iCs/>
        </w:rPr>
        <w:t xml:space="preserve">prípad, kedy je určenie alokácie výsledkom realizovanej štúdie uskutočniteľnosti). RO predkladá na schválenie MV alebo komisii </w:t>
      </w:r>
      <w:r w:rsidR="00C228C8">
        <w:rPr>
          <w:bCs/>
          <w:iCs/>
        </w:rPr>
        <w:t xml:space="preserve">pri MV </w:t>
      </w:r>
      <w:r w:rsidRPr="00997CB0">
        <w:rPr>
          <w:bCs/>
          <w:iCs/>
        </w:rPr>
        <w:t>aj aktualizáciu zoznamu národných projektov na základe rozhodnutia RO neimplementovať schválený zámer národného projektu spolu so zdôvodnením takéhoto rozhodnutia.</w:t>
      </w:r>
      <w:r>
        <w:rPr>
          <w:bCs/>
          <w:iCs/>
        </w:rPr>
        <w:t xml:space="preserve"> </w:t>
      </w:r>
    </w:p>
    <w:bookmarkEnd w:id="450"/>
    <w:p w14:paraId="27DF7DAC" w14:textId="13870AAA" w:rsidR="00B650E5" w:rsidRDefault="00B650E5">
      <w:pPr>
        <w:numPr>
          <w:ilvl w:val="0"/>
          <w:numId w:val="10"/>
        </w:numPr>
        <w:spacing w:before="120" w:after="120"/>
        <w:ind w:left="426" w:hanging="426"/>
        <w:jc w:val="both"/>
        <w:rPr>
          <w:bCs/>
          <w:iCs/>
          <w:szCs w:val="22"/>
          <w:lang w:eastAsia="en-US"/>
        </w:rPr>
      </w:pPr>
      <w:r>
        <w:rPr>
          <w:bCs/>
          <w:iCs/>
          <w:szCs w:val="22"/>
          <w:lang w:eastAsia="en-US"/>
        </w:rPr>
        <w:t xml:space="preserve">RO je oprávnený pristúpiť k príprave a realizácii národného projektu iba v prípade, ak je národný projekt súčasťou zoznamu národných projektov vytvoreného na základe schválených zámerov národných  projektov, ktoré boli schválené MV alebo komisiou </w:t>
      </w:r>
      <w:r w:rsidR="00C228C8">
        <w:rPr>
          <w:bCs/>
          <w:iCs/>
          <w:szCs w:val="22"/>
          <w:lang w:eastAsia="en-US"/>
        </w:rPr>
        <w:t xml:space="preserve">pri MV </w:t>
      </w:r>
      <w:r>
        <w:rPr>
          <w:bCs/>
          <w:iCs/>
          <w:szCs w:val="22"/>
          <w:lang w:eastAsia="en-US"/>
        </w:rPr>
        <w:t>a zaradené do zoznamu národných projektov.</w:t>
      </w:r>
    </w:p>
    <w:p w14:paraId="43E50308" w14:textId="2277E689" w:rsidR="00B650E5" w:rsidRDefault="00B650E5" w:rsidP="00997CB0">
      <w:pPr>
        <w:numPr>
          <w:ilvl w:val="0"/>
          <w:numId w:val="10"/>
        </w:numPr>
        <w:spacing w:before="120" w:after="120"/>
        <w:ind w:left="426" w:hanging="426"/>
        <w:jc w:val="both"/>
        <w:rPr>
          <w:bCs/>
          <w:iCs/>
          <w:szCs w:val="22"/>
          <w:lang w:eastAsia="en-US"/>
        </w:rPr>
      </w:pPr>
      <w:r>
        <w:rPr>
          <w:bCs/>
          <w:iCs/>
          <w:szCs w:val="22"/>
          <w:lang w:eastAsia="en-US"/>
        </w:rPr>
        <w:t xml:space="preserve">RO je povinný </w:t>
      </w:r>
      <w:r w:rsidR="0012163A">
        <w:rPr>
          <w:bCs/>
          <w:iCs/>
          <w:szCs w:val="22"/>
          <w:lang w:eastAsia="en-US"/>
        </w:rPr>
        <w:t xml:space="preserve">zaslať </w:t>
      </w:r>
      <w:r>
        <w:rPr>
          <w:bCs/>
          <w:iCs/>
          <w:szCs w:val="22"/>
          <w:lang w:eastAsia="en-US"/>
        </w:rPr>
        <w:t xml:space="preserve">CKO na adresu </w:t>
      </w:r>
      <w:hyperlink r:id="rId207" w:history="1">
        <w:r w:rsidRPr="000D59C7">
          <w:rPr>
            <w:rStyle w:val="Hypertextovprepojenie"/>
            <w:bCs/>
            <w:iCs/>
            <w:szCs w:val="22"/>
            <w:lang w:eastAsia="en-US"/>
          </w:rPr>
          <w:t>zamerynp@vicepremier.gov.sk</w:t>
        </w:r>
      </w:hyperlink>
      <w:r>
        <w:rPr>
          <w:bCs/>
          <w:iCs/>
          <w:szCs w:val="22"/>
          <w:lang w:eastAsia="en-US"/>
        </w:rPr>
        <w:t>:</w:t>
      </w:r>
    </w:p>
    <w:p w14:paraId="43B211B0" w14:textId="1D9E98CC" w:rsidR="00B650E5" w:rsidRDefault="00B650E5" w:rsidP="00997CB0">
      <w:pPr>
        <w:pStyle w:val="Odsekzoznamu"/>
        <w:numPr>
          <w:ilvl w:val="1"/>
          <w:numId w:val="300"/>
        </w:numPr>
        <w:tabs>
          <w:tab w:val="left" w:pos="851"/>
        </w:tabs>
        <w:spacing w:before="120" w:after="120"/>
        <w:ind w:left="851" w:hanging="425"/>
        <w:contextualSpacing w:val="0"/>
        <w:jc w:val="both"/>
        <w:rPr>
          <w:bCs/>
          <w:iCs/>
          <w:szCs w:val="22"/>
          <w:lang w:eastAsia="en-US"/>
        </w:rPr>
      </w:pPr>
      <w:r w:rsidRPr="00106E93">
        <w:rPr>
          <w:bCs/>
          <w:iCs/>
          <w:szCs w:val="22"/>
          <w:lang w:eastAsia="en-US"/>
        </w:rPr>
        <w:t>zámer národného projektu</w:t>
      </w:r>
      <w:r>
        <w:rPr>
          <w:bCs/>
          <w:iCs/>
          <w:szCs w:val="22"/>
          <w:lang w:eastAsia="en-US"/>
        </w:rPr>
        <w:t xml:space="preserve"> 10 pracovných dní </w:t>
      </w:r>
      <w:r w:rsidRPr="00E65767">
        <w:t xml:space="preserve">pred konaním rokovania </w:t>
      </w:r>
      <w:r>
        <w:t>MV</w:t>
      </w:r>
      <w:r>
        <w:rPr>
          <w:bCs/>
          <w:iCs/>
          <w:szCs w:val="22"/>
          <w:lang w:eastAsia="en-US"/>
        </w:rPr>
        <w:t xml:space="preserve"> alebo komisie pri</w:t>
      </w:r>
      <w:r w:rsidR="00EE6807">
        <w:rPr>
          <w:bCs/>
          <w:iCs/>
          <w:szCs w:val="22"/>
          <w:lang w:eastAsia="en-US"/>
        </w:rPr>
        <w:t> </w:t>
      </w:r>
      <w:r>
        <w:rPr>
          <w:bCs/>
          <w:iCs/>
          <w:szCs w:val="22"/>
          <w:lang w:eastAsia="en-US"/>
        </w:rPr>
        <w:t>MV,</w:t>
      </w:r>
    </w:p>
    <w:p w14:paraId="215D673A" w14:textId="25CE158E" w:rsidR="00B650E5" w:rsidRDefault="00B650E5" w:rsidP="00997CB0">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informáciu o schválení zámeru národného projektu spolu so schváleným zámerom</w:t>
      </w:r>
      <w:r>
        <w:rPr>
          <w:rStyle w:val="Odkaznapoznmkupodiarou"/>
          <w:bCs/>
          <w:iCs/>
          <w:szCs w:val="22"/>
          <w:lang w:eastAsia="en-US"/>
        </w:rPr>
        <w:footnoteReference w:id="113"/>
      </w:r>
      <w:r>
        <w:rPr>
          <w:bCs/>
          <w:iCs/>
          <w:szCs w:val="22"/>
          <w:lang w:eastAsia="en-US"/>
        </w:rPr>
        <w:t xml:space="preserve"> do 10 </w:t>
      </w:r>
      <w:r w:rsidRPr="00E65767">
        <w:t xml:space="preserve">pracovných dní od rokovania </w:t>
      </w:r>
      <w:r>
        <w:t xml:space="preserve">MV </w:t>
      </w:r>
      <w:r>
        <w:rPr>
          <w:bCs/>
          <w:iCs/>
          <w:szCs w:val="22"/>
          <w:lang w:eastAsia="en-US"/>
        </w:rPr>
        <w:t>alebo komisie pri MV</w:t>
      </w:r>
      <w:r w:rsidR="005B3355">
        <w:rPr>
          <w:bCs/>
          <w:iCs/>
          <w:szCs w:val="22"/>
          <w:lang w:eastAsia="en-US"/>
        </w:rPr>
        <w:t>; t</w:t>
      </w:r>
      <w:r w:rsidR="005B3355" w:rsidRPr="005B3355">
        <w:rPr>
          <w:bCs/>
          <w:iCs/>
          <w:szCs w:val="22"/>
          <w:lang w:eastAsia="en-US"/>
        </w:rPr>
        <w:t>áto lehota môže byť primerane predĺžená s ohľadom na čas potrebný na zapracovanie pripomienok</w:t>
      </w:r>
      <w:r>
        <w:rPr>
          <w:bCs/>
          <w:iCs/>
          <w:szCs w:val="22"/>
          <w:lang w:eastAsia="en-US"/>
        </w:rPr>
        <w:t>,</w:t>
      </w:r>
    </w:p>
    <w:p w14:paraId="174DF131" w14:textId="0C467807" w:rsidR="00B650E5" w:rsidRDefault="00B650E5" w:rsidP="00997CB0">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 xml:space="preserve">informáciu o neschválení zámeru národného projektu do 10 </w:t>
      </w:r>
      <w:r w:rsidRPr="00E65767">
        <w:t xml:space="preserve">pracovných dní od rokovania </w:t>
      </w:r>
      <w:r>
        <w:t xml:space="preserve">MV </w:t>
      </w:r>
      <w:r>
        <w:rPr>
          <w:bCs/>
          <w:iCs/>
          <w:szCs w:val="22"/>
          <w:lang w:eastAsia="en-US"/>
        </w:rPr>
        <w:t>alebo komisie pri MV.</w:t>
      </w:r>
    </w:p>
    <w:p w14:paraId="242AA577" w14:textId="792DC2A5" w:rsidR="00B650E5" w:rsidRDefault="00B650E5" w:rsidP="00997CB0">
      <w:pPr>
        <w:spacing w:before="120" w:after="120"/>
        <w:ind w:left="426"/>
        <w:jc w:val="both"/>
        <w:rPr>
          <w:bCs/>
          <w:iCs/>
          <w:szCs w:val="22"/>
          <w:lang w:eastAsia="en-US"/>
        </w:rPr>
      </w:pPr>
      <w:r>
        <w:rPr>
          <w:bCs/>
          <w:iCs/>
          <w:szCs w:val="22"/>
          <w:lang w:eastAsia="en-US"/>
        </w:rPr>
        <w:t xml:space="preserve">Tieto informácie zverejňuje CKO na webovom sídle </w:t>
      </w:r>
      <w:hyperlink r:id="rId208" w:history="1">
        <w:r w:rsidRPr="00FA1E63">
          <w:rPr>
            <w:rStyle w:val="Hypertextovprepojenie"/>
            <w:bCs/>
            <w:iCs/>
            <w:szCs w:val="22"/>
            <w:lang w:eastAsia="en-US"/>
          </w:rPr>
          <w:t>www.partnerskadohoda.gov.sk</w:t>
        </w:r>
      </w:hyperlink>
      <w:r>
        <w:rPr>
          <w:bCs/>
          <w:iCs/>
          <w:szCs w:val="22"/>
          <w:lang w:eastAsia="en-US"/>
        </w:rPr>
        <w:t>.</w:t>
      </w:r>
    </w:p>
    <w:p w14:paraId="7E145460" w14:textId="4694DA68" w:rsidR="00B650E5" w:rsidRDefault="00B650E5" w:rsidP="00997CB0">
      <w:pPr>
        <w:numPr>
          <w:ilvl w:val="0"/>
          <w:numId w:val="10"/>
        </w:numPr>
        <w:spacing w:before="120" w:after="120"/>
        <w:ind w:left="426" w:hanging="426"/>
        <w:jc w:val="both"/>
        <w:rPr>
          <w:bCs/>
          <w:iCs/>
          <w:szCs w:val="22"/>
          <w:lang w:eastAsia="en-US"/>
        </w:rPr>
      </w:pPr>
      <w:r>
        <w:rPr>
          <w:bCs/>
          <w:iCs/>
          <w:szCs w:val="22"/>
          <w:lang w:eastAsia="en-US"/>
        </w:rPr>
        <w:t xml:space="preserve">RO zverejňuje (resp. aktualizuje) zoznam národných projektov, </w:t>
      </w:r>
      <w:r w:rsidRPr="00A2306A">
        <w:rPr>
          <w:bCs/>
          <w:iCs/>
          <w:szCs w:val="22"/>
          <w:lang w:eastAsia="en-US"/>
        </w:rPr>
        <w:t>schválené</w:t>
      </w:r>
      <w:r>
        <w:rPr>
          <w:bCs/>
          <w:iCs/>
          <w:szCs w:val="22"/>
          <w:lang w:eastAsia="en-US"/>
        </w:rPr>
        <w:t xml:space="preserve">, vrátené a zamietnuté </w:t>
      </w:r>
      <w:r w:rsidRPr="00A2306A">
        <w:rPr>
          <w:bCs/>
          <w:iCs/>
          <w:szCs w:val="22"/>
          <w:lang w:eastAsia="en-US"/>
        </w:rPr>
        <w:t>zámery národných projektov</w:t>
      </w:r>
      <w:r>
        <w:rPr>
          <w:bCs/>
          <w:iCs/>
          <w:szCs w:val="22"/>
          <w:lang w:eastAsia="en-US"/>
        </w:rPr>
        <w:t xml:space="preserve"> na svojom webovom sídle najneskôr do 10 pracovných dní po</w:t>
      </w:r>
      <w:r w:rsidR="00EE6807">
        <w:rPr>
          <w:bCs/>
          <w:iCs/>
          <w:szCs w:val="22"/>
          <w:lang w:eastAsia="en-US"/>
        </w:rPr>
        <w:t> </w:t>
      </w:r>
      <w:r>
        <w:rPr>
          <w:bCs/>
          <w:iCs/>
          <w:szCs w:val="22"/>
          <w:lang w:eastAsia="en-US"/>
        </w:rPr>
        <w:t xml:space="preserve">schválení zoznamu (alebo zámerov národných projektov) MV alebo komisiou </w:t>
      </w:r>
      <w:r w:rsidR="00C228C8">
        <w:rPr>
          <w:bCs/>
          <w:iCs/>
          <w:szCs w:val="22"/>
          <w:lang w:eastAsia="en-US"/>
        </w:rPr>
        <w:t xml:space="preserve">pri MV </w:t>
      </w:r>
      <w:r w:rsidRPr="00FF468E">
        <w:rPr>
          <w:bCs/>
          <w:iCs/>
          <w:szCs w:val="22"/>
          <w:lang w:eastAsia="en-US"/>
        </w:rPr>
        <w:t xml:space="preserve">podľa </w:t>
      </w:r>
      <w:hyperlink w:anchor="kapitola_341_ods_3" w:tooltip="ods. 3 tejto kapitolz" w:history="1">
        <w:r w:rsidR="00EE6807" w:rsidRPr="00EE6807">
          <w:rPr>
            <w:rStyle w:val="Hypertextovprepojenie"/>
            <w:bCs/>
            <w:iCs/>
            <w:szCs w:val="22"/>
            <w:lang w:eastAsia="en-US"/>
          </w:rPr>
          <w:t>ods</w:t>
        </w:r>
        <w:r w:rsidR="00EE6807">
          <w:rPr>
            <w:rStyle w:val="Hypertextovprepojenie"/>
            <w:bCs/>
            <w:iCs/>
            <w:szCs w:val="22"/>
            <w:lang w:eastAsia="en-US"/>
          </w:rPr>
          <w:t>. 3</w:t>
        </w:r>
      </w:hyperlink>
      <w:r w:rsidR="00EE6807">
        <w:rPr>
          <w:bCs/>
          <w:iCs/>
          <w:szCs w:val="22"/>
          <w:lang w:eastAsia="en-US"/>
        </w:rPr>
        <w:t xml:space="preserve"> tejto kapitoly</w:t>
      </w:r>
      <w:r>
        <w:rPr>
          <w:bCs/>
          <w:iCs/>
          <w:szCs w:val="22"/>
          <w:lang w:eastAsia="en-US"/>
        </w:rPr>
        <w:t>.</w:t>
      </w:r>
    </w:p>
    <w:p w14:paraId="6CF5D0AC" w14:textId="77777777" w:rsidR="00B650E5" w:rsidRDefault="00B650E5" w:rsidP="00997CB0">
      <w:pPr>
        <w:pStyle w:val="SRK4"/>
      </w:pPr>
      <w:bookmarkStart w:id="451" w:name="_Toc453234057"/>
      <w:bookmarkStart w:id="452" w:name="_Toc495649414"/>
      <w:r>
        <w:t>3.4.1.1 Príprava, schvaľovanie a implementácia národných projektov</w:t>
      </w:r>
      <w:bookmarkEnd w:id="451"/>
      <w:bookmarkEnd w:id="452"/>
    </w:p>
    <w:p w14:paraId="2D53429B" w14:textId="2A6A06A9" w:rsidR="00B650E5" w:rsidRDefault="00B650E5">
      <w:pPr>
        <w:numPr>
          <w:ilvl w:val="0"/>
          <w:numId w:val="260"/>
        </w:numPr>
        <w:spacing w:before="120" w:after="120"/>
        <w:ind w:left="426" w:hanging="426"/>
        <w:jc w:val="both"/>
        <w:rPr>
          <w:bCs/>
          <w:iCs/>
          <w:szCs w:val="22"/>
          <w:lang w:eastAsia="en-US"/>
        </w:rPr>
      </w:pPr>
      <w:r>
        <w:rPr>
          <w:bCs/>
          <w:iCs/>
          <w:szCs w:val="22"/>
          <w:lang w:eastAsia="en-US"/>
        </w:rPr>
        <w:t>RO na predloženie národného projektu vyzve budúceho žiadateľa písomne alebo zverejnením na</w:t>
      </w:r>
      <w:r w:rsidR="00EE6807">
        <w:rPr>
          <w:bCs/>
          <w:iCs/>
          <w:szCs w:val="22"/>
          <w:lang w:eastAsia="en-US"/>
        </w:rPr>
        <w:t> </w:t>
      </w:r>
      <w:r>
        <w:rPr>
          <w:bCs/>
          <w:iCs/>
          <w:szCs w:val="22"/>
          <w:lang w:eastAsia="en-US"/>
        </w:rPr>
        <w:t xml:space="preserve">svojom webovom sídle. RO je </w:t>
      </w:r>
      <w:r w:rsidR="001349BB">
        <w:rPr>
          <w:bCs/>
          <w:iCs/>
          <w:szCs w:val="22"/>
          <w:lang w:eastAsia="en-US"/>
        </w:rPr>
        <w:t>zároveň</w:t>
      </w:r>
      <w:r>
        <w:rPr>
          <w:bCs/>
          <w:iCs/>
          <w:szCs w:val="22"/>
          <w:lang w:eastAsia="en-US"/>
        </w:rPr>
        <w:t xml:space="preserve"> povinný zverejniť vyzvanie v systéme ITMS 2014+. Ak RO vyzve budúceho žiadateľa písomne, bezodkladne zverejní vyzvanie na svojom webovom sídle. RO je povinný pred vyzvaním pre národné projekty vykonať kontrolu správnosti a kompletnosti vyzvania,</w:t>
      </w:r>
      <w:r>
        <w:rPr>
          <w:szCs w:val="22"/>
          <w:lang w:eastAsia="en-US"/>
        </w:rPr>
        <w:t xml:space="preserve"> pričom vzor</w:t>
      </w:r>
      <w:r>
        <w:rPr>
          <w:rStyle w:val="Odkaznapoznmkupodiarou"/>
          <w:szCs w:val="22"/>
          <w:lang w:eastAsia="en-US"/>
        </w:rPr>
        <w:footnoteReference w:id="114"/>
      </w:r>
      <w:r>
        <w:rPr>
          <w:szCs w:val="22"/>
          <w:lang w:eastAsia="en-US"/>
        </w:rPr>
        <w:t xml:space="preserve"> kontrolného zoznamu k návrhu vyzvania vydáva CKO</w:t>
      </w:r>
      <w:r>
        <w:rPr>
          <w:bCs/>
          <w:iCs/>
          <w:szCs w:val="22"/>
          <w:lang w:eastAsia="en-US"/>
        </w:rPr>
        <w:t xml:space="preserve">. Kontrola je zameraná predovšetkým na kontrolu súladu vyzvania s OP, podmienkami uvedenými v relevantnej schéme štátnej pomoci/schéme pomoci de minimis a ostatnými relevantnými </w:t>
      </w:r>
      <w:r>
        <w:rPr>
          <w:bCs/>
          <w:iCs/>
          <w:szCs w:val="22"/>
          <w:lang w:eastAsia="en-US"/>
        </w:rPr>
        <w:lastRenderedPageBreak/>
        <w:t xml:space="preserve">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12 kapitoly 3.1.1</w:t>
        </w:r>
      </w:hyperlink>
      <w:r>
        <w:rPr>
          <w:szCs w:val="22"/>
          <w:lang w:eastAsia="en-US"/>
        </w:rPr>
        <w:t>.</w:t>
      </w:r>
    </w:p>
    <w:p w14:paraId="6E2F1257" w14:textId="408E395E" w:rsidR="00B650E5" w:rsidRDefault="00B650E5">
      <w:pPr>
        <w:numPr>
          <w:ilvl w:val="0"/>
          <w:numId w:val="260"/>
        </w:numPr>
        <w:spacing w:before="120" w:after="120"/>
        <w:ind w:left="426" w:hanging="426"/>
        <w:jc w:val="both"/>
        <w:rPr>
          <w:bCs/>
          <w:iCs/>
          <w:szCs w:val="22"/>
          <w:lang w:eastAsia="en-US"/>
        </w:rPr>
      </w:pPr>
      <w:r>
        <w:rPr>
          <w:bCs/>
          <w:iCs/>
          <w:szCs w:val="22"/>
          <w:lang w:eastAsia="en-US"/>
        </w:rPr>
        <w:t>Na náležitosti vyzvania pre národné projekty sa primerane uplatnia ustanovenia o výzve. RO vyzvanie vypracuje v súlade so vzorom vydaným CKO, pričom RO je povinný do vyzvania zaradiť všetky podmienky poskytnutia príspevku, ktoré sú povinne súčasťou vyzvania v súlade so</w:t>
      </w:r>
      <w:r w:rsidR="00DF4E07">
        <w:rPr>
          <w:bCs/>
          <w:iCs/>
          <w:szCs w:val="22"/>
          <w:lang w:eastAsia="en-US"/>
        </w:rPr>
        <w:t> </w:t>
      </w:r>
      <w:r>
        <w:rPr>
          <w:bCs/>
          <w:iCs/>
          <w:szCs w:val="22"/>
          <w:lang w:eastAsia="en-US"/>
        </w:rPr>
        <w:t>zákonom o príspevku z EŠIF.</w:t>
      </w:r>
    </w:p>
    <w:p w14:paraId="1EDF923D" w14:textId="2A1FC084"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RO sa </w:t>
      </w:r>
      <w:r w:rsidRPr="009078F6">
        <w:rPr>
          <w:bCs/>
          <w:iCs/>
          <w:szCs w:val="22"/>
          <w:lang w:eastAsia="en-US"/>
        </w:rPr>
        <w:t>môže</w:t>
      </w:r>
      <w:r>
        <w:rPr>
          <w:bCs/>
          <w:iCs/>
          <w:szCs w:val="22"/>
          <w:lang w:eastAsia="en-US"/>
        </w:rPr>
        <w:t xml:space="preserve"> proaktívne, partnersky a systematicky podieľa</w:t>
      </w:r>
      <w:r w:rsidR="00DF4E07">
        <w:rPr>
          <w:bCs/>
          <w:iCs/>
          <w:szCs w:val="22"/>
          <w:lang w:eastAsia="en-US"/>
        </w:rPr>
        <w:t>ť</w:t>
      </w:r>
      <w:r>
        <w:rPr>
          <w:bCs/>
          <w:iCs/>
          <w:szCs w:val="22"/>
          <w:lang w:eastAsia="en-US"/>
        </w:rPr>
        <w:t xml:space="preserve"> na príprave národných projektov s vopred určenými prijímateľmi</w:t>
      </w:r>
      <w:r w:rsidRPr="009078F6">
        <w:rPr>
          <w:bCs/>
          <w:iCs/>
          <w:szCs w:val="22"/>
          <w:lang w:eastAsia="en-US"/>
        </w:rPr>
        <w:t>, napr.</w:t>
      </w:r>
      <w:r>
        <w:rPr>
          <w:bCs/>
          <w:iCs/>
          <w:szCs w:val="22"/>
          <w:lang w:eastAsia="en-US"/>
        </w:rPr>
        <w:t xml:space="preserve"> prostredníctvom zapojenia relevantných odborných partnerov, formou odborných diskusií alebo pravidelných výborov zriadených za účelom dohľadu a pomoci pri príprave národného projektu. RO je pred písomným vyzvaním oprávnený  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w:t>
      </w:r>
      <w:r w:rsidR="008D1729">
        <w:rPr>
          <w:bCs/>
          <w:iCs/>
          <w:szCs w:val="22"/>
          <w:lang w:eastAsia="en-US"/>
        </w:rPr>
        <w:t> </w:t>
      </w:r>
      <w:r>
        <w:rPr>
          <w:bCs/>
          <w:iCs/>
          <w:szCs w:val="22"/>
          <w:lang w:eastAsia="en-US"/>
        </w:rPr>
        <w:t>odstránenia identifikovaných nedostatkov pri príprave národného projektu. RO je povinný pri</w:t>
      </w:r>
      <w:r w:rsidR="008D1729">
        <w:rPr>
          <w:bCs/>
          <w:iCs/>
          <w:szCs w:val="22"/>
          <w:lang w:eastAsia="en-US"/>
        </w:rPr>
        <w:t> </w:t>
      </w:r>
      <w:r>
        <w:rPr>
          <w:bCs/>
          <w:iCs/>
          <w:szCs w:val="22"/>
          <w:lang w:eastAsia="en-US"/>
        </w:rPr>
        <w:t>príprave národných projektov spolupracovať s gestormi HP za účelom zabezpečenia súladu národných projektov s HP.</w:t>
      </w:r>
    </w:p>
    <w:p w14:paraId="01F9E0BE"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Pr>
          <w:t>kapitoly 3.2</w:t>
        </w:r>
      </w:hyperlink>
      <w:r>
        <w:rPr>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w:t>
      </w:r>
      <w:r w:rsidR="008D1729">
        <w:rPr>
          <w:bCs/>
          <w:iCs/>
          <w:szCs w:val="22"/>
          <w:lang w:eastAsia="en-US"/>
        </w:rPr>
        <w:t>,</w:t>
      </w:r>
      <w:r>
        <w:rPr>
          <w:bCs/>
          <w:iCs/>
          <w:szCs w:val="22"/>
          <w:lang w:eastAsia="en-US"/>
        </w:rPr>
        <w:t xml:space="preserve"> ako v prípade ŽoNFP predložených na základe výzvy. RO nie je povinný prizývať na výkon odborného hodnotenia zástupcu partnerov (</w:t>
      </w:r>
      <w:hyperlink w:anchor="kapitola_3212_ods_3" w:history="1">
        <w:r w:rsidRPr="008D1729">
          <w:rPr>
            <w:rStyle w:val="Hypertextovprepojenie"/>
            <w:bCs/>
            <w:iCs/>
            <w:szCs w:val="22"/>
            <w:lang w:eastAsia="en-US"/>
          </w:rPr>
          <w:t>kapitola 3.2.1.2 ods.3</w:t>
        </w:r>
      </w:hyperlink>
      <w:r>
        <w:rPr>
          <w:bCs/>
          <w:iCs/>
          <w:szCs w:val="22"/>
          <w:lang w:eastAsia="en-US"/>
        </w:rPr>
        <w:t>). Pri výbere projektov sa neuplatnia ustanovenia o poradí projektov</w:t>
      </w:r>
      <w:r w:rsidR="008D1729">
        <w:rPr>
          <w:bCs/>
          <w:iCs/>
          <w:szCs w:val="22"/>
          <w:lang w:eastAsia="en-US"/>
        </w:rPr>
        <w:t>,</w:t>
      </w:r>
      <w:r>
        <w:rPr>
          <w:bCs/>
          <w:iCs/>
          <w:szCs w:val="22"/>
          <w:lang w:eastAsia="en-US"/>
        </w:rPr>
        <w:t xml:space="preserve"> vytvorenom počtom dosiahnutých bodov a ustanovenia o výbere ŽoNFP, ktoré sú z dôvodu nesúťažného charakteru národných projektov nerelevantné. Pri národných projektoch sa neuplatňujú ustanovenia o postupe pri dvojkolovom výbere projektov (</w:t>
      </w:r>
      <w:hyperlink w:anchor="kapitola_322" w:tooltip="kapitola 3.2.2" w:history="1">
        <w:r>
          <w:rPr>
            <w:rStyle w:val="Hypertextovprepojenie"/>
          </w:rPr>
          <w:t xml:space="preserve">kapitola </w:t>
        </w:r>
        <w:r>
          <w:rPr>
            <w:rStyle w:val="Hypertextovprepojenie"/>
            <w:bCs/>
            <w:iCs/>
            <w:szCs w:val="22"/>
            <w:lang w:eastAsia="en-US"/>
          </w:rPr>
          <w:t>3.</w:t>
        </w:r>
        <w:r>
          <w:rPr>
            <w:rStyle w:val="Hypertextovprepojenie"/>
          </w:rPr>
          <w:t>2.2</w:t>
        </w:r>
      </w:hyperlink>
      <w:r>
        <w:rPr>
          <w:bCs/>
          <w:iCs/>
          <w:szCs w:val="22"/>
          <w:lang w:eastAsia="en-US"/>
        </w:rPr>
        <w:t>), a o zásobníku projektov (</w:t>
      </w:r>
      <w:hyperlink w:anchor="kapitola_323" w:tooltip="kapitola 3.2.3" w:history="1">
        <w:r>
          <w:rPr>
            <w:rStyle w:val="Hypertextovprepojenie"/>
          </w:rPr>
          <w:t>kapitola 3.2.3</w:t>
        </w:r>
      </w:hyperlink>
      <w:r>
        <w:rPr>
          <w:bCs/>
          <w:iCs/>
          <w:szCs w:val="22"/>
          <w:lang w:eastAsia="en-US"/>
        </w:rPr>
        <w:t>). RO zároveň nie je povinný vypracovávať záverečnú správu z vyzvania (</w:t>
      </w:r>
      <w:hyperlink w:anchor="kapitola_3214" w:tooltip="kapitola 3.2.1.4" w:history="1">
        <w:r>
          <w:rPr>
            <w:rStyle w:val="Hypertextovprepojenie"/>
          </w:rPr>
          <w:t xml:space="preserve">kapitola </w:t>
        </w:r>
        <w:r>
          <w:rPr>
            <w:rStyle w:val="Hypertextovprepojenie"/>
            <w:bCs/>
            <w:iCs/>
            <w:szCs w:val="22"/>
            <w:lang w:eastAsia="en-US"/>
          </w:rPr>
          <w:t>3.</w:t>
        </w:r>
        <w:r>
          <w:rPr>
            <w:rStyle w:val="Hypertextovprepojenie"/>
          </w:rPr>
          <w:t>2.1.4</w:t>
        </w:r>
      </w:hyperlink>
      <w:r>
        <w:rPr>
          <w:bCs/>
          <w:iCs/>
          <w:szCs w:val="22"/>
          <w:lang w:eastAsia="en-US"/>
        </w:rPr>
        <w:t xml:space="preserve">). </w:t>
      </w:r>
    </w:p>
    <w:p w14:paraId="6A2F7D70" w14:textId="0FE48E14" w:rsidR="00B650E5" w:rsidRDefault="00B650E5">
      <w:pPr>
        <w:numPr>
          <w:ilvl w:val="0"/>
          <w:numId w:val="260"/>
        </w:numPr>
        <w:spacing w:before="120" w:after="120"/>
        <w:ind w:left="426" w:hanging="426"/>
        <w:jc w:val="both"/>
        <w:rPr>
          <w:szCs w:val="22"/>
          <w:lang w:eastAsia="en-US"/>
        </w:rPr>
      </w:pPr>
      <w:r>
        <w:rPr>
          <w:szCs w:val="22"/>
          <w:lang w:eastAsia="en-US"/>
        </w:rPr>
        <w:t xml:space="preserve">Na implementáciu národných projektov sa primerane vzťahujú ustanovenia </w:t>
      </w:r>
      <w:hyperlink w:anchor="kapitola_33" w:tooltip="kapitoly 3.3" w:history="1">
        <w:r>
          <w:rPr>
            <w:rStyle w:val="Hypertextovprepojenie"/>
          </w:rPr>
          <w:t xml:space="preserve">kapitoly </w:t>
        </w:r>
        <w:r>
          <w:rPr>
            <w:rStyle w:val="Hypertextovprepojenie"/>
            <w:bCs/>
            <w:iCs/>
            <w:szCs w:val="22"/>
            <w:lang w:eastAsia="en-US"/>
          </w:rPr>
          <w:t>3.</w:t>
        </w:r>
        <w:r>
          <w:rPr>
            <w:rStyle w:val="Hypertextovprepojenie"/>
          </w:rPr>
          <w:t>3</w:t>
        </w:r>
      </w:hyperlink>
      <w:r>
        <w:rPr>
          <w:bCs/>
          <w:iCs/>
          <w:szCs w:val="22"/>
          <w:lang w:eastAsia="en-US"/>
        </w:rPr>
        <w:t xml:space="preserve"> </w:t>
      </w:r>
      <w:r w:rsidR="008D1729">
        <w:rPr>
          <w:bCs/>
          <w:iCs/>
          <w:szCs w:val="22"/>
          <w:lang w:eastAsia="en-US"/>
        </w:rPr>
        <w:t>S</w:t>
      </w:r>
      <w:r>
        <w:rPr>
          <w:bCs/>
          <w:iCs/>
          <w:szCs w:val="22"/>
          <w:lang w:eastAsia="en-US"/>
        </w:rPr>
        <w:t xml:space="preserve">ystému riadenia </w:t>
      </w:r>
      <w:r w:rsidR="008D1729">
        <w:rPr>
          <w:bCs/>
          <w:iCs/>
          <w:szCs w:val="22"/>
          <w:lang w:eastAsia="en-US"/>
        </w:rPr>
        <w:t xml:space="preserve">EŠIF </w:t>
      </w:r>
      <w:r>
        <w:rPr>
          <w:bCs/>
          <w:iCs/>
          <w:szCs w:val="22"/>
          <w:lang w:eastAsia="en-US"/>
        </w:rPr>
        <w:t>s</w:t>
      </w:r>
      <w:r w:rsidR="008D1729">
        <w:rPr>
          <w:bCs/>
          <w:iCs/>
          <w:szCs w:val="22"/>
          <w:lang w:eastAsia="en-US"/>
        </w:rPr>
        <w:t> </w:t>
      </w:r>
      <w:r>
        <w:rPr>
          <w:bCs/>
          <w:iCs/>
          <w:szCs w:val="22"/>
          <w:lang w:eastAsia="en-US"/>
        </w:rPr>
        <w:t>výnimkami</w:t>
      </w:r>
      <w:r w:rsidR="008D1729">
        <w:rPr>
          <w:bCs/>
          <w:iCs/>
          <w:szCs w:val="22"/>
          <w:lang w:eastAsia="en-US"/>
        </w:rPr>
        <w:t>,</w:t>
      </w:r>
      <w:r>
        <w:rPr>
          <w:bCs/>
          <w:iCs/>
          <w:szCs w:val="22"/>
          <w:lang w:eastAsia="en-US"/>
        </w:rPr>
        <w:t xml:space="preserve"> uvedenými priamo v týchto </w:t>
      </w:r>
      <w:r>
        <w:rPr>
          <w:szCs w:val="22"/>
          <w:lang w:eastAsia="en-US"/>
        </w:rPr>
        <w:t>ustanoveniach. Ak sa v jednotlivých častiach Systému riadenia EŠIF vzťahujú jednotlivé ustanovenia na výzvy, týkajú sa tieto ustanovenia aj vyzvania pre národné projekty, ak z konkrétneho ustanovenia nevyplýva opak.</w:t>
      </w:r>
    </w:p>
    <w:p w14:paraId="3AEC162B" w14:textId="77777777" w:rsidR="00B650E5" w:rsidRDefault="00B650E5">
      <w:pPr>
        <w:pStyle w:val="SRK3"/>
      </w:pPr>
      <w:bookmarkStart w:id="453" w:name="_Toc378947525"/>
      <w:bookmarkStart w:id="454" w:name="_Toc453234058"/>
      <w:bookmarkStart w:id="455" w:name="_Toc495649415"/>
      <w:r>
        <w:t>3.4.2 Veľké projekty</w:t>
      </w:r>
      <w:bookmarkEnd w:id="453"/>
      <w:bookmarkEnd w:id="454"/>
      <w:bookmarkEnd w:id="455"/>
    </w:p>
    <w:p w14:paraId="0E1B505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456" w:name="_Toc390099885"/>
      <w:r>
        <w:rPr>
          <w:bCs/>
          <w:iCs/>
          <w:sz w:val="22"/>
          <w:szCs w:val="22"/>
          <w:u w:val="single"/>
          <w:lang w:eastAsia="en-US"/>
        </w:rPr>
        <w:t>Relevantná úprava v legislatíve EÚ:</w:t>
      </w:r>
    </w:p>
    <w:p w14:paraId="48E679A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101 až 103 všeobecného nariadenia</w:t>
      </w:r>
    </w:p>
    <w:p w14:paraId="4CD56676" w14:textId="77777777" w:rsidR="00B650E5" w:rsidRPr="008A67A6"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Vykonávacie rozhodnutie Komisie č. 2014/190/EÚ</w:t>
      </w:r>
    </w:p>
    <w:p w14:paraId="31C8AD8F" w14:textId="77777777" w:rsidR="00B650E5"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Delegované nariadenie Komisie (EÚ) č. 240/2014 o európskom kódexe správania pre partnerstvo v rámci EŠIF</w:t>
      </w:r>
    </w:p>
    <w:p w14:paraId="7AB727F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5F85AA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14:paraId="25F02321"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14:paraId="088082C2"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lastRenderedPageBreak/>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14:paraId="4524F0D1" w14:textId="6F641DBE"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aktualizuje indikatívny zoznam veľkých projektov na základe koncepcií a stratégií na</w:t>
      </w:r>
      <w:r w:rsidR="008D1729">
        <w:rPr>
          <w:color w:val="000000"/>
          <w:lang w:eastAsia="en-US"/>
        </w:rPr>
        <w:t> </w:t>
      </w:r>
      <w:r>
        <w:rPr>
          <w:color w:val="000000"/>
          <w:lang w:eastAsia="en-US"/>
        </w:rPr>
        <w:t xml:space="preserve">národnej alebo regionálnej úrovni, pričom zohľadňuje stanovené priority v daných oblastiach v súlade so stratégiou definovanou v rámci príslušného OP, ako aj spôsobilosť žiadateľa v danej oblasti a finančnom riadení. </w:t>
      </w:r>
    </w:p>
    <w:p w14:paraId="35375F70" w14:textId="547A4D89" w:rsidR="00B650E5" w:rsidRDefault="00B650E5">
      <w:pPr>
        <w:numPr>
          <w:ilvl w:val="0"/>
          <w:numId w:val="16"/>
        </w:numPr>
        <w:spacing w:before="120" w:after="120"/>
        <w:ind w:left="426" w:hanging="426"/>
        <w:jc w:val="both"/>
        <w:rPr>
          <w:bCs/>
          <w:iCs/>
          <w:szCs w:val="22"/>
          <w:lang w:eastAsia="en-US"/>
        </w:rPr>
      </w:pPr>
      <w:r>
        <w:rPr>
          <w:color w:val="000000"/>
          <w:lang w:eastAsia="en-US"/>
        </w:rPr>
        <w:t>RO vo vzťahu k predkladaniu ŽoNFP na veľké projekty nevyhlasuje výzvu. Oprávnených žiadateľov, ktorých projekty sú zaradené v indikatívnom zozname veľkých projektov oboznámi o</w:t>
      </w:r>
      <w:r w:rsidR="008D1729">
        <w:rPr>
          <w:color w:val="000000"/>
          <w:lang w:eastAsia="en-US"/>
        </w:rPr>
        <w:t> </w:t>
      </w:r>
      <w:r>
        <w:rPr>
          <w:color w:val="000000"/>
          <w:lang w:eastAsia="en-US"/>
        </w:rPr>
        <w:t>možnosti predkladania ŽoNFP na veľké projekty písomne alebo zverejnením na svojom webovom sídle, prostredníctvom vyzvania, čím zabezpečí, aby boli projekty vypracovávané v</w:t>
      </w:r>
      <w:r w:rsidR="008D1729">
        <w:rPr>
          <w:color w:val="000000"/>
          <w:lang w:eastAsia="en-US"/>
        </w:rPr>
        <w:t> </w:t>
      </w:r>
      <w:r>
        <w:rPr>
          <w:color w:val="000000"/>
          <w:lang w:eastAsia="en-US"/>
        </w:rPr>
        <w:t>súlade s príslušnými cieľmi OP, oprávnenými aktivitami a ostatnými kritériami oprávnenosti definovanými v OP (resp. v riadiacej dokumentácii).</w:t>
      </w:r>
      <w:r>
        <w:t xml:space="preserve"> Ak RO vyzve budúceho žiadateľa písomne, bezodkladne zverejní vyzvanie na svojom webovom sídle.</w:t>
      </w:r>
      <w:r>
        <w:rPr>
          <w:bCs/>
          <w:iCs/>
          <w:szCs w:val="22"/>
          <w:lang w:eastAsia="en-US"/>
        </w:rPr>
        <w:t xml:space="preserve"> RO je povinný pred vyhlásením vyzvania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12 kapitoly 3.1.1</w:t>
        </w:r>
      </w:hyperlink>
      <w:r>
        <w:rPr>
          <w:szCs w:val="22"/>
          <w:lang w:eastAsia="en-US"/>
        </w:rPr>
        <w:t>.</w:t>
      </w:r>
    </w:p>
    <w:p w14:paraId="2855198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457" w:name="kapitola_343_ods_5"/>
      <w:r>
        <w:rPr>
          <w:szCs w:val="22"/>
          <w:lang w:eastAsia="en-US"/>
        </w:rPr>
        <w:t>Dĺžka vyzvania, ktoré bolo vyhlásené ako uzavreté je minimálne 70 pracovných dní. V prípade otvoreného vyzvania RO zverejní na svojom webovom sídle informáciu o tom, že plánuje ukončiť vyzvanie z dôvodu blížiaceho sa vyčerpania alokácie. RO zverejňuje informáciu o tejto skutočnosti v dostatočnom časovom predstihu.</w:t>
      </w:r>
    </w:p>
    <w:p w14:paraId="63C1926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458" w:name="kapitola_343_ods_7"/>
      <w:bookmarkEnd w:id="457"/>
      <w:r>
        <w:rPr>
          <w:color w:val="000000"/>
          <w:lang w:eastAsia="en-US"/>
        </w:rPr>
        <w:t>Vyzvanie na predloženie veľkého projektu obsahuje formálne náležitosti, ktorými sú:</w:t>
      </w:r>
    </w:p>
    <w:bookmarkEnd w:id="458"/>
    <w:p w14:paraId="141A805E"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názov RO, ktorý vyzvanie vyhlasuje, </w:t>
      </w:r>
    </w:p>
    <w:p w14:paraId="57BB4ECB"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vyhlásenia vyzvania, </w:t>
      </w:r>
    </w:p>
    <w:p w14:paraId="47CAA7E0"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uzavretia vyzvania alebo skutočnosť, na ktorej základe sa vyzvanie uzavrie, </w:t>
      </w:r>
    </w:p>
    <w:p w14:paraId="449705F4"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kontaktné údaje RO a spôsob komunikácie s RO, </w:t>
      </w:r>
    </w:p>
    <w:p w14:paraId="70CC49B7"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časový harmonogram konania o veľkom projekte, vrátane lehoty na vydanie rozhodnutia, </w:t>
      </w:r>
    </w:p>
    <w:p w14:paraId="6834D6C8"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indikatívna výška finančných prostriedkov určených na vyčerpanie v rámci vyzvania, </w:t>
      </w:r>
    </w:p>
    <w:p w14:paraId="4E20A6AC"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miesto podania ŽoNFP, </w:t>
      </w:r>
    </w:p>
    <w:p w14:paraId="55A70387" w14:textId="77777777" w:rsidR="00B650E5" w:rsidRDefault="00B650E5">
      <w:pPr>
        <w:numPr>
          <w:ilvl w:val="0"/>
          <w:numId w:val="17"/>
        </w:numPr>
        <w:autoSpaceDE w:val="0"/>
        <w:autoSpaceDN w:val="0"/>
        <w:adjustRightInd w:val="0"/>
        <w:spacing w:before="120" w:after="120"/>
        <w:ind w:left="851" w:hanging="426"/>
        <w:jc w:val="both"/>
        <w:rPr>
          <w:lang w:eastAsia="en-US"/>
        </w:rPr>
      </w:pPr>
      <w:r>
        <w:rPr>
          <w:color w:val="000000"/>
          <w:lang w:eastAsia="en-US"/>
        </w:rPr>
        <w:t xml:space="preserve">ďalšie formálne náležitosti. </w:t>
      </w:r>
    </w:p>
    <w:p w14:paraId="033F333B"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obsahuje podmienky poskytnutia príspevku, ktorými sú: </w:t>
      </w:r>
    </w:p>
    <w:p w14:paraId="2A9D021A"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žiadateľa, </w:t>
      </w:r>
    </w:p>
    <w:p w14:paraId="6466649B"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aktivít realizácie projektu, </w:t>
      </w:r>
    </w:p>
    <w:p w14:paraId="472E71E3"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výdavkov realizácie projektu, </w:t>
      </w:r>
    </w:p>
    <w:p w14:paraId="5BD3FAAA"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miesta realizácie projektu, </w:t>
      </w:r>
    </w:p>
    <w:p w14:paraId="6E44267E"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kritériá pre výber projektov, </w:t>
      </w:r>
    </w:p>
    <w:p w14:paraId="4785AEB4"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spôsob financovania, </w:t>
      </w:r>
    </w:p>
    <w:p w14:paraId="6E8BFDD7"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lastRenderedPageBreak/>
        <w:t xml:space="preserve">splnenie podmienok ustanovených v osobitnom predpise podľa § 17 ods. 3, písm. g) zákona o príspevku z EŠIF. </w:t>
      </w:r>
    </w:p>
    <w:p w14:paraId="0B9601C4"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môže obsahovať podmienky poskytnutia príspevku, ktorými sú: </w:t>
      </w:r>
    </w:p>
    <w:p w14:paraId="14CE7BF8"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partnera, ak sa partner spolupodieľa na príprave projektu alebo realizácii projektu, </w:t>
      </w:r>
    </w:p>
    <w:p w14:paraId="5076A2AC"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cieľovej skupiny, ak sa projekt realizuje v prospech cieľovej skupiny, </w:t>
      </w:r>
    </w:p>
    <w:p w14:paraId="724B888F"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užívateľa, ak mu prijímateľ poskytuje finančné prostriedky, </w:t>
      </w:r>
    </w:p>
    <w:p w14:paraId="56C2BB40"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ďalšie podmienky poskytnutia príspevku. </w:t>
      </w:r>
    </w:p>
    <w:p w14:paraId="07967646"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Vyzvanie obsahuje prílohy, najmä:</w:t>
      </w:r>
    </w:p>
    <w:p w14:paraId="3243FDBF"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ŽoNFP,</w:t>
      </w:r>
    </w:p>
    <w:p w14:paraId="756A6991"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na predloženie informácií o veľkom projekte v zmysle vykonávacieho nariadenia              č. 207/2015 EK,</w:t>
      </w:r>
    </w:p>
    <w:p w14:paraId="0E60D012"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príručka pre žiadateľa,</w:t>
      </w:r>
    </w:p>
    <w:p w14:paraId="331B07B3"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bCs/>
          <w:iCs/>
        </w:rPr>
        <w:t>zoznam merateľných ukazovateľov,</w:t>
      </w:r>
      <w:r>
        <w:rPr>
          <w:color w:val="000000"/>
          <w:lang w:eastAsia="en-US"/>
        </w:rPr>
        <w:t xml:space="preserve"> </w:t>
      </w:r>
    </w:p>
    <w:p w14:paraId="2F032A9B" w14:textId="0091D5EC" w:rsidR="00B650E5" w:rsidRPr="00997CB0" w:rsidRDefault="00B650E5">
      <w:pPr>
        <w:numPr>
          <w:ilvl w:val="0"/>
          <w:numId w:val="113"/>
        </w:numPr>
        <w:autoSpaceDE w:val="0"/>
        <w:autoSpaceDN w:val="0"/>
        <w:adjustRightInd w:val="0"/>
        <w:spacing w:before="120" w:after="120"/>
        <w:ind w:left="851" w:hanging="426"/>
        <w:jc w:val="both"/>
        <w:rPr>
          <w:bCs/>
          <w:iCs/>
        </w:rPr>
      </w:pPr>
      <w:r w:rsidRPr="00997CB0">
        <w:rPr>
          <w:bCs/>
          <w:iCs/>
        </w:rPr>
        <w:t>p</w:t>
      </w:r>
      <w:r w:rsidR="0098559F" w:rsidRPr="00997CB0">
        <w:rPr>
          <w:bCs/>
          <w:iCs/>
        </w:rPr>
        <w:t>redbežná informácia pre žiadateľov o nenávratný finančný príspevok / o príspevok v zmysle čl. 105a nariadenia Európskeho Parlamentu a Rady (EÚ, EURATOM) č. 1929/2015 z 28. októbra 2015, ktorým sa mení nariadenie (EÚ, EURATOM) č. 966/2012 o rozpočtových pravidlách, ktoré sa vzťahujú na všeobecný rozpočet Únie</w:t>
      </w:r>
      <w:r w:rsidRPr="00997CB0">
        <w:rPr>
          <w:bCs/>
          <w:iCs/>
        </w:rPr>
        <w:t xml:space="preserve">.  </w:t>
      </w:r>
    </w:p>
    <w:p w14:paraId="27864836"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14:paraId="658D1987" w14:textId="75C85C2E"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môže vyzvanie zmeniť, ak nie je v </w:t>
      </w:r>
      <w:hyperlink w:anchor="kapitola_343_ods_13" w:tooltip="ods. 13" w:history="1">
        <w:r>
          <w:rPr>
            <w:rStyle w:val="Hypertextovprepojenie"/>
          </w:rPr>
          <w:t>ods. 13</w:t>
        </w:r>
      </w:hyperlink>
      <w:r>
        <w:rPr>
          <w:color w:val="000000"/>
          <w:lang w:eastAsia="en-US"/>
        </w:rPr>
        <w:t xml:space="preserve"> ustanovené inak, ak sa zmenou podstatným spôsobom nezmenia podmienky poskytnutia príspevku. RO môže zmeniť vyzvanie do uzavretia 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w:t>
      </w:r>
      <w:r w:rsidR="00D07296">
        <w:rPr>
          <w:color w:val="000000"/>
          <w:lang w:eastAsia="en-US"/>
        </w:rPr>
        <w:t> </w:t>
      </w:r>
      <w:r>
        <w:rPr>
          <w:color w:val="000000"/>
          <w:lang w:eastAsia="en-US"/>
        </w:rPr>
        <w:t xml:space="preserve">doplnenie alebo zmenu ŽoNFP. </w:t>
      </w:r>
    </w:p>
    <w:p w14:paraId="71194F0B" w14:textId="22853950"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Ak po zverejnení vyzvania dôjde k zmene formálnych náležitostí uvedených v </w:t>
      </w:r>
      <w:hyperlink w:anchor="kapitola_343_ods_7" w:tooltip="ods. 7" w:history="1">
        <w:r>
          <w:rPr>
            <w:rStyle w:val="Hypertextovprepojenie"/>
          </w:rPr>
          <w:t xml:space="preserve">ods. </w:t>
        </w:r>
        <w:r w:rsidR="00D07296">
          <w:rPr>
            <w:rStyle w:val="Hypertextovprepojenie"/>
          </w:rPr>
          <w:t>6</w:t>
        </w:r>
      </w:hyperlink>
      <w:r>
        <w:rPr>
          <w:color w:val="000000"/>
          <w:lang w:eastAsia="en-US"/>
        </w:rPr>
        <w:t xml:space="preserve">, RO bezodkladne zverejní informáciu o tejto zmene a jej zdôvodnenie na svojom webovom sídle. </w:t>
      </w:r>
    </w:p>
    <w:p w14:paraId="72FA54A0" w14:textId="6BF486F4"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459" w:name="kapitola_343_ods_13"/>
      <w:bookmarkEnd w:id="459"/>
      <w:r>
        <w:rPr>
          <w:color w:val="000000"/>
          <w:lang w:eastAsia="en-US"/>
        </w:rPr>
        <w:t>RO vyzvanie zruší, ak dôjde k podstatnej zmene podmienok poskytnutia príspevku alebo ak z</w:t>
      </w:r>
      <w:r w:rsidR="00D07296">
        <w:rPr>
          <w:color w:val="000000"/>
          <w:lang w:eastAsia="en-US"/>
        </w:rPr>
        <w:t> </w:t>
      </w:r>
      <w:r>
        <w:rPr>
          <w:color w:val="000000"/>
          <w:lang w:eastAsia="en-US"/>
        </w:rPr>
        <w:t>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14:paraId="088D733E"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pri zmene/zrušení vyzvania primerane aplikuje postup upravený v </w:t>
      </w:r>
      <w:hyperlink w:anchor="kapitola_3111" w:tooltip="kapitole 3.1.1.1" w:history="1">
        <w:r>
          <w:rPr>
            <w:rStyle w:val="Hypertextovprepojenie"/>
          </w:rPr>
          <w:t>kapitole 3.1.1.1</w:t>
        </w:r>
      </w:hyperlink>
      <w:r>
        <w:rPr>
          <w:color w:val="000000"/>
          <w:lang w:eastAsia="en-US"/>
        </w:rPr>
        <w:t>.</w:t>
      </w:r>
      <w:r>
        <w:rPr>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14:paraId="358AC16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o každej aktualizácii indikatívneho zoznamu veľkých projektov informuje prostredníctvom príslušnej Výročnej správy o vykonávaní OP MV a EK. </w:t>
      </w:r>
    </w:p>
    <w:p w14:paraId="272A68E2" w14:textId="1A51A377" w:rsidR="00B650E5" w:rsidRDefault="00B650E5" w:rsidP="008A67A6">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lastRenderedPageBreak/>
        <w:t>RO zabezpečí, aby žiadateľ vypracoval pre veľký projekt, ktorý je definovaný v platnom indikatívnom zozname veľkých projektov, ŽoNFP (vzor vydaný CKO), ktorej prílohou je Žiadosť o potvrdenie pomoci vypracovaná v súlade s prílohou 2 vykonávacieho nariadenia komisie</w:t>
      </w:r>
      <w:r w:rsidRPr="008A67A6">
        <w:rPr>
          <w:color w:val="000000"/>
          <w:lang w:eastAsia="en-US"/>
        </w:rPr>
        <w:t xml:space="preserve"> (EÚ) 2015/207</w:t>
      </w:r>
      <w:r>
        <w:rPr>
          <w:color w:val="000000"/>
          <w:lang w:eastAsia="en-US"/>
        </w:rPr>
        <w:t>. Definovanie zoznamu a obsahu ďalších príloh ŽoNFP je v kompetencii RO. RO definuje zoznam povinných príloh ŽoNFP za účelom zisťovania splnenia podmienok poskytnutia príspevku definovaných vo  vyzvaní a overenia súladu predložených dokumentov na</w:t>
      </w:r>
      <w:r w:rsidR="00D07296">
        <w:rPr>
          <w:color w:val="000000"/>
          <w:lang w:eastAsia="en-US"/>
        </w:rPr>
        <w:t> </w:t>
      </w:r>
      <w:r>
        <w:rPr>
          <w:color w:val="000000"/>
          <w:lang w:eastAsia="en-US"/>
        </w:rPr>
        <w:t xml:space="preserve">základe vyzvania s osobitnými predpismi, pričom zohľadňuje charakter veľkého projektu a oprávneného žiadateľa. </w:t>
      </w:r>
    </w:p>
    <w:p w14:paraId="21065F20" w14:textId="0A2CF0F0"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poskytne žiadateľovi v súvislosti s vypracovaním ŽoNFP a jej príloh potrebnú metodickú a odbornú podporu v súlade s </w:t>
      </w:r>
      <w:r>
        <w:t>§ 27 ods. 2 zákona o príspevku z EŠIF</w:t>
      </w:r>
      <w:r>
        <w:rPr>
          <w:color w:val="000000"/>
          <w:vertAlign w:val="superscript"/>
          <w:lang w:eastAsia="en-US"/>
        </w:rPr>
        <w:t xml:space="preserve"> </w:t>
      </w:r>
      <w:r>
        <w:rPr>
          <w:color w:val="000000"/>
          <w:lang w:eastAsia="en-US"/>
        </w:rPr>
        <w:t>pri dodržaní pravidla vylúčenia zaujatosti. RO môže spolupracovať so žiadateľom najmä pri zabezpečovaní vypracovania podkladov a projektovej dokumentácie pre realizáciu investičného projektu v</w:t>
      </w:r>
      <w:r w:rsidR="00D07296">
        <w:rPr>
          <w:color w:val="000000"/>
          <w:lang w:eastAsia="en-US"/>
        </w:rPr>
        <w:t> </w:t>
      </w:r>
      <w:r>
        <w:rPr>
          <w:color w:val="000000"/>
          <w:lang w:eastAsia="en-US"/>
        </w:rPr>
        <w:t xml:space="preserve">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14:paraId="0C7C0ADF" w14:textId="7009D79B"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využíva pomoc iniciatívy JASPERS na prípravu veľkých projektov, ktoré boli RO zaradené do Akčného plánu JASPERS pre SR pre príslušný sektor na daný rok. Akčný plán JASPERS pre</w:t>
      </w:r>
      <w:r w:rsidR="00D07296">
        <w:rPr>
          <w:color w:val="000000"/>
          <w:lang w:eastAsia="en-US"/>
        </w:rPr>
        <w:t> </w:t>
      </w:r>
      <w:r>
        <w:rPr>
          <w:color w:val="000000"/>
          <w:lang w:eastAsia="en-US"/>
        </w:rPr>
        <w:t>SR je vypracovaný za účelom zabezpečenia správneho plánovania a koordinácie využívania pomoci pri príprave veľkých projektov z prostriedkov programu JASPERS. RO využíva túto pomoc v zmysle inštrukcií daných subjektom zodpovedným za koordináciu pomoci z</w:t>
      </w:r>
      <w:r w:rsidR="00D07296">
        <w:rPr>
          <w:color w:val="000000"/>
          <w:lang w:eastAsia="en-US"/>
        </w:rPr>
        <w:t> </w:t>
      </w:r>
      <w:r>
        <w:rPr>
          <w:color w:val="000000"/>
          <w:lang w:eastAsia="en-US"/>
        </w:rPr>
        <w:t xml:space="preserve">prostriedkov programu JASPERS. </w:t>
      </w:r>
    </w:p>
    <w:p w14:paraId="0DB9C1F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14:paraId="2A53CA7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 zmysle čl. 101 všeobecného nariadenia je možné po dohode RO s EK využiť na hodnotenie kvality veľkého projektu aj iných nezávislých externých expertov ako JASPERS.</w:t>
      </w:r>
    </w:p>
    <w:p w14:paraId="6B8C3DD4"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Požiadavky na nezávislých expertov a posúdenie kvality veľkých projektov nezávislými expertmi sú ustanovené v kapitole III delegovaného nariadenia Komisie (EÚ) 480/2014, ktorým sa dopĺňa všeobecné nariadenie. </w:t>
      </w:r>
    </w:p>
    <w:p w14:paraId="7E2CEA18" w14:textId="44A15B81"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Postup podľa čl. 102 odsek 2 všeobecného nariadenia RO neuplatňuje, </w:t>
      </w:r>
      <w:r w:rsidR="00C93F30">
        <w:rPr>
          <w:color w:val="000000"/>
          <w:lang w:eastAsia="en-US"/>
        </w:rPr>
        <w:t xml:space="preserve">t. j. </w:t>
      </w:r>
      <w:r>
        <w:rPr>
          <w:color w:val="000000"/>
          <w:lang w:eastAsia="en-US"/>
        </w:rPr>
        <w:t>od RO sa vyžaduje uskutočniť hodnotenie kvality veľkého projektu nezávislými expertmi podľa čl. 101 všeobecného nariadenia.</w:t>
      </w:r>
    </w:p>
    <w:p w14:paraId="1C1D9322" w14:textId="7D4049FD"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Pr>
          <w:t xml:space="preserve">kapitoly </w:t>
        </w:r>
        <w:r>
          <w:rPr>
            <w:rStyle w:val="Hypertextovprepojenie"/>
            <w:lang w:eastAsia="en-US"/>
          </w:rPr>
          <w:t>3.</w:t>
        </w:r>
        <w:r>
          <w:rPr>
            <w:rStyle w:val="Hypertextovprepojenie"/>
          </w:rPr>
          <w:t>2.1.1</w:t>
        </w:r>
      </w:hyperlink>
      <w:r>
        <w:rPr>
          <w:color w:val="000000"/>
          <w:lang w:eastAsia="en-US"/>
        </w:rPr>
        <w:t>) v</w:t>
      </w:r>
      <w:r w:rsidR="00D07296">
        <w:rPr>
          <w:color w:val="000000"/>
          <w:lang w:eastAsia="en-US"/>
        </w:rPr>
        <w:t> </w:t>
      </w:r>
      <w:r>
        <w:rPr>
          <w:color w:val="000000"/>
          <w:lang w:eastAsia="en-US"/>
        </w:rPr>
        <w:t>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Pr>
          <w:t xml:space="preserve">kapitola </w:t>
        </w:r>
        <w:r>
          <w:rPr>
            <w:rStyle w:val="Hypertextovprepojenie"/>
            <w:lang w:eastAsia="en-US"/>
          </w:rPr>
          <w:t>3.</w:t>
        </w:r>
        <w:r>
          <w:rPr>
            <w:rStyle w:val="Hypertextovprepojenie"/>
          </w:rPr>
          <w:t>2.1.2</w:t>
        </w:r>
      </w:hyperlink>
      <w:r>
        <w:rPr>
          <w:color w:val="000000"/>
          <w:lang w:eastAsia="en-US"/>
        </w:rPr>
        <w:t xml:space="preserve">) v zmysle podmienok definovaných vo vyzvaní, pri dodržaní podmienok vyplývajúcich z § 17, § 19 a § 27 zákona o  príspevku z EŠIF. </w:t>
      </w:r>
    </w:p>
    <w:p w14:paraId="35A22EEF" w14:textId="0B98C1B6"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predloží EK informácie o veľkom projekte v zmysle čl. 102 všeobecného nariadenia prostredníctvom oznámenia vybraného veľkého projektu podľa čl. 1 vykonávacieho nariadenia Komisie (EÚ) č. 1011/2014. EK prijme rozhodnutie o schválení alebo zamietnutí veľkého projektu v súlade s čl. 102 všeobecného nariadenia. RO predloží žiadosť o potvrdenie pomoci na</w:t>
      </w:r>
      <w:r w:rsidR="00D07296">
        <w:rPr>
          <w:color w:val="000000"/>
          <w:lang w:eastAsia="en-US"/>
        </w:rPr>
        <w:t> </w:t>
      </w:r>
      <w:r>
        <w:rPr>
          <w:color w:val="000000"/>
          <w:lang w:eastAsia="en-US"/>
        </w:rPr>
        <w:t xml:space="preserve">posúdenie CO elektronicky na adresu </w:t>
      </w:r>
      <w:hyperlink r:id="rId209" w:history="1">
        <w:r>
          <w:rPr>
            <w:rStyle w:val="Hypertextovprepojenie"/>
            <w:lang w:eastAsia="en-GB"/>
          </w:rPr>
          <w:t>co@mfsr.sk</w:t>
        </w:r>
      </w:hyperlink>
      <w:r>
        <w:rPr>
          <w:color w:val="000000"/>
          <w:lang w:eastAsia="en-US"/>
        </w:rPr>
        <w:t xml:space="preserve"> ešte pred jej predložením EK </w:t>
      </w:r>
      <w:r w:rsidR="0012163A">
        <w:rPr>
          <w:color w:val="000000"/>
          <w:lang w:eastAsia="en-US"/>
        </w:rPr>
        <w:t>s</w:t>
      </w:r>
      <w:r>
        <w:rPr>
          <w:color w:val="000000"/>
          <w:lang w:eastAsia="en-US"/>
        </w:rPr>
        <w:t xml:space="preserve"> </w:t>
      </w:r>
      <w:r w:rsidR="0012163A">
        <w:rPr>
          <w:color w:val="000000"/>
          <w:lang w:eastAsia="en-US"/>
        </w:rPr>
        <w:t>cieľom</w:t>
      </w:r>
      <w:r>
        <w:rPr>
          <w:color w:val="000000"/>
          <w:lang w:eastAsia="en-US"/>
        </w:rPr>
        <w:t xml:space="preserve"> </w:t>
      </w:r>
      <w:r>
        <w:rPr>
          <w:color w:val="000000"/>
          <w:lang w:eastAsia="en-US"/>
        </w:rPr>
        <w:lastRenderedPageBreak/>
        <w:t>over</w:t>
      </w:r>
      <w:r w:rsidR="0012163A">
        <w:rPr>
          <w:color w:val="000000"/>
          <w:lang w:eastAsia="en-US"/>
        </w:rPr>
        <w:t>iť</w:t>
      </w:r>
      <w:r>
        <w:rPr>
          <w:color w:val="000000"/>
          <w:lang w:eastAsia="en-US"/>
        </w:rPr>
        <w:t xml:space="preserve"> správnos</w:t>
      </w:r>
      <w:r w:rsidR="0012163A">
        <w:rPr>
          <w:color w:val="000000"/>
          <w:lang w:eastAsia="en-US"/>
        </w:rPr>
        <w:t>ť</w:t>
      </w:r>
      <w:r>
        <w:rPr>
          <w:color w:val="000000"/>
          <w:lang w:eastAsia="en-US"/>
        </w:rPr>
        <w:t xml:space="preserve"> stanovenia pomerov financovania za jednotlivé zdroje v súlade so stratégiou financovania. Lehota na posúdenie tejto žiadosti je 10 pracovných dní.</w:t>
      </w:r>
    </w:p>
    <w:p w14:paraId="29EF476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o rozhodnutí EK informuje príslušného žiadateľa a členov príslušného MV písomnou alebo elektronickou formou. Súčasťou tejto informácie je rozhodnutie EK. Rozhodnutie EK zasiela RO na CKO a CO do 10 pracovných dní po jeho doručení</w:t>
      </w:r>
      <w:r w:rsidR="007324D5">
        <w:rPr>
          <w:color w:val="000000"/>
          <w:lang w:eastAsia="en-US"/>
        </w:rPr>
        <w:t>,</w:t>
      </w:r>
      <w:r>
        <w:rPr>
          <w:color w:val="000000"/>
          <w:lang w:eastAsia="en-US"/>
        </w:rPr>
        <w:t xml:space="preserve"> a to na adresy CKO (</w:t>
      </w:r>
      <w:hyperlink r:id="rId210" w:history="1">
        <w:r w:rsidR="009D6DF9" w:rsidRPr="005D0155">
          <w:rPr>
            <w:rStyle w:val="Hypertextovprepojenie"/>
            <w:lang w:eastAsia="en-US"/>
          </w:rPr>
          <w:t>monitorovanie.cko@vicepremier.gov.sk</w:t>
        </w:r>
      </w:hyperlink>
      <w:r>
        <w:rPr>
          <w:color w:val="000000"/>
          <w:lang w:eastAsia="en-US"/>
        </w:rPr>
        <w:t>) a CO (</w:t>
      </w:r>
      <w:hyperlink r:id="rId211" w:history="1">
        <w:r>
          <w:rPr>
            <w:rStyle w:val="Hypertextovprepojenie"/>
            <w:lang w:eastAsia="en-GB"/>
          </w:rPr>
          <w:t>co@mfsr.sk</w:t>
        </w:r>
      </w:hyperlink>
      <w:r>
        <w:t>)</w:t>
      </w:r>
      <w:r>
        <w:rPr>
          <w:color w:val="000000"/>
          <w:lang w:eastAsia="en-US"/>
        </w:rPr>
        <w:t>.</w:t>
      </w:r>
    </w:p>
    <w:p w14:paraId="5B937703"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 V prípade využitia tejto možnosti RO zmluvne zabezpečí povinnosť vrátenia už poskytnutých finančných prostriedkov, resp. úpravu výšky poskytnutej pomoci v prípade nepotvrdenia pomoci zo strany EK alebo potvrdenia pomoci v nižšej výške, ako bolo uvedené v Žiadosti o potvrdenie pomoci.</w:t>
      </w:r>
    </w:p>
    <w:p w14:paraId="43498F32" w14:textId="7E4C16E4"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pri výbere projektu realizovaného vo fázach (podľa článku 103 všeobecného nariadenia) postupuje primerane podľa vyššie uvedených odsekov tejto kapitoly, okrem požiadavky na</w:t>
      </w:r>
      <w:r w:rsidR="00D07296">
        <w:rPr>
          <w:color w:val="000000"/>
          <w:lang w:eastAsia="en-US"/>
        </w:rPr>
        <w:t> </w:t>
      </w:r>
      <w:r>
        <w:rPr>
          <w:color w:val="000000"/>
          <w:lang w:eastAsia="en-US"/>
        </w:rPr>
        <w:t>hodnotenie kvality veľkého projektu nezávislými expertmi v zmysle článku 101 všeobecného nariadenia.</w:t>
      </w:r>
    </w:p>
    <w:p w14:paraId="78075A96" w14:textId="48171660"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V zmysle čl. 103 všeobecného nariadenia, pri rozhodnutí o veľkom projekte, ktorý sa realizuje vo</w:t>
      </w:r>
      <w:r w:rsidR="00D07296">
        <w:rPr>
          <w:color w:val="000000"/>
          <w:lang w:eastAsia="en-US"/>
        </w:rPr>
        <w:t> </w:t>
      </w:r>
      <w:r>
        <w:rPr>
          <w:color w:val="000000"/>
          <w:lang w:eastAsia="en-US"/>
        </w:rPr>
        <w:t>fázach, je potrebné overiť podmienky definované v uvedenom článku odsek 1, písm. a) až e). Druhá alebo nasledujúca fáza veľkého projektu musí byť v súlade s pravidlami pre programové obdobie 2014</w:t>
      </w:r>
      <w:r w:rsidR="0023261D">
        <w:rPr>
          <w:color w:val="000000"/>
          <w:lang w:eastAsia="en-US"/>
        </w:rPr>
        <w:t xml:space="preserve"> </w:t>
      </w:r>
      <w:r>
        <w:rPr>
          <w:color w:val="000000"/>
          <w:lang w:eastAsia="en-US"/>
        </w:rPr>
        <w:t>-</w:t>
      </w:r>
      <w:r w:rsidR="0023261D">
        <w:rPr>
          <w:color w:val="000000"/>
          <w:lang w:eastAsia="en-US"/>
        </w:rPr>
        <w:t xml:space="preserve"> </w:t>
      </w:r>
      <w:r>
        <w:rPr>
          <w:color w:val="000000"/>
          <w:lang w:eastAsia="en-US"/>
        </w:rPr>
        <w:t>2020. Komisia zamietne veľký projekt realizovaný vo fázach, ak došlo k podstatným zmenám v informáciách uvedených v odseku 1 písm. d) článku 103 všeobecného nariadenia alebo keď daný veľký projekt nie je v súlade s príslušnou PO príslušného OP.</w:t>
      </w:r>
    </w:p>
    <w:p w14:paraId="4D2B1C23" w14:textId="77777777" w:rsidR="00B650E5" w:rsidRDefault="00B650E5">
      <w:pPr>
        <w:pStyle w:val="SRK3"/>
      </w:pPr>
      <w:bookmarkStart w:id="460" w:name="_Toc453234059"/>
      <w:bookmarkStart w:id="461" w:name="_Toc495649416"/>
      <w:bookmarkEnd w:id="456"/>
      <w:r>
        <w:t>3.4.3 Projekty technickej pomoci</w:t>
      </w:r>
      <w:bookmarkEnd w:id="460"/>
      <w:bookmarkEnd w:id="461"/>
    </w:p>
    <w:p w14:paraId="09E337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6CC4648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58 a 59  všeobecného nariadenia</w:t>
      </w:r>
    </w:p>
    <w:p w14:paraId="4551C20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14:paraId="6C8E1DF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231FDA1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14:paraId="17FE1333" w14:textId="37ED4F67" w:rsidR="00B650E5" w:rsidRDefault="00B650E5">
      <w:pPr>
        <w:numPr>
          <w:ilvl w:val="0"/>
          <w:numId w:val="334"/>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w:t>
      </w:r>
      <w:r w:rsidR="00D07296">
        <w:t> </w:t>
      </w:r>
      <w:r>
        <w:t>podporu opatrení zameraných na zníženie administratívneho zaťaženia prijímateľov a ostatné činnosti uvedené v podmienkach všeobecného nariadenia.</w:t>
      </w:r>
    </w:p>
    <w:p w14:paraId="09334E84"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na predloženie projektov technickej pomoci vyzve budúceho žiadateľa písomne alebo zverejnením na svojom webovom sídle. Ak RO vyzve budúceho žiadateľa písomne, bezodkladne zverejní vyzvanie na svojom webovom sídle. RO je povinný pred vyzvaním pre projekty technickej pomoci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12 kapitoly 3.1.1</w:t>
        </w:r>
      </w:hyperlink>
      <w:r>
        <w:rPr>
          <w:szCs w:val="22"/>
          <w:lang w:eastAsia="en-US"/>
        </w:rPr>
        <w:t>.</w:t>
      </w:r>
    </w:p>
    <w:p w14:paraId="1057E045"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lastRenderedPageBreak/>
        <w:t xml:space="preserve">RO sa môže proaktívne,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14:paraId="16436107" w14:textId="77777777" w:rsidR="00B650E5" w:rsidRDefault="00B650E5">
      <w:pPr>
        <w:numPr>
          <w:ilvl w:val="0"/>
          <w:numId w:val="334"/>
        </w:numPr>
        <w:autoSpaceDE w:val="0"/>
        <w:autoSpaceDN w:val="0"/>
        <w:adjustRightInd w:val="0"/>
        <w:spacing w:before="120" w:after="120"/>
        <w:ind w:left="426" w:hanging="426"/>
        <w:jc w:val="both"/>
      </w:pPr>
      <w:r>
        <w:rPr>
          <w:bCs/>
          <w:iCs/>
          <w:szCs w:val="22"/>
          <w:lang w:eastAsia="en-US"/>
        </w:rPr>
        <w:t xml:space="preserve">Na schvaľovanie a implementáciu projektov technickej pomoci sa vzťahujú ustanovenia </w:t>
      </w:r>
      <w:hyperlink w:anchor="kapitola_32" w:tooltip="kapitoly 3.2" w:history="1">
        <w:r>
          <w:rPr>
            <w:rStyle w:val="Hypertextovprepojenie"/>
          </w:rPr>
          <w:t>kapitoly 3.2</w:t>
        </w:r>
      </w:hyperlink>
      <w:r>
        <w:rPr>
          <w:bCs/>
          <w:iCs/>
          <w:szCs w:val="22"/>
          <w:lang w:eastAsia="en-US"/>
        </w:rPr>
        <w:t xml:space="preserve"> a </w:t>
      </w:r>
      <w:hyperlink w:anchor="kapitola_33" w:tooltip="kapitoly 3.3" w:history="1">
        <w:r>
          <w:rPr>
            <w:rStyle w:val="Hypertextovprepojenie"/>
            <w:bCs/>
            <w:iCs/>
            <w:szCs w:val="22"/>
            <w:lang w:eastAsia="en-US"/>
          </w:rPr>
          <w:t>kapitoly 3.3</w:t>
        </w:r>
      </w:hyperlink>
      <w:r>
        <w:rPr>
          <w:bCs/>
          <w:iCs/>
          <w:szCs w:val="22"/>
          <w:lang w:eastAsia="en-US"/>
        </w:rPr>
        <w:t xml:space="preserve"> primerane. Podrobnosti týkajúce sa projektov technickej pomoci upraví CKO v metodickom pokyne</w:t>
      </w:r>
      <w:r>
        <w:rPr>
          <w:rStyle w:val="Odkaznapoznmkupodiarou"/>
          <w:bCs/>
          <w:iCs/>
          <w:szCs w:val="22"/>
          <w:lang w:eastAsia="en-US"/>
        </w:rPr>
        <w:footnoteReference w:id="115"/>
      </w:r>
      <w:r>
        <w:rPr>
          <w:bCs/>
          <w:iCs/>
          <w:szCs w:val="22"/>
          <w:lang w:eastAsia="en-US"/>
        </w:rPr>
        <w:t>.</w:t>
      </w:r>
    </w:p>
    <w:p w14:paraId="31EE1898" w14:textId="77777777" w:rsidR="00B650E5" w:rsidRDefault="00B650E5">
      <w:pPr>
        <w:pStyle w:val="SRK3"/>
      </w:pPr>
      <w:bookmarkStart w:id="462" w:name="_Toc453234060"/>
      <w:bookmarkStart w:id="463" w:name="_Toc495649417"/>
      <w:r>
        <w:t>3.4.4 Miestny rozvoj vedený komunitou</w:t>
      </w:r>
      <w:bookmarkEnd w:id="462"/>
      <w:bookmarkEnd w:id="463"/>
      <w:r>
        <w:t xml:space="preserve"> </w:t>
      </w:r>
    </w:p>
    <w:p w14:paraId="16324AE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22701E9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w:t>
      </w:r>
      <w:r w:rsidR="00D07296">
        <w:rPr>
          <w:bCs/>
          <w:i/>
          <w:iCs/>
          <w:sz w:val="22"/>
          <w:szCs w:val="22"/>
          <w:lang w:eastAsia="en-US"/>
        </w:rPr>
        <w:t xml:space="preserve"> </w:t>
      </w:r>
      <w:r>
        <w:rPr>
          <w:bCs/>
          <w:i/>
          <w:iCs/>
          <w:sz w:val="22"/>
          <w:szCs w:val="22"/>
          <w:lang w:eastAsia="en-US"/>
        </w:rPr>
        <w:t>-</w:t>
      </w:r>
      <w:r w:rsidR="00D07296">
        <w:rPr>
          <w:bCs/>
          <w:i/>
          <w:iCs/>
          <w:sz w:val="22"/>
          <w:szCs w:val="22"/>
          <w:lang w:eastAsia="en-US"/>
        </w:rPr>
        <w:t xml:space="preserve"> </w:t>
      </w:r>
      <w:r>
        <w:rPr>
          <w:bCs/>
          <w:i/>
          <w:iCs/>
          <w:sz w:val="22"/>
          <w:szCs w:val="22"/>
          <w:lang w:eastAsia="en-US"/>
        </w:rPr>
        <w:t>35  všeobecného nariadenia</w:t>
      </w:r>
    </w:p>
    <w:p w14:paraId="42515F5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14:paraId="46C27A9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14:paraId="2DE50C3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14:paraId="471206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14:paraId="19930D8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14:paraId="397A722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297AC7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14:paraId="6633C32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t>§ 30</w:t>
      </w:r>
      <w:r>
        <w:rPr>
          <w:i/>
          <w:sz w:val="28"/>
          <w:szCs w:val="28"/>
        </w:rPr>
        <w:t xml:space="preserve"> </w:t>
      </w:r>
      <w:r>
        <w:rPr>
          <w:bCs/>
          <w:i/>
          <w:iCs/>
          <w:sz w:val="22"/>
          <w:szCs w:val="22"/>
          <w:lang w:eastAsia="en-US"/>
        </w:rPr>
        <w:t>zákona o  príspevku z EŠIF</w:t>
      </w:r>
    </w:p>
    <w:p w14:paraId="6AD258D3" w14:textId="344C67FD"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Miestny rozvoj vedený komunitou je prostriedkom na zapojenie lokálnych aktérov do tvorby a implementácie stratégií miestneho rozvoja, ktoré napomôžu trvalo udržateľnému rozvoju na danom území.</w:t>
      </w:r>
    </w:p>
    <w:p w14:paraId="22A6968F"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CLLD predstavuje taký nástroj implementácie, ktorý umožňuje napĺňanie miestnych potrieb a cieľov a tým prispieva k cieľom stratégie Európa 2020. Základom je stratégia miestneho rozvoja. Stratégia miestneho rozvoja musí byť v súlade a prispievať k napĺňaniu cieľov OP, z ktorého je financovaná.</w:t>
      </w:r>
    </w:p>
    <w:p w14:paraId="6BEAA1D2"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 xml:space="preserve">RO je oprávnený časť alokácie OP spolufinancovaného z fondu EFRR, ESF, EFPRV a ENRF použiť na implementáciu projektov prostredníctvom nástroja CLLD. </w:t>
      </w:r>
    </w:p>
    <w:p w14:paraId="234EE622" w14:textId="52475EF4" w:rsidR="00B650E5" w:rsidRPr="00DE5D89" w:rsidRDefault="00B650E5">
      <w:pPr>
        <w:numPr>
          <w:ilvl w:val="0"/>
          <w:numId w:val="277"/>
        </w:numPr>
        <w:autoSpaceDE w:val="0"/>
        <w:autoSpaceDN w:val="0"/>
        <w:adjustRightInd w:val="0"/>
        <w:spacing w:before="120" w:after="120"/>
        <w:ind w:left="425" w:hanging="425"/>
        <w:jc w:val="both"/>
      </w:pPr>
      <w:r>
        <w:rPr>
          <w:color w:val="000000"/>
          <w:lang w:eastAsia="en-US"/>
        </w:rPr>
        <w:t>Realizátorom a hlavným subjektom, prostredníctvom ktorého sú napĺňané ciele na miestnej úrovni definované v stratégii miestneho rozvoja je partnerstvo na miestnej úrovni. Partnerstvo na</w:t>
      </w:r>
      <w:r w:rsidR="00D07296">
        <w:rPr>
          <w:color w:val="000000"/>
          <w:lang w:eastAsia="en-US"/>
        </w:rPr>
        <w:t> </w:t>
      </w:r>
      <w:r>
        <w:rPr>
          <w:color w:val="000000"/>
          <w:lang w:eastAsia="en-US"/>
        </w:rPr>
        <w:t>miestnej úrovni je vyjadrené existenciou verejno-súkromného partnerstva (</w:t>
      </w:r>
      <w:r>
        <w:t>zoskupenie zahŕňa verejný a súkromný sektor vrátane občianskeho a neziskového)</w:t>
      </w:r>
      <w:r>
        <w:rPr>
          <w:color w:val="000000"/>
          <w:vertAlign w:val="superscript"/>
          <w:lang w:eastAsia="en-US"/>
        </w:rPr>
        <w:t xml:space="preserve"> </w:t>
      </w:r>
      <w:r>
        <w:rPr>
          <w:color w:val="000000"/>
          <w:lang w:eastAsia="en-US"/>
        </w:rPr>
        <w:t xml:space="preserve">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14:paraId="24DF6F1C" w14:textId="77777777" w:rsidR="00B650E5" w:rsidRDefault="00B650E5" w:rsidP="00DE5D89">
      <w:pPr>
        <w:numPr>
          <w:ilvl w:val="0"/>
          <w:numId w:val="277"/>
        </w:numPr>
        <w:autoSpaceDE w:val="0"/>
        <w:autoSpaceDN w:val="0"/>
        <w:adjustRightInd w:val="0"/>
        <w:spacing w:before="120" w:after="120"/>
        <w:ind w:left="426" w:hanging="426"/>
        <w:jc w:val="both"/>
      </w:pPr>
      <w:r>
        <w:t xml:space="preserve">Špecifiká implementácie CLLD, ktoré objektívne neumožňujú aplikáciu postupov štandardne upravených v Systéme riadenia </w:t>
      </w:r>
      <w:r w:rsidR="004E3967">
        <w:t xml:space="preserve">EŠIF </w:t>
      </w:r>
      <w:r>
        <w:t>budú upravené v Systéme riadenia CLLD (LEADER a komunitný rozvoj) pre programové obdobie 2014</w:t>
      </w:r>
      <w:r w:rsidR="0023261D">
        <w:t xml:space="preserve"> </w:t>
      </w:r>
      <w:r>
        <w:t>-</w:t>
      </w:r>
      <w:r w:rsidR="0023261D">
        <w:t xml:space="preserve"> </w:t>
      </w:r>
      <w:r>
        <w:t xml:space="preserve">2020 a riadiacej dokumentácii jednotlivých 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w:t>
      </w:r>
      <w:r>
        <w:lastRenderedPageBreak/>
        <w:t>stanovenom CKO na vypracovanie správ potrebných na monitorovanie PD a iné úkony, ktoré je potrebné vykonávať na úrovni PD.</w:t>
      </w:r>
    </w:p>
    <w:p w14:paraId="2AB646F6" w14:textId="77777777" w:rsidR="00B650E5" w:rsidRDefault="00B650E5" w:rsidP="0045286B">
      <w:pPr>
        <w:pStyle w:val="SRK4"/>
      </w:pPr>
      <w:bookmarkStart w:id="464" w:name="_Toc453234061"/>
      <w:bookmarkStart w:id="465" w:name="_Toc495649418"/>
      <w:bookmarkStart w:id="466" w:name="_Toc378947526"/>
      <w:r>
        <w:t>3.4.4.1 Výber a realizácia projektov v rámci CLLD</w:t>
      </w:r>
      <w:bookmarkEnd w:id="464"/>
      <w:bookmarkEnd w:id="465"/>
      <w:r>
        <w:t xml:space="preserve"> </w:t>
      </w:r>
    </w:p>
    <w:p w14:paraId="2DCD1147" w14:textId="3F010790" w:rsidR="00B650E5" w:rsidRDefault="00B650E5">
      <w:pPr>
        <w:numPr>
          <w:ilvl w:val="0"/>
          <w:numId w:val="278"/>
        </w:numPr>
        <w:autoSpaceDE w:val="0"/>
        <w:autoSpaceDN w:val="0"/>
        <w:adjustRightInd w:val="0"/>
        <w:spacing w:before="120" w:after="120"/>
        <w:ind w:left="426" w:hanging="426"/>
        <w:jc w:val="both"/>
      </w:pPr>
      <w:r>
        <w:t>Miestna akčná skupina, ktorej bol udelený štatút podľa § 13 zákona o príspevku z EŠIF je oprávnená na základe a v rozsahu dohodnutom v zmluve s </w:t>
      </w:r>
      <w:r w:rsidR="00226058">
        <w:t xml:space="preserve">poskytovateľom </w:t>
      </w:r>
      <w:r>
        <w:t xml:space="preserve">vykonávať niektoré činnosti </w:t>
      </w:r>
      <w:r w:rsidR="00226058">
        <w:t xml:space="preserve">poskytovateľa </w:t>
      </w:r>
      <w:r>
        <w:t xml:space="preserve">v oblasti výberu a implementácie projektov, ktorých minimálny rozsah upravuje všeobecné nariadenie. </w:t>
      </w:r>
    </w:p>
    <w:p w14:paraId="2F1C9654" w14:textId="041073CB" w:rsidR="00B650E5" w:rsidRDefault="00B650E5">
      <w:pPr>
        <w:numPr>
          <w:ilvl w:val="0"/>
          <w:numId w:val="278"/>
        </w:numPr>
        <w:autoSpaceDE w:val="0"/>
        <w:autoSpaceDN w:val="0"/>
        <w:adjustRightInd w:val="0"/>
        <w:spacing w:before="120" w:after="120"/>
        <w:ind w:left="426" w:hanging="426"/>
        <w:jc w:val="both"/>
      </w:pPr>
      <w:r>
        <w:t xml:space="preserve">Miestna akčná skupina v rozsahu vykonávaných úloh postupuje podľa príslušných ustanovení Systému riadenia EŠIF, vrátane postupu podľa </w:t>
      </w:r>
      <w:hyperlink w:anchor="kapitola_311_ods_3" w:tooltip="ods. 3 až ods. 12 tejto kapitoly" w:history="1">
        <w:r>
          <w:rPr>
            <w:rStyle w:val="Hypertextovprepojenie"/>
          </w:rPr>
          <w:t>ods. 3 až ods. 12 kapitol</w:t>
        </w:r>
        <w:r w:rsidR="007708C1">
          <w:rPr>
            <w:rStyle w:val="Hypertextovprepojenie"/>
          </w:rPr>
          <w:t>y 3.1.1</w:t>
        </w:r>
      </w:hyperlink>
      <w:r w:rsidR="007708C1">
        <w:rPr>
          <w:rStyle w:val="Hypertextovprepojenie"/>
        </w:rPr>
        <w:t>.</w:t>
      </w:r>
    </w:p>
    <w:p w14:paraId="76BFDD91" w14:textId="0569D085"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vyhlásila výzvu na</w:t>
      </w:r>
      <w:r w:rsidR="00226058">
        <w:t> </w:t>
      </w:r>
      <w:r>
        <w:t>predkladanie projektových zámerov, môže vykonávať všetky činnosti spojené s posudzovaním projektových zámerov, vrátane vydávania hodnotiacej správy.</w:t>
      </w:r>
    </w:p>
    <w:p w14:paraId="39A407B3" w14:textId="59B5EB44"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 xml:space="preserve">vyhlásila výzvu, vykonáva všetky činnosti v konaní o ŽoNFP, s výnimkou vydávania rozhodnutí o ŽoNFP. Miestna akčná skupina po posúdení ŽoNFP postúpi ŽoNFP na ďalšie konanie a rozhodnutie príslušnému </w:t>
      </w:r>
      <w:r w:rsidR="00226058">
        <w:t>poskytovateľovi</w:t>
      </w:r>
      <w:r>
        <w:t>.</w:t>
      </w:r>
    </w:p>
    <w:p w14:paraId="64C839F6" w14:textId="77777777" w:rsidR="00B650E5" w:rsidRDefault="00B650E5">
      <w:pPr>
        <w:numPr>
          <w:ilvl w:val="0"/>
          <w:numId w:val="278"/>
        </w:numPr>
        <w:autoSpaceDE w:val="0"/>
        <w:autoSpaceDN w:val="0"/>
        <w:adjustRightInd w:val="0"/>
        <w:spacing w:before="120" w:after="120"/>
        <w:ind w:left="426" w:hanging="426"/>
        <w:jc w:val="both"/>
      </w:pPr>
      <w:r>
        <w:t xml:space="preserve">Na postup miestnej akčnej skupiny pri výkone činností spojených s poskytovaním príspevku z EFPRV sa nevzťahujú ustanovenia Systému riadenia EŠIF, s výnimkou povinného predkladania výziev na posúdenie zo strany CKO podľa </w:t>
      </w:r>
      <w:hyperlink w:anchor="kapitola_311_ods_3" w:tooltip="ods. 3 až ods. 12 kapitoly 3.1.1" w:history="1">
        <w:r>
          <w:rPr>
            <w:rStyle w:val="Hypertextovprepojenie"/>
          </w:rPr>
          <w:t>ods. 3 až ods. 12 kapitoly 3.1.1</w:t>
        </w:r>
      </w:hyperlink>
      <w:r>
        <w:t xml:space="preserve"> (táto povinnosť sa vzťahuje na všetky výzvy a vyzvania v súlade so zákonom o príspevku z EŠIF)</w:t>
      </w:r>
    </w:p>
    <w:p w14:paraId="70648DB2" w14:textId="77777777" w:rsidR="00B650E5" w:rsidRDefault="00B650E5">
      <w:pPr>
        <w:pStyle w:val="SRK3"/>
      </w:pPr>
      <w:bookmarkStart w:id="467" w:name="_Toc453234062"/>
      <w:bookmarkStart w:id="468" w:name="_Toc495649419"/>
      <w:r>
        <w:t>3.4.</w:t>
      </w:r>
      <w:bookmarkEnd w:id="466"/>
      <w:r>
        <w:t>5 Globálny grant</w:t>
      </w:r>
      <w:bookmarkEnd w:id="467"/>
      <w:bookmarkEnd w:id="468"/>
    </w:p>
    <w:p w14:paraId="5C9CE51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0A0E88B1" w14:textId="1D891A3D"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 123, odsek 7 všeobecného nariadenia</w:t>
      </w:r>
    </w:p>
    <w:p w14:paraId="6A9EAB2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41870C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 8</w:t>
      </w:r>
      <w:r>
        <w:rPr>
          <w:i/>
          <w:sz w:val="28"/>
          <w:szCs w:val="28"/>
        </w:rPr>
        <w:t xml:space="preserve"> </w:t>
      </w:r>
      <w:r>
        <w:rPr>
          <w:bCs/>
          <w:i/>
          <w:iCs/>
          <w:sz w:val="22"/>
          <w:szCs w:val="22"/>
          <w:lang w:eastAsia="en-US"/>
        </w:rPr>
        <w:t>zákona o  príspevku z EŠIF</w:t>
      </w:r>
    </w:p>
    <w:p w14:paraId="18AC3175" w14:textId="2FC060B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 xml:space="preserve">RO je oprávnený časť OP realizovať prostredníctvom globálneho grantu. Globálny grant predstavuje územne a/alebo tematicky zameraný grantový mechanizmus, </w:t>
      </w:r>
      <w:r w:rsidR="00C93F30">
        <w:rPr>
          <w:color w:val="000000"/>
        </w:rPr>
        <w:t xml:space="preserve">t. j. </w:t>
      </w:r>
      <w:r>
        <w:rPr>
          <w:color w:val="000000"/>
        </w:rPr>
        <w:t xml:space="preserve">prerozdelenie finančných prostriedkov na malé projekty, ktoré sú vyberané na základe vyhlásenej výzvy/výziev. </w:t>
      </w:r>
    </w:p>
    <w:p w14:paraId="20F205D6" w14:textId="024B1C0F" w:rsidR="00B650E5" w:rsidRDefault="00B650E5">
      <w:pPr>
        <w:numPr>
          <w:ilvl w:val="0"/>
          <w:numId w:val="114"/>
        </w:numPr>
        <w:autoSpaceDE w:val="0"/>
        <w:autoSpaceDN w:val="0"/>
        <w:adjustRightInd w:val="0"/>
        <w:spacing w:before="120" w:after="120"/>
        <w:ind w:left="425" w:hanging="425"/>
        <w:jc w:val="both"/>
        <w:rPr>
          <w:color w:val="000000"/>
        </w:rPr>
      </w:pPr>
      <w:r>
        <w:rPr>
          <w:color w:val="000000"/>
        </w:rPr>
        <w:t>Globálny grant umožňuje prerozdelenie finančných prostriedkov z fondov a ENRF cielených na</w:t>
      </w:r>
      <w:r w:rsidR="00994E86">
        <w:rPr>
          <w:color w:val="000000"/>
        </w:rPr>
        <w:t> </w:t>
      </w:r>
      <w:r>
        <w:rPr>
          <w:color w:val="000000"/>
        </w:rPr>
        <w:t xml:space="preserve">určitú tému/aktivitu priamo do územia prostredníctvom vybraných partnerov, ktorí sa zameriavajú svojou aktívnou činnosťou na daný typ aktivity/témy. </w:t>
      </w:r>
    </w:p>
    <w:p w14:paraId="7FD69C49"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14:paraId="6736898A" w14:textId="77777777" w:rsidR="00B650E5" w:rsidRDefault="00B650E5" w:rsidP="0045286B">
      <w:pPr>
        <w:pStyle w:val="SRK4"/>
      </w:pPr>
      <w:bookmarkStart w:id="469" w:name="_Toc453234063"/>
      <w:bookmarkStart w:id="470" w:name="_Toc495649420"/>
      <w:r>
        <w:t>3.4.5.1 Výber sprostredkovateľského orgánu pre globálny grant</w:t>
      </w:r>
      <w:bookmarkEnd w:id="469"/>
      <w:bookmarkEnd w:id="470"/>
    </w:p>
    <w:p w14:paraId="32475810" w14:textId="16801B2E" w:rsidR="00B650E5" w:rsidRDefault="00B650E5">
      <w:pPr>
        <w:numPr>
          <w:ilvl w:val="0"/>
          <w:numId w:val="115"/>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14:paraId="760A2AFC" w14:textId="4B9F823D"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w:t>
      </w:r>
      <w:r w:rsidR="00903718">
        <w:rPr>
          <w:color w:val="000000"/>
        </w:rPr>
        <w:t> </w:t>
      </w:r>
      <w:r>
        <w:rPr>
          <w:color w:val="000000"/>
        </w:rPr>
        <w:t xml:space="preserve">príslušnej oblasti, ako aj dostatočné kapacity pre výkon administratívneho a finančného </w:t>
      </w:r>
      <w:r>
        <w:rPr>
          <w:color w:val="000000"/>
        </w:rPr>
        <w:lastRenderedPageBreak/>
        <w:t>riadenia. SO by mal byť etablovaný v oblasti/regióne, pre ktorý bude poskytovaná pomoc formou globálnych grantov, resp. poznať potreby cieľovej skupiny v danej oblasti/regióne.</w:t>
      </w:r>
    </w:p>
    <w:p w14:paraId="7F200931"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14:paraId="0B0DA28D"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14:paraId="2521B78B" w14:textId="77777777" w:rsidR="00B650E5" w:rsidRDefault="00B650E5">
      <w:pPr>
        <w:numPr>
          <w:ilvl w:val="0"/>
          <w:numId w:val="116"/>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14:paraId="198B0B71" w14:textId="4154366D" w:rsidR="00B650E5" w:rsidRDefault="00B650E5">
      <w:pPr>
        <w:numPr>
          <w:ilvl w:val="0"/>
          <w:numId w:val="116"/>
        </w:numPr>
        <w:spacing w:before="120" w:after="120"/>
        <w:ind w:left="851" w:hanging="425"/>
        <w:jc w:val="both"/>
        <w:rPr>
          <w:color w:val="000000"/>
        </w:rPr>
      </w:pPr>
      <w:r>
        <w:rPr>
          <w:color w:val="000000"/>
        </w:rPr>
        <w:t>konkrétne vymedzenie úloh a funkcií jednotlivých článkov riadenia globálneho grantu v</w:t>
      </w:r>
      <w:r w:rsidR="000A0CD7">
        <w:rPr>
          <w:color w:val="000000"/>
        </w:rPr>
        <w:t> </w:t>
      </w:r>
      <w:r>
        <w:rPr>
          <w:color w:val="000000"/>
        </w:rPr>
        <w:t>rámci organizačnej štruktúry a vymedzenie efektívneho systému ich kontroly.</w:t>
      </w:r>
    </w:p>
    <w:p w14:paraId="0642AD85"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14:paraId="47077506"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Zmluva so SO musí obsahovať najmä:</w:t>
      </w:r>
    </w:p>
    <w:p w14:paraId="04213961" w14:textId="77777777" w:rsidR="00B650E5" w:rsidRDefault="00B650E5">
      <w:pPr>
        <w:numPr>
          <w:ilvl w:val="0"/>
          <w:numId w:val="117"/>
        </w:numPr>
        <w:spacing w:before="120" w:after="120"/>
        <w:ind w:left="851" w:hanging="425"/>
        <w:jc w:val="both"/>
        <w:rPr>
          <w:color w:val="000000"/>
        </w:rPr>
      </w:pPr>
      <w:r>
        <w:rPr>
          <w:color w:val="000000"/>
        </w:rPr>
        <w:t>ciele globálneho grantu,</w:t>
      </w:r>
    </w:p>
    <w:p w14:paraId="09A2FBAF" w14:textId="77777777" w:rsidR="00B650E5" w:rsidRDefault="00B650E5">
      <w:pPr>
        <w:numPr>
          <w:ilvl w:val="0"/>
          <w:numId w:val="117"/>
        </w:numPr>
        <w:spacing w:before="120" w:after="120"/>
        <w:ind w:left="851" w:hanging="425"/>
        <w:jc w:val="both"/>
        <w:rPr>
          <w:color w:val="000000"/>
        </w:rPr>
      </w:pPr>
      <w:r>
        <w:rPr>
          <w:color w:val="000000"/>
        </w:rPr>
        <w:t>výšku finančných prostriedkov určených na implementáciu globálneho grantu,</w:t>
      </w:r>
    </w:p>
    <w:p w14:paraId="4C9E19F4" w14:textId="77777777" w:rsidR="00B650E5" w:rsidRDefault="00B650E5">
      <w:pPr>
        <w:numPr>
          <w:ilvl w:val="0"/>
          <w:numId w:val="117"/>
        </w:numPr>
        <w:spacing w:before="120" w:after="120"/>
        <w:ind w:left="851" w:hanging="425"/>
        <w:jc w:val="both"/>
        <w:rPr>
          <w:color w:val="000000"/>
        </w:rPr>
      </w:pPr>
      <w:r>
        <w:rPr>
          <w:color w:val="000000"/>
        </w:rPr>
        <w:t>práva a povinnosti zmluvných strán,</w:t>
      </w:r>
    </w:p>
    <w:p w14:paraId="68567403" w14:textId="77777777" w:rsidR="00B650E5" w:rsidRDefault="00B650E5">
      <w:pPr>
        <w:numPr>
          <w:ilvl w:val="0"/>
          <w:numId w:val="117"/>
        </w:numPr>
        <w:spacing w:before="120" w:after="120"/>
        <w:ind w:left="851" w:hanging="425"/>
        <w:jc w:val="both"/>
        <w:rPr>
          <w:color w:val="000000"/>
        </w:rPr>
      </w:pPr>
      <w:r>
        <w:rPr>
          <w:color w:val="000000"/>
        </w:rPr>
        <w:t>pravidlá implementácie globálneho grantu,</w:t>
      </w:r>
    </w:p>
    <w:p w14:paraId="57AD9724" w14:textId="77777777" w:rsidR="00B650E5" w:rsidRDefault="00B650E5">
      <w:pPr>
        <w:numPr>
          <w:ilvl w:val="0"/>
          <w:numId w:val="117"/>
        </w:numPr>
        <w:spacing w:before="120" w:after="120"/>
        <w:ind w:left="851" w:hanging="425"/>
        <w:jc w:val="both"/>
        <w:rPr>
          <w:color w:val="000000"/>
        </w:rPr>
      </w:pPr>
      <w:r>
        <w:rPr>
          <w:color w:val="000000"/>
        </w:rPr>
        <w:t>manuál riadenia globálneho grantu.</w:t>
      </w:r>
    </w:p>
    <w:p w14:paraId="398C2A2D"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 zmluve so SO môže určiť minimálne a maximálne výšky NFP projektov podporených prostredníctvom tohto nástroja.</w:t>
      </w:r>
    </w:p>
    <w:p w14:paraId="513AE1FA" w14:textId="77777777" w:rsidR="00B650E5" w:rsidRDefault="00B650E5">
      <w:pPr>
        <w:numPr>
          <w:ilvl w:val="0"/>
          <w:numId w:val="115"/>
        </w:numPr>
        <w:autoSpaceDE w:val="0"/>
        <w:autoSpaceDN w:val="0"/>
        <w:adjustRightInd w:val="0"/>
        <w:spacing w:before="120" w:after="120"/>
        <w:ind w:left="425" w:hanging="425"/>
        <w:jc w:val="both"/>
        <w:rPr>
          <w:color w:val="000000"/>
        </w:rPr>
      </w:pPr>
      <w:r>
        <w:rPr>
          <w:bCs/>
          <w:color w:val="000000"/>
        </w:rPr>
        <w:t>Aktivity týkajúce sa príprav, riadenia, monitorovania, hodnotenia, informovania a kontroly globálneho grantu zo strany SO sú oprávnené na financovanie z prostriedkov technickej pomoci OP.</w:t>
      </w:r>
    </w:p>
    <w:p w14:paraId="5AFC27A8" w14:textId="77777777" w:rsidR="00B650E5" w:rsidRPr="00997CB0" w:rsidRDefault="00B650E5" w:rsidP="0045286B">
      <w:pPr>
        <w:pStyle w:val="SRK4"/>
        <w:rPr>
          <w:highlight w:val="yellow"/>
        </w:rPr>
      </w:pPr>
      <w:bookmarkStart w:id="471" w:name="_Toc453234064"/>
      <w:bookmarkStart w:id="472" w:name="_Toc495649421"/>
      <w:r w:rsidRPr="00997CB0">
        <w:rPr>
          <w:highlight w:val="yellow"/>
        </w:rPr>
        <w:t>3.4.5.2 Zverejnenie výzvy a schvaľovací proces</w:t>
      </w:r>
      <w:bookmarkEnd w:id="471"/>
      <w:bookmarkEnd w:id="472"/>
    </w:p>
    <w:p w14:paraId="168A5131" w14:textId="77777777" w:rsidR="00B650E5" w:rsidRPr="00997CB0" w:rsidRDefault="00B650E5">
      <w:pPr>
        <w:numPr>
          <w:ilvl w:val="0"/>
          <w:numId w:val="118"/>
        </w:numPr>
        <w:autoSpaceDE w:val="0"/>
        <w:autoSpaceDN w:val="0"/>
        <w:adjustRightInd w:val="0"/>
        <w:spacing w:before="120" w:after="120"/>
        <w:ind w:left="425" w:hanging="425"/>
        <w:jc w:val="both"/>
        <w:rPr>
          <w:color w:val="000000"/>
          <w:highlight w:val="yellow"/>
        </w:rPr>
      </w:pPr>
      <w:r w:rsidRPr="00997CB0">
        <w:rPr>
          <w:color w:val="000000"/>
          <w:highlight w:val="yellow"/>
        </w:rPr>
        <w:t>SO zodpovedá za prípravu výziev a taktiež zodpovedá za celkovú kontrolu úplnosti informácií v nich uvedených a ďalších dokumentoch nevyhnutých pre ich správne vypracovanie. Zverejnenie výziev podlieha súhlasnému stanovisku RO</w:t>
      </w:r>
      <w:r w:rsidR="00F64BDD" w:rsidRPr="00997CB0">
        <w:rPr>
          <w:color w:val="000000"/>
          <w:highlight w:val="yellow"/>
        </w:rPr>
        <w:t>,</w:t>
      </w:r>
      <w:r w:rsidRPr="00997CB0">
        <w:rPr>
          <w:color w:val="000000"/>
          <w:highlight w:val="yellow"/>
        </w:rPr>
        <w:t xml:space="preserve"> ako aj CKO v súlade s </w:t>
      </w:r>
      <w:hyperlink w:anchor="kapitola_311_ods_3" w:tooltip="ods. 3 až ods. 12 kapitoly 3.1.1" w:history="1">
        <w:r w:rsidRPr="00997CB0">
          <w:rPr>
            <w:rStyle w:val="Hypertextovprepojenie"/>
            <w:highlight w:val="yellow"/>
          </w:rPr>
          <w:t>ods. 3 až ods. 12 kapitoly 3.1.1</w:t>
        </w:r>
      </w:hyperlink>
      <w:r w:rsidRPr="00997CB0">
        <w:rPr>
          <w:color w:val="000000"/>
          <w:highlight w:val="yellow"/>
        </w:rPr>
        <w:t>.</w:t>
      </w:r>
    </w:p>
    <w:p w14:paraId="535993A0" w14:textId="77777777" w:rsidR="00B650E5" w:rsidRPr="00997CB0" w:rsidRDefault="00B650E5">
      <w:pPr>
        <w:numPr>
          <w:ilvl w:val="0"/>
          <w:numId w:val="118"/>
        </w:numPr>
        <w:autoSpaceDE w:val="0"/>
        <w:autoSpaceDN w:val="0"/>
        <w:adjustRightInd w:val="0"/>
        <w:spacing w:before="120" w:after="120"/>
        <w:ind w:left="425" w:hanging="425"/>
        <w:jc w:val="both"/>
        <w:rPr>
          <w:color w:val="000000"/>
          <w:highlight w:val="yellow"/>
        </w:rPr>
      </w:pPr>
      <w:r w:rsidRPr="00997CB0">
        <w:rPr>
          <w:color w:val="000000"/>
          <w:highlight w:val="yellow"/>
        </w:rPr>
        <w:t>SO zabezpečí prípravu výzvy v súlade s ustanoveniami manuálu riadenia globálneho grantu.</w:t>
      </w:r>
    </w:p>
    <w:p w14:paraId="2E813E43" w14:textId="77777777" w:rsidR="00B650E5" w:rsidRPr="00997CB0" w:rsidRDefault="00B650E5">
      <w:pPr>
        <w:numPr>
          <w:ilvl w:val="0"/>
          <w:numId w:val="118"/>
        </w:numPr>
        <w:autoSpaceDE w:val="0"/>
        <w:autoSpaceDN w:val="0"/>
        <w:adjustRightInd w:val="0"/>
        <w:spacing w:before="120" w:after="120"/>
        <w:ind w:left="425" w:hanging="425"/>
        <w:jc w:val="both"/>
        <w:rPr>
          <w:color w:val="000000"/>
          <w:highlight w:val="yellow"/>
        </w:rPr>
      </w:pPr>
      <w:r w:rsidRPr="00997CB0">
        <w:rPr>
          <w:color w:val="000000"/>
          <w:highlight w:val="yellow"/>
        </w:rPr>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14:paraId="2F3E61B7" w14:textId="26D42804" w:rsidR="00B650E5" w:rsidRDefault="00B650E5">
      <w:pPr>
        <w:numPr>
          <w:ilvl w:val="0"/>
          <w:numId w:val="118"/>
        </w:numPr>
        <w:autoSpaceDE w:val="0"/>
        <w:autoSpaceDN w:val="0"/>
        <w:adjustRightInd w:val="0"/>
        <w:spacing w:before="120" w:after="120"/>
        <w:ind w:left="425" w:hanging="425"/>
        <w:jc w:val="both"/>
        <w:rPr>
          <w:color w:val="000000"/>
        </w:rPr>
      </w:pPr>
      <w:r w:rsidRPr="00997CB0">
        <w:rPr>
          <w:color w:val="000000"/>
          <w:highlight w:val="yellow"/>
        </w:rPr>
        <w:t>Zloženie Riadiaceho výboru navrhuje príslušný štatutárny orgán SO globálneho grantu. Členmi Riadiaceho výboru sú zástupcovia RO, zástupcovia verejnej správy a externí odborníci</w:t>
      </w:r>
      <w:r>
        <w:rPr>
          <w:color w:val="000000"/>
        </w:rPr>
        <w:t xml:space="preserve"> so</w:t>
      </w:r>
      <w:r w:rsidR="00903718">
        <w:rPr>
          <w:color w:val="000000"/>
        </w:rPr>
        <w:t> </w:t>
      </w:r>
      <w:r>
        <w:rPr>
          <w:color w:val="000000"/>
        </w:rPr>
        <w:t xml:space="preserve">znalosťami a prehľadom v téme globálneho grantu. Právo zúčastňovať sa na zasadnutiach </w:t>
      </w:r>
      <w:r>
        <w:rPr>
          <w:color w:val="000000"/>
        </w:rPr>
        <w:lastRenderedPageBreak/>
        <w:t>Riadiaceho výboru v pozícii pozorovateľa majú vopred nominovaní zástupcovia verejnej správy a mimovládnych neziskových organizácií.</w:t>
      </w:r>
    </w:p>
    <w:p w14:paraId="07376700"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14:paraId="73772358"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14:paraId="3C93D796" w14:textId="340FF34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14:paraId="0EC26FA2"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V prípade ustanovenia Riadiaceho výboru, stanovené poradie hodnotených projektov, ktoré je výsledkom hodnotenia externých hodnotiteľov, je základným východiskom pre výber projektov na schválenie na úrovni Riadiaceho výboru. </w:t>
      </w:r>
    </w:p>
    <w:p w14:paraId="54416108"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14:paraId="6B345F2C" w14:textId="5F6DF775"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Po schválení zo strany RO, SO pristúpi k vydaniu rozhodnutí o ŽoNFP a uzavretiu zmlúv o NFP s úspešnými žiadateľmi; pri uzavretí zmluvy o NFP postupuje SO v súlade s ustanoveniami manuálu riadenia globálneho grantu. </w:t>
      </w:r>
    </w:p>
    <w:p w14:paraId="53341112" w14:textId="77777777" w:rsidR="00B650E5" w:rsidRDefault="00B650E5" w:rsidP="0045286B">
      <w:pPr>
        <w:pStyle w:val="SRK4"/>
      </w:pPr>
      <w:bookmarkStart w:id="473" w:name="_Toc453234065"/>
      <w:bookmarkStart w:id="474" w:name="_Toc495649422"/>
      <w:r>
        <w:t>3.4.5.3 Monitorovanie a hodnotenie globálneho grantu</w:t>
      </w:r>
      <w:bookmarkEnd w:id="473"/>
      <w:bookmarkEnd w:id="474"/>
    </w:p>
    <w:p w14:paraId="0F7FC392" w14:textId="18BB365F" w:rsidR="00B650E5" w:rsidRDefault="00B650E5">
      <w:pPr>
        <w:numPr>
          <w:ilvl w:val="0"/>
          <w:numId w:val="120"/>
        </w:numPr>
        <w:autoSpaceDE w:val="0"/>
        <w:autoSpaceDN w:val="0"/>
        <w:adjustRightInd w:val="0"/>
        <w:spacing w:before="120" w:after="120"/>
        <w:ind w:left="425" w:hanging="425"/>
        <w:jc w:val="both"/>
        <w:rPr>
          <w:color w:val="000000"/>
        </w:rPr>
      </w:pPr>
      <w:bookmarkStart w:id="475"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14:paraId="337E7E53"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14:paraId="16C0F82B"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hodnotením dosiahnutých cieľov a výsledkami kvantifikujúcimi účinnosť a efektivitu pomoci vrátane ich trvalej udržateľnosti.</w:t>
      </w:r>
    </w:p>
    <w:p w14:paraId="03FD3E13" w14:textId="77777777" w:rsidR="00B650E5" w:rsidRDefault="00B650E5" w:rsidP="0045286B">
      <w:pPr>
        <w:pStyle w:val="SRK4"/>
      </w:pPr>
      <w:bookmarkStart w:id="476" w:name="_Toc453234066"/>
      <w:bookmarkStart w:id="477" w:name="_Toc495649423"/>
      <w:r>
        <w:t>3.4.5.4 Kontrola projektov</w:t>
      </w:r>
      <w:bookmarkEnd w:id="476"/>
      <w:bookmarkEnd w:id="477"/>
    </w:p>
    <w:p w14:paraId="25431813" w14:textId="77777777" w:rsidR="00B650E5" w:rsidRDefault="00B650E5">
      <w:pPr>
        <w:numPr>
          <w:ilvl w:val="0"/>
          <w:numId w:val="354"/>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14:paraId="19FF5B16" w14:textId="77777777" w:rsidR="00B650E5" w:rsidRDefault="00B650E5">
      <w:pPr>
        <w:pStyle w:val="SRK3"/>
      </w:pPr>
      <w:bookmarkStart w:id="478" w:name="_Toc453234067"/>
      <w:bookmarkStart w:id="479" w:name="_Toc495649424"/>
      <w:r>
        <w:t>3.4.6 Spoločný akčný plán</w:t>
      </w:r>
      <w:bookmarkEnd w:id="475"/>
      <w:bookmarkEnd w:id="478"/>
      <w:bookmarkEnd w:id="479"/>
    </w:p>
    <w:p w14:paraId="745607B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23732EE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14:paraId="14DB46F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3B3D11B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zákon o  príspevku z EŠIF</w:t>
      </w:r>
    </w:p>
    <w:p w14:paraId="30DCAF75" w14:textId="7FB38360" w:rsidR="00B650E5" w:rsidRDefault="00B650E5">
      <w:pPr>
        <w:numPr>
          <w:ilvl w:val="0"/>
          <w:numId w:val="268"/>
        </w:numPr>
        <w:autoSpaceDE w:val="0"/>
        <w:autoSpaceDN w:val="0"/>
        <w:adjustRightInd w:val="0"/>
        <w:spacing w:before="120" w:after="120"/>
        <w:ind w:left="425" w:hanging="425"/>
        <w:jc w:val="both"/>
        <w:rPr>
          <w:color w:val="000000"/>
          <w:lang w:eastAsia="en-US"/>
        </w:rPr>
      </w:pPr>
      <w:r>
        <w:rPr>
          <w:color w:val="000000"/>
          <w:lang w:eastAsia="en-US"/>
        </w:rPr>
        <w:t>V zmysle čl. 104 všeobecného nariadenia Spoločný akčný plán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p>
    <w:p w14:paraId="1D43F485" w14:textId="77777777" w:rsidR="00B650E5" w:rsidRDefault="00B650E5">
      <w:pPr>
        <w:numPr>
          <w:ilvl w:val="0"/>
          <w:numId w:val="268"/>
        </w:numPr>
        <w:autoSpaceDE w:val="0"/>
        <w:autoSpaceDN w:val="0"/>
        <w:adjustRightInd w:val="0"/>
        <w:spacing w:before="120" w:after="120"/>
        <w:ind w:left="425" w:hanging="425"/>
        <w:jc w:val="both"/>
        <w:rPr>
          <w:color w:val="000000"/>
          <w:lang w:eastAsia="en-US"/>
        </w:rPr>
      </w:pPr>
      <w:r>
        <w:rPr>
          <w:color w:val="000000"/>
          <w:lang w:eastAsia="en-US"/>
        </w:rPr>
        <w:lastRenderedPageBreak/>
        <w:t>SAP umožňuje spájať rozličné typy projektov, ktoré môžu byť podporené z viacerých OP a fondov (ESF, EFRR a KF) za účelom dosiahnutia stanoveného cieľa. SAP nemôže byť určený na podporu investícií  do infraštruktúry, preto je SAP primárne uplatniteľný v rámci podpory z ESF a neinvestičné projekty</w:t>
      </w:r>
    </w:p>
    <w:p w14:paraId="53086410" w14:textId="77777777" w:rsidR="00B650E5" w:rsidRDefault="00B650E5">
      <w:pPr>
        <w:numPr>
          <w:ilvl w:val="0"/>
          <w:numId w:val="268"/>
        </w:numPr>
        <w:autoSpaceDE w:val="0"/>
        <w:autoSpaceDN w:val="0"/>
        <w:adjustRightInd w:val="0"/>
        <w:spacing w:before="120" w:after="120"/>
        <w:ind w:left="425" w:hanging="425"/>
        <w:jc w:val="both"/>
        <w:rPr>
          <w:color w:val="000000"/>
          <w:lang w:eastAsia="en-US"/>
        </w:rPr>
      </w:pPr>
      <w:r>
        <w:rPr>
          <w:color w:val="000000"/>
          <w:lang w:eastAsia="en-US"/>
        </w:rPr>
        <w:t>SAP môže zahŕňať jeden projekt alebo skupinu projektov, ktoré v rámci SAP spoločnou realizáciou smerujú k dosiahnutiu spoločného cieľa SAP.</w:t>
      </w:r>
    </w:p>
    <w:p w14:paraId="03F39A2D" w14:textId="77777777" w:rsidR="00B650E5" w:rsidRDefault="00B650E5">
      <w:pPr>
        <w:numPr>
          <w:ilvl w:val="0"/>
          <w:numId w:val="268"/>
        </w:numPr>
        <w:autoSpaceDE w:val="0"/>
        <w:autoSpaceDN w:val="0"/>
        <w:adjustRightInd w:val="0"/>
        <w:spacing w:before="120" w:after="120"/>
        <w:ind w:left="425" w:hanging="425"/>
        <w:jc w:val="both"/>
        <w:rPr>
          <w:color w:val="000000"/>
          <w:lang w:eastAsia="en-US"/>
        </w:rPr>
      </w:pPr>
      <w:r>
        <w:rPr>
          <w:color w:val="000000"/>
          <w:lang w:eastAsia="en-US"/>
        </w:rPr>
        <w:t>Schvaľovanie SAP, ako aj samotné využitie zjednodušeného vykazovania výdavkov v rámci neho, sú predmetom negociácií medzi  EK a subjektom, ktorý predkladá SAP. Po dosiahnutí dohody príjme EK rozhodnutie prostredníctvom vykonávacieho aktu s cieľom zabezpečiť právnu istotu subjektu, ktorý predkladá SAP a ktorý sa tento nástroj rozhodne implementovať.</w:t>
      </w:r>
    </w:p>
    <w:p w14:paraId="336E5417" w14:textId="77777777" w:rsidR="00B650E5" w:rsidRDefault="00B650E5">
      <w:pPr>
        <w:numPr>
          <w:ilvl w:val="0"/>
          <w:numId w:val="268"/>
        </w:numPr>
        <w:autoSpaceDE w:val="0"/>
        <w:autoSpaceDN w:val="0"/>
        <w:adjustRightInd w:val="0"/>
        <w:spacing w:before="120" w:after="120"/>
        <w:ind w:left="425" w:hanging="425"/>
        <w:jc w:val="both"/>
        <w:rPr>
          <w:color w:val="000000"/>
          <w:lang w:eastAsia="en-US"/>
        </w:rPr>
      </w:pPr>
      <w:r>
        <w:rPr>
          <w:color w:val="000000"/>
          <w:lang w:eastAsia="en-US"/>
        </w:rPr>
        <w:t xml:space="preserve">Využitie SAP je dobrovoľné a RO sa v rámci vlastného OP alebo v spolupráci s inými relevantnými RO môže rozhodnúť, v závislosti na identifikácii vhodnosti daného implementačného nástroja, o jeho využití. </w:t>
      </w:r>
      <w:r w:rsidR="00C93F30">
        <w:rPr>
          <w:color w:val="000000"/>
          <w:lang w:eastAsia="en-US"/>
        </w:rPr>
        <w:t>Keďže</w:t>
      </w:r>
      <w:r>
        <w:rPr>
          <w:color w:val="000000"/>
          <w:lang w:eastAsia="en-US"/>
        </w:rPr>
        <w:t xml:space="preserve"> nie je povinnosťou špecifikovať úmysel implementovať SAP v samotnom OP, odporúča sa, aby RO, ktorý sa rozhodne implementovať SAP, informoval EK v dostatočnom predstihu (najmenej 3 mesiace prostredníctvom neformálnej výmeny komunikácie) s cieľom uľahčiť a urýchliť schvaľovanie SAP zo strany EK.</w:t>
      </w:r>
    </w:p>
    <w:p w14:paraId="2A9CC27C" w14:textId="77777777" w:rsidR="00B650E5" w:rsidRDefault="00B650E5">
      <w:pPr>
        <w:numPr>
          <w:ilvl w:val="0"/>
          <w:numId w:val="268"/>
        </w:numPr>
        <w:autoSpaceDE w:val="0"/>
        <w:autoSpaceDN w:val="0"/>
        <w:adjustRightInd w:val="0"/>
        <w:spacing w:before="120" w:after="120"/>
        <w:ind w:left="425" w:hanging="425"/>
        <w:jc w:val="both"/>
        <w:rPr>
          <w:color w:val="000000"/>
          <w:lang w:eastAsia="en-US"/>
        </w:rPr>
      </w:pPr>
      <w:r>
        <w:rPr>
          <w:color w:val="000000"/>
          <w:lang w:eastAsia="en-US"/>
        </w:rPr>
        <w:t>Minimálna podpora určená pre SAP z verejných zdrojov je stanovená vo výške 10 000 000 EUR alebo 20</w:t>
      </w:r>
      <w:r w:rsidR="00C93F30">
        <w:rPr>
          <w:color w:val="000000"/>
          <w:lang w:eastAsia="en-US"/>
        </w:rPr>
        <w:t xml:space="preserve"> </w:t>
      </w:r>
      <w:r>
        <w:rPr>
          <w:color w:val="000000"/>
          <w:lang w:eastAsia="en-US"/>
        </w:rPr>
        <w:t>% podpory z verejných zdrojov OP, ktorákoľvek suma je nižšia. Pre pilotný SAP môže byť podpora z verejných zdrojov pre každý OP znížená na 5 000 000 EUR. Pre SAP zameraný na podporu iniciatívy zamestnávania mladých ľudí nie je určený minimálny finančný limit.</w:t>
      </w:r>
    </w:p>
    <w:p w14:paraId="5ADDD780" w14:textId="77777777" w:rsidR="00B650E5" w:rsidRDefault="00B650E5">
      <w:pPr>
        <w:numPr>
          <w:ilvl w:val="0"/>
          <w:numId w:val="268"/>
        </w:numPr>
        <w:autoSpaceDE w:val="0"/>
        <w:autoSpaceDN w:val="0"/>
        <w:adjustRightInd w:val="0"/>
        <w:spacing w:before="120" w:after="120"/>
        <w:ind w:left="425" w:hanging="425"/>
        <w:jc w:val="both"/>
        <w:rPr>
          <w:color w:val="000000"/>
          <w:lang w:eastAsia="en-US"/>
        </w:rPr>
      </w:pPr>
      <w:r>
        <w:rPr>
          <w:color w:val="000000"/>
          <w:lang w:eastAsia="en-US"/>
        </w:rPr>
        <w:t>SAP sa nepovažuje za veľký projekt a prijímateľom musí byť verejnoprávny subjekt. Samotné zadefinovanie jedného prijímateľa SAP nevylučuje ostatné subjekty (napr. partnerov, dodávateľov) z ich participácie na implementácii SAP, avšak zodpovednosť ostáva výlučne na jednom subjekte – prijímateľovi.</w:t>
      </w:r>
    </w:p>
    <w:p w14:paraId="0BA13C25" w14:textId="77777777" w:rsidR="00B650E5" w:rsidRDefault="00B650E5">
      <w:pPr>
        <w:numPr>
          <w:ilvl w:val="0"/>
          <w:numId w:val="268"/>
        </w:numPr>
        <w:autoSpaceDE w:val="0"/>
        <w:autoSpaceDN w:val="0"/>
        <w:adjustRightInd w:val="0"/>
        <w:spacing w:before="120" w:after="120"/>
        <w:ind w:left="425" w:hanging="425"/>
        <w:jc w:val="both"/>
        <w:rPr>
          <w:color w:val="000000"/>
          <w:lang w:eastAsia="en-US"/>
        </w:rPr>
      </w:pPr>
      <w:r>
        <w:rPr>
          <w:color w:val="000000"/>
          <w:lang w:eastAsia="en-US"/>
        </w:rPr>
        <w:t>Členský štát, RO, alebo akýkoľvek poverený verejnoprávny subjekt môže predložiť návrh na SAP pri predkladaní príslušných OP alebo po ich predložení. SAP sa vzťahuje na časť obdobia od 1. januára 2014 a 31. decembra 2022. Výstupy a výsledky SAP sú dôvodom na platbu iba v prípade, ak sú dosiahnuté po dátume rozhodnutia o schválení SAP a pred koncom stanoveného vykonávacieho obdobia.</w:t>
      </w:r>
    </w:p>
    <w:p w14:paraId="438D0778" w14:textId="77777777" w:rsidR="00B650E5" w:rsidRDefault="00B650E5" w:rsidP="0045286B">
      <w:pPr>
        <w:pStyle w:val="SRK4"/>
      </w:pPr>
      <w:bookmarkStart w:id="480" w:name="_Toc453234068"/>
      <w:bookmarkStart w:id="481" w:name="_Toc495649425"/>
      <w:r>
        <w:t>3.4.6.1 Predkladanie návrhu SAP</w:t>
      </w:r>
      <w:bookmarkEnd w:id="480"/>
      <w:bookmarkEnd w:id="481"/>
      <w:r>
        <w:t xml:space="preserve"> </w:t>
      </w:r>
    </w:p>
    <w:p w14:paraId="146470FF" w14:textId="77777777" w:rsidR="00B650E5" w:rsidRDefault="00B650E5">
      <w:pPr>
        <w:numPr>
          <w:ilvl w:val="0"/>
          <w:numId w:val="121"/>
        </w:numPr>
        <w:autoSpaceDE w:val="0"/>
        <w:autoSpaceDN w:val="0"/>
        <w:adjustRightInd w:val="0"/>
        <w:spacing w:before="120" w:after="120"/>
        <w:ind w:left="425" w:hanging="425"/>
        <w:jc w:val="both"/>
        <w:rPr>
          <w:color w:val="000000"/>
          <w:lang w:eastAsia="en-US"/>
        </w:rPr>
      </w:pPr>
      <w:r>
        <w:rPr>
          <w:color w:val="000000"/>
          <w:lang w:eastAsia="en-US"/>
        </w:rPr>
        <w:t>SAP predkladá prostredníctvom systému SFC2014 RO alebo iný poverený subjekt verejného práva (ďalej len „žiadateľ SAP“). V prípade, že žiadosť o  SAP sa týka viacerých OP, súčasťou predloženej žiadosti sú súhlasy dotknutých RO.</w:t>
      </w:r>
    </w:p>
    <w:p w14:paraId="6C4F976A" w14:textId="77777777" w:rsidR="00B650E5" w:rsidRDefault="00B650E5">
      <w:pPr>
        <w:numPr>
          <w:ilvl w:val="0"/>
          <w:numId w:val="121"/>
        </w:numPr>
        <w:autoSpaceDE w:val="0"/>
        <w:autoSpaceDN w:val="0"/>
        <w:adjustRightInd w:val="0"/>
        <w:spacing w:before="120" w:after="120"/>
        <w:ind w:left="425" w:hanging="425"/>
        <w:jc w:val="both"/>
        <w:rPr>
          <w:color w:val="000000"/>
          <w:lang w:eastAsia="en-US"/>
        </w:rPr>
      </w:pPr>
      <w:r>
        <w:rPr>
          <w:color w:val="000000"/>
          <w:lang w:eastAsia="en-US"/>
        </w:rPr>
        <w:t>SAP môže byť predložený v rovnakej dobe alebo následne po predložení príslušných OP (alebo neskôr, ale nie na konci programového obdobia). Formulár pre predloženie návrhu SAP  predstavuje súhrn informácií potrebných na posúdenie návrhu zo strany EK a nenahrádza všetky povinnosti vyplývajúce z následných zmluvných vzťahov medzi poskytovateľom a prijímateľom.</w:t>
      </w:r>
    </w:p>
    <w:p w14:paraId="4470A0DD" w14:textId="77777777" w:rsidR="00B650E5" w:rsidRDefault="00B650E5">
      <w:pPr>
        <w:numPr>
          <w:ilvl w:val="0"/>
          <w:numId w:val="121"/>
        </w:numPr>
        <w:autoSpaceDE w:val="0"/>
        <w:autoSpaceDN w:val="0"/>
        <w:adjustRightInd w:val="0"/>
        <w:spacing w:before="120" w:after="120"/>
        <w:ind w:left="425" w:hanging="425"/>
        <w:jc w:val="both"/>
        <w:rPr>
          <w:color w:val="000000"/>
          <w:lang w:eastAsia="en-US"/>
        </w:rPr>
      </w:pPr>
      <w:r>
        <w:rPr>
          <w:color w:val="000000"/>
          <w:lang w:eastAsia="en-US"/>
        </w:rPr>
        <w:t>Ak EK počas lehoty dvoch mesiacov po predložení návrhu SAP zhodnotí, že návrh nespĺňa podmienky, EK zašle svoje vyjadrenie žiadateľovi SAP. Za predpokladu, že všetky pripomienky boli zodpovedajúcim spôsobom zohľadnené, EK príjme rozhodnutie prostredníctvom vykonávacieho aktu, ktorým SAP schváli v lehote najneskôr do štyroch mesiacov po predložení návrhu žiadateľa SAP, avšak nie pred prijatím OP, ktorého sa SAP týka.</w:t>
      </w:r>
    </w:p>
    <w:p w14:paraId="2FD812BB" w14:textId="77777777" w:rsidR="00B650E5" w:rsidRDefault="00B650E5">
      <w:pPr>
        <w:numPr>
          <w:ilvl w:val="0"/>
          <w:numId w:val="121"/>
        </w:numPr>
        <w:autoSpaceDE w:val="0"/>
        <w:autoSpaceDN w:val="0"/>
        <w:adjustRightInd w:val="0"/>
        <w:spacing w:before="120" w:after="120"/>
        <w:ind w:left="425" w:hanging="425"/>
        <w:jc w:val="both"/>
        <w:rPr>
          <w:color w:val="000000"/>
          <w:lang w:eastAsia="en-US"/>
        </w:rPr>
      </w:pPr>
      <w:r>
        <w:rPr>
          <w:color w:val="000000"/>
          <w:lang w:eastAsia="en-US"/>
        </w:rPr>
        <w:t xml:space="preserve">Doplňujúce informácie týkajúce sa štandardných stupníc jednotkových nákladov a paušálnych súm používaných v SAP musia byť súčasťou predkladaného návrhu SAP. Tieto informácie budú použité EK na posúdenie, či navrhované jednotkové náklady a paušálne sumy sú stanovené v </w:t>
      </w:r>
      <w:r>
        <w:rPr>
          <w:color w:val="000000"/>
          <w:lang w:eastAsia="en-US"/>
        </w:rPr>
        <w:lastRenderedPageBreak/>
        <w:t>súlade s metódami výpočtu definovaných v článku 67 ods. 5 všeobecného nariadenia a čl. 14 nariadenia o ESF.</w:t>
      </w:r>
    </w:p>
    <w:p w14:paraId="0F535E9D" w14:textId="77777777" w:rsidR="00B650E5" w:rsidRDefault="00B650E5">
      <w:pPr>
        <w:numPr>
          <w:ilvl w:val="0"/>
          <w:numId w:val="121"/>
        </w:numPr>
        <w:autoSpaceDE w:val="0"/>
        <w:autoSpaceDN w:val="0"/>
        <w:adjustRightInd w:val="0"/>
        <w:spacing w:before="120" w:after="120"/>
        <w:ind w:left="425" w:hanging="425"/>
        <w:jc w:val="both"/>
        <w:rPr>
          <w:color w:val="000000"/>
          <w:lang w:eastAsia="en-US"/>
        </w:rPr>
      </w:pPr>
      <w:r>
        <w:rPr>
          <w:color w:val="000000"/>
          <w:lang w:eastAsia="en-US"/>
        </w:rPr>
        <w:t xml:space="preserve">Vykonávacím aktom sa stanoví model SAP v súlade s čl. 106 všeobecného nariadenia. Základné prvky vykonávacieho aktu sú: </w:t>
      </w:r>
    </w:p>
    <w:p w14:paraId="0C6155E0" w14:textId="77777777" w:rsidR="00B650E5" w:rsidRDefault="00B650E5">
      <w:pPr>
        <w:numPr>
          <w:ilvl w:val="0"/>
          <w:numId w:val="122"/>
        </w:numPr>
        <w:spacing w:before="120" w:after="120"/>
        <w:ind w:left="850" w:hanging="425"/>
        <w:jc w:val="both"/>
        <w:rPr>
          <w:color w:val="000000"/>
        </w:rPr>
      </w:pPr>
      <w:r>
        <w:rPr>
          <w:color w:val="000000"/>
        </w:rPr>
        <w:t>analýza potrieb a cieľov rozvoja, ktoré ho odôvodňujú,</w:t>
      </w:r>
    </w:p>
    <w:p w14:paraId="0D2825A1" w14:textId="77777777" w:rsidR="00B650E5" w:rsidRDefault="00B650E5">
      <w:pPr>
        <w:numPr>
          <w:ilvl w:val="0"/>
          <w:numId w:val="122"/>
        </w:numPr>
        <w:spacing w:before="120" w:after="120"/>
        <w:ind w:left="850" w:hanging="425"/>
        <w:jc w:val="both"/>
        <w:rPr>
          <w:color w:val="000000"/>
        </w:rPr>
      </w:pPr>
      <w:r>
        <w:rPr>
          <w:color w:val="000000"/>
        </w:rPr>
        <w:t>rámec opisujúci vzťah medzi všeobecnými a špecifickými cieľmi SAP, čiastkové ciele a cieľové hodnoty pre výstupy a výsledky, predpokladané projekty alebo typy projektov,</w:t>
      </w:r>
    </w:p>
    <w:p w14:paraId="58384E41" w14:textId="77777777" w:rsidR="00B650E5" w:rsidRDefault="00B650E5">
      <w:pPr>
        <w:numPr>
          <w:ilvl w:val="0"/>
          <w:numId w:val="122"/>
        </w:numPr>
        <w:spacing w:before="120" w:after="120"/>
        <w:ind w:left="850" w:hanging="425"/>
        <w:jc w:val="both"/>
        <w:rPr>
          <w:color w:val="000000"/>
        </w:rPr>
      </w:pPr>
      <w:r>
        <w:rPr>
          <w:color w:val="000000"/>
        </w:rPr>
        <w:t>spoločné a špecifické ukazovatele (kde je to vhodné, monitorovanie výstupov a výsledkov podľa investičnej priority),</w:t>
      </w:r>
    </w:p>
    <w:p w14:paraId="031EF95F" w14:textId="77777777" w:rsidR="00B650E5" w:rsidRDefault="00B650E5">
      <w:pPr>
        <w:numPr>
          <w:ilvl w:val="0"/>
          <w:numId w:val="122"/>
        </w:numPr>
        <w:spacing w:before="120" w:after="120"/>
        <w:ind w:left="850" w:hanging="425"/>
        <w:jc w:val="both"/>
        <w:rPr>
          <w:color w:val="000000"/>
        </w:rPr>
      </w:pPr>
      <w:r>
        <w:rPr>
          <w:color w:val="000000"/>
        </w:rPr>
        <w:t>informácie o geografickom pokrytí a cieľových skupinách SAP,</w:t>
      </w:r>
    </w:p>
    <w:p w14:paraId="56515840" w14:textId="77777777" w:rsidR="00B650E5" w:rsidRDefault="00B650E5">
      <w:pPr>
        <w:numPr>
          <w:ilvl w:val="0"/>
          <w:numId w:val="122"/>
        </w:numPr>
        <w:spacing w:before="120" w:after="120"/>
        <w:ind w:left="850" w:hanging="425"/>
        <w:jc w:val="both"/>
        <w:rPr>
          <w:color w:val="000000"/>
        </w:rPr>
      </w:pPr>
      <w:r>
        <w:rPr>
          <w:color w:val="000000"/>
        </w:rPr>
        <w:t>predpokladaná doba implementácie SAP,</w:t>
      </w:r>
    </w:p>
    <w:p w14:paraId="09B36593" w14:textId="77777777" w:rsidR="00B650E5" w:rsidRDefault="00B650E5">
      <w:pPr>
        <w:numPr>
          <w:ilvl w:val="0"/>
          <w:numId w:val="122"/>
        </w:numPr>
        <w:spacing w:before="120" w:after="120"/>
        <w:ind w:left="850" w:hanging="425"/>
        <w:jc w:val="both"/>
        <w:rPr>
          <w:color w:val="000000"/>
        </w:rPr>
      </w:pPr>
      <w:r>
        <w:rPr>
          <w:color w:val="000000"/>
        </w:rPr>
        <w:t>analýza vplyvov SAP na podporu rovnosti medzi mužmi a ženami a predchádzanie diskriminácii,</w:t>
      </w:r>
    </w:p>
    <w:p w14:paraId="424C661C" w14:textId="77777777" w:rsidR="00B650E5" w:rsidRDefault="00B650E5">
      <w:pPr>
        <w:numPr>
          <w:ilvl w:val="0"/>
          <w:numId w:val="122"/>
        </w:numPr>
        <w:spacing w:before="120" w:after="120"/>
        <w:ind w:left="850" w:hanging="425"/>
        <w:jc w:val="both"/>
        <w:rPr>
          <w:color w:val="000000"/>
        </w:rPr>
      </w:pPr>
      <w:r>
        <w:rPr>
          <w:color w:val="000000"/>
        </w:rPr>
        <w:t>analýza vplyvov SAP na podporu udržateľného vývoja (ak je to relevantné),</w:t>
      </w:r>
    </w:p>
    <w:p w14:paraId="07F6125F" w14:textId="77777777" w:rsidR="00B650E5" w:rsidRDefault="00B650E5">
      <w:pPr>
        <w:numPr>
          <w:ilvl w:val="0"/>
          <w:numId w:val="122"/>
        </w:numPr>
        <w:spacing w:before="120" w:after="120"/>
        <w:ind w:left="850" w:hanging="425"/>
        <w:jc w:val="both"/>
        <w:rPr>
          <w:color w:val="000000"/>
        </w:rPr>
      </w:pPr>
      <w:r>
        <w:rPr>
          <w:color w:val="000000"/>
        </w:rPr>
        <w:t>vykonávacie ustanovenia pre SAP,</w:t>
      </w:r>
    </w:p>
    <w:p w14:paraId="062B83F5" w14:textId="77777777" w:rsidR="00B650E5" w:rsidRDefault="00B650E5">
      <w:pPr>
        <w:numPr>
          <w:ilvl w:val="0"/>
          <w:numId w:val="122"/>
        </w:numPr>
        <w:spacing w:before="120" w:after="120"/>
        <w:ind w:left="850" w:hanging="425"/>
        <w:jc w:val="both"/>
        <w:rPr>
          <w:color w:val="000000"/>
        </w:rPr>
      </w:pPr>
      <w:r>
        <w:rPr>
          <w:color w:val="000000"/>
        </w:rPr>
        <w:t>finančné riadenie SAP.</w:t>
      </w:r>
    </w:p>
    <w:p w14:paraId="4E71FF62" w14:textId="77777777" w:rsidR="00B650E5" w:rsidRDefault="00B650E5">
      <w:pPr>
        <w:numPr>
          <w:ilvl w:val="0"/>
          <w:numId w:val="121"/>
        </w:numPr>
        <w:autoSpaceDE w:val="0"/>
        <w:autoSpaceDN w:val="0"/>
        <w:adjustRightInd w:val="0"/>
        <w:spacing w:before="120" w:after="120"/>
        <w:ind w:left="425" w:hanging="425"/>
        <w:jc w:val="both"/>
        <w:rPr>
          <w:color w:val="000000"/>
          <w:lang w:eastAsia="en-US"/>
        </w:rPr>
      </w:pPr>
      <w:r>
        <w:rPr>
          <w:color w:val="000000"/>
          <w:lang w:eastAsia="en-US"/>
        </w:rPr>
        <w:t xml:space="preserve">SAP je založený na výsledkovo-orientovanom prístupe, a preto je dôležité jasne definovať a kvantifikovať výsledky a cieľové hodnoty, ktoré majú byť dosiahnuté.  K predloženiu SAP na EK môže dôjsť iba za predpokladu, že je možné jasne definovať výstupy, výsledky, čiastkové ciele a cieľové hodnoty. </w:t>
      </w:r>
    </w:p>
    <w:p w14:paraId="065F20FB" w14:textId="77777777" w:rsidR="00B650E5" w:rsidRDefault="00B650E5">
      <w:pPr>
        <w:numPr>
          <w:ilvl w:val="0"/>
          <w:numId w:val="121"/>
        </w:numPr>
        <w:autoSpaceDE w:val="0"/>
        <w:autoSpaceDN w:val="0"/>
        <w:adjustRightInd w:val="0"/>
        <w:spacing w:before="120" w:after="120"/>
        <w:ind w:left="425" w:hanging="425"/>
        <w:jc w:val="both"/>
        <w:rPr>
          <w:color w:val="000000"/>
          <w:lang w:eastAsia="en-US"/>
        </w:rPr>
      </w:pPr>
      <w:r>
        <w:rPr>
          <w:i/>
          <w:color w:val="000000"/>
          <w:lang w:eastAsia="en-US"/>
        </w:rPr>
        <w:t>Výstupy</w:t>
      </w:r>
      <w:r>
        <w:rPr>
          <w:color w:val="000000"/>
          <w:lang w:eastAsia="en-US"/>
        </w:rPr>
        <w:t xml:space="preserve"> – pod výstupom sa rozumie všetko, čo sa priamo vyrába/dodáva pre implementáciu projektu patriaceho do operácie SAP. Predstavuje kvantifikáciu reálnych výstupov získaných na základe poskytnutých investícií (vstupov). SAP podlieha povinnosti vykazovať údaje v rámci spoločných ukazovateľov výstupov a výsledkov rovnako ako je to pri iných projektoch.</w:t>
      </w:r>
    </w:p>
    <w:p w14:paraId="0A80F083" w14:textId="77777777" w:rsidR="00B650E5" w:rsidRDefault="00B650E5">
      <w:pPr>
        <w:numPr>
          <w:ilvl w:val="0"/>
          <w:numId w:val="121"/>
        </w:numPr>
        <w:autoSpaceDE w:val="0"/>
        <w:autoSpaceDN w:val="0"/>
        <w:adjustRightInd w:val="0"/>
        <w:spacing w:before="120" w:after="120"/>
        <w:ind w:left="425" w:hanging="425"/>
        <w:jc w:val="both"/>
        <w:rPr>
          <w:color w:val="000000"/>
          <w:lang w:eastAsia="en-US"/>
        </w:rPr>
      </w:pPr>
      <w:r>
        <w:rPr>
          <w:i/>
          <w:color w:val="000000"/>
          <w:lang w:eastAsia="en-US"/>
        </w:rPr>
        <w:t>Výsledky</w:t>
      </w:r>
      <w:r>
        <w:rPr>
          <w:color w:val="000000"/>
          <w:lang w:eastAsia="en-US"/>
        </w:rPr>
        <w:t xml:space="preserve"> – výsledok predstavuje účinok na úrovni operácie SAP, ktorý sa odzrkadlí na účastníkoch alebo subjektoch, napr. zmena v stave zamestnanosti účastníkov po ukončení projektovej aktivity v porovnaní so stavom na začiatku pri vstupe do financovaného projektu. S cieľom minimalizovať externé faktory ovplyvňujúce vykazované hodnoty výsledkového indikátora je vhodné čo najviac prepojiť indikátor na realizované úkony.</w:t>
      </w:r>
    </w:p>
    <w:p w14:paraId="0F979554" w14:textId="77777777" w:rsidR="00B650E5" w:rsidRDefault="00B650E5">
      <w:pPr>
        <w:numPr>
          <w:ilvl w:val="0"/>
          <w:numId w:val="121"/>
        </w:numPr>
        <w:autoSpaceDE w:val="0"/>
        <w:autoSpaceDN w:val="0"/>
        <w:adjustRightInd w:val="0"/>
        <w:spacing w:before="120" w:after="120"/>
        <w:ind w:left="425" w:hanging="425"/>
        <w:jc w:val="both"/>
        <w:rPr>
          <w:color w:val="000000"/>
          <w:lang w:eastAsia="en-US"/>
        </w:rPr>
      </w:pPr>
      <w:r>
        <w:rPr>
          <w:i/>
          <w:color w:val="000000"/>
          <w:lang w:eastAsia="en-US"/>
        </w:rPr>
        <w:t xml:space="preserve">Čiastkové ciele </w:t>
      </w:r>
      <w:r>
        <w:rPr>
          <w:color w:val="000000"/>
          <w:lang w:eastAsia="en-US"/>
        </w:rPr>
        <w:t xml:space="preserve">– čiastkové ciele predstavujú čiastkové dosiahnuté hodnoty v rámci výstupov a výsledkov v stanovených časových horizontoch. </w:t>
      </w:r>
    </w:p>
    <w:p w14:paraId="454872C9" w14:textId="77777777" w:rsidR="00B650E5" w:rsidRDefault="00B650E5">
      <w:pPr>
        <w:numPr>
          <w:ilvl w:val="0"/>
          <w:numId w:val="121"/>
        </w:numPr>
        <w:autoSpaceDE w:val="0"/>
        <w:autoSpaceDN w:val="0"/>
        <w:adjustRightInd w:val="0"/>
        <w:spacing w:before="120" w:after="120"/>
        <w:ind w:left="425" w:hanging="425"/>
        <w:jc w:val="both"/>
      </w:pPr>
      <w:r>
        <w:rPr>
          <w:color w:val="000000"/>
          <w:lang w:eastAsia="en-US"/>
        </w:rPr>
        <w:t>Výstupy a výsledky s ich čiastkovými cieľmi a cieľmi závisia od typu podporovaných projektov a súvisiacich krokov potrebných na dosiahnutie účelu SAP. Špecifickosť SAP je v jeho finančnom riadení a kontrole, ktoré sú orientované výhradne na výstupy a výsledky (a s nimi</w:t>
      </w:r>
      <w:r>
        <w:t xml:space="preserve"> súvisiace výdavky), ktoré sú dosiahnuté alebo čiastočne dosiahnuté. </w:t>
      </w:r>
    </w:p>
    <w:p w14:paraId="07685680" w14:textId="77777777" w:rsidR="00B650E5" w:rsidRDefault="00B650E5">
      <w:pPr>
        <w:numPr>
          <w:ilvl w:val="0"/>
          <w:numId w:val="121"/>
        </w:numPr>
        <w:autoSpaceDE w:val="0"/>
        <w:autoSpaceDN w:val="0"/>
        <w:adjustRightInd w:val="0"/>
        <w:spacing w:before="120" w:after="120"/>
        <w:ind w:left="425" w:hanging="425"/>
        <w:jc w:val="both"/>
        <w:rPr>
          <w:color w:val="000000"/>
          <w:lang w:eastAsia="en-US"/>
        </w:rPr>
      </w:pPr>
      <w:r>
        <w:rPr>
          <w:color w:val="000000"/>
          <w:lang w:eastAsia="en-US"/>
        </w:rPr>
        <w:t xml:space="preserve">Minimálna alebo maximálna dĺžka trvania SAP nie je stanovená, avšak obdobie oprávnenosti OP musí byť dodržané. Z tohto dôvodu by malo byť časové rozpätie pre trvanie SAP kratšie ako je celé obdobie trvania OP. </w:t>
      </w:r>
    </w:p>
    <w:p w14:paraId="48CB18EF" w14:textId="77777777" w:rsidR="00B650E5" w:rsidRDefault="00B650E5" w:rsidP="0045286B">
      <w:pPr>
        <w:pStyle w:val="SRK4"/>
      </w:pPr>
      <w:bookmarkStart w:id="482" w:name="_Toc453234069"/>
      <w:bookmarkStart w:id="483" w:name="_Toc495649426"/>
      <w:r>
        <w:t>3.4.6.2 Finančné riadenie</w:t>
      </w:r>
      <w:bookmarkEnd w:id="482"/>
      <w:bookmarkEnd w:id="483"/>
    </w:p>
    <w:p w14:paraId="328857A6" w14:textId="77777777" w:rsidR="00B650E5" w:rsidRDefault="00B650E5">
      <w:pPr>
        <w:numPr>
          <w:ilvl w:val="0"/>
          <w:numId w:val="123"/>
        </w:numPr>
        <w:autoSpaceDE w:val="0"/>
        <w:autoSpaceDN w:val="0"/>
        <w:adjustRightInd w:val="0"/>
        <w:spacing w:before="120" w:after="120"/>
        <w:ind w:left="425" w:hanging="425"/>
        <w:jc w:val="both"/>
        <w:rPr>
          <w:color w:val="000000"/>
          <w:lang w:eastAsia="en-US"/>
        </w:rPr>
      </w:pPr>
      <w:r>
        <w:rPr>
          <w:color w:val="000000"/>
          <w:lang w:eastAsia="en-US"/>
        </w:rPr>
        <w:t xml:space="preserve">SAP je založený na zjednodušenom finančnom riadení a kontrole, preto musia byť výstupy a výsledky s ich čiastkovými cieľmi a cieľovými hodnotami jasne definované. Financovanie je založené na štandardnej stupnici jednotkových výdavkov a paušálnych sumách, ktoré sa </w:t>
      </w:r>
      <w:r>
        <w:rPr>
          <w:color w:val="000000"/>
          <w:lang w:eastAsia="en-US"/>
        </w:rPr>
        <w:lastRenderedPageBreak/>
        <w:t xml:space="preserve">používajú pre NFP (článok 67 ods. 5  všeobecného nariadenia a článok 14 nariadenia o ESF). SAP poskytuje právnu istotu na použité štandardné stupnice a paušálne sumy, keďže tie sa schvaľujú rozhodnutím EK. V porovnaní so zjednodušeným vykazovaním výdavkov, navrhované opatrenia pre SAP sa líšia v dvoch aspektoch: </w:t>
      </w:r>
    </w:p>
    <w:p w14:paraId="33975871" w14:textId="77777777" w:rsidR="00B650E5" w:rsidRDefault="00B650E5">
      <w:pPr>
        <w:numPr>
          <w:ilvl w:val="0"/>
          <w:numId w:val="124"/>
        </w:numPr>
        <w:spacing w:before="120" w:after="120"/>
        <w:ind w:left="850" w:hanging="425"/>
        <w:jc w:val="both"/>
        <w:rPr>
          <w:color w:val="000000"/>
        </w:rPr>
      </w:pPr>
      <w:r>
        <w:rPr>
          <w:color w:val="000000"/>
        </w:rPr>
        <w:t>platby za paušálne sumy nie sú obmedzené (žiadne maximum);</w:t>
      </w:r>
    </w:p>
    <w:p w14:paraId="5028B86C" w14:textId="77777777" w:rsidR="00B650E5" w:rsidRDefault="00B650E5">
      <w:pPr>
        <w:numPr>
          <w:ilvl w:val="0"/>
          <w:numId w:val="124"/>
        </w:numPr>
        <w:spacing w:before="120" w:after="120"/>
        <w:ind w:left="850" w:hanging="425"/>
        <w:jc w:val="both"/>
        <w:rPr>
          <w:color w:val="000000"/>
        </w:rPr>
      </w:pPr>
      <w:r>
        <w:rPr>
          <w:color w:val="000000"/>
        </w:rPr>
        <w:t>je možné realizovať SAP (alebo jeho časť) prostredníctvom projektov, ktoré sú výlučne obstarané.</w:t>
      </w:r>
    </w:p>
    <w:p w14:paraId="4537EB1D" w14:textId="77777777" w:rsidR="00B650E5" w:rsidRDefault="00B650E5">
      <w:pPr>
        <w:numPr>
          <w:ilvl w:val="0"/>
          <w:numId w:val="123"/>
        </w:numPr>
        <w:autoSpaceDE w:val="0"/>
        <w:autoSpaceDN w:val="0"/>
        <w:adjustRightInd w:val="0"/>
        <w:spacing w:before="120" w:after="120"/>
        <w:ind w:left="425" w:hanging="425"/>
        <w:jc w:val="both"/>
        <w:rPr>
          <w:color w:val="000000"/>
          <w:lang w:eastAsia="en-US"/>
        </w:rPr>
      </w:pPr>
      <w:r>
        <w:rPr>
          <w:color w:val="000000"/>
          <w:lang w:eastAsia="en-US"/>
        </w:rPr>
        <w:t>Platby závisia od dosiahnutej úrovne implementácie SAP. Pokiaľ výstupy a výsledky definované v rozhodnutí EK nie sú plne dosiahnuté, aplikovať sa budú príslušné ustanovenia rozhodnutia EK a RO uskutoční platbu prijímateľovi podľa týchto ustanovení.</w:t>
      </w:r>
    </w:p>
    <w:p w14:paraId="0D43963F" w14:textId="77777777" w:rsidR="00B650E5" w:rsidRDefault="00B650E5">
      <w:pPr>
        <w:numPr>
          <w:ilvl w:val="0"/>
          <w:numId w:val="123"/>
        </w:numPr>
        <w:autoSpaceDE w:val="0"/>
        <w:autoSpaceDN w:val="0"/>
        <w:adjustRightInd w:val="0"/>
        <w:spacing w:before="120" w:after="120"/>
        <w:ind w:left="425" w:hanging="425"/>
        <w:jc w:val="both"/>
        <w:rPr>
          <w:color w:val="000000"/>
          <w:lang w:eastAsia="en-US"/>
        </w:rPr>
      </w:pPr>
      <w:r>
        <w:rPr>
          <w:color w:val="000000"/>
          <w:lang w:eastAsia="en-US"/>
        </w:rPr>
        <w:t>Na požiadanie členského štátu sa môže do SAP zahrnúť finančná flexibilita do výšky 10</w:t>
      </w:r>
      <w:r w:rsidR="00C93F30">
        <w:rPr>
          <w:color w:val="000000"/>
          <w:lang w:eastAsia="en-US"/>
        </w:rPr>
        <w:t xml:space="preserve"> </w:t>
      </w:r>
      <w:r>
        <w:rPr>
          <w:color w:val="000000"/>
          <w:lang w:eastAsia="en-US"/>
        </w:rPr>
        <w:t>% medzi alokáciami určenými na jednotlivé výstupy. Bez predchádzajúceho schválenia zmeny zo strany EK nebude možné uplatniť žiadnu flexibilitu, čo sa týka presunov medzi výsledkami a výstupmi, modifikácie čiastkových cieľov a zmien v jednotkových cenách alebo paušálnych sumách.</w:t>
      </w:r>
    </w:p>
    <w:p w14:paraId="74E7B923" w14:textId="77777777" w:rsidR="00B650E5" w:rsidRDefault="00B650E5">
      <w:pPr>
        <w:numPr>
          <w:ilvl w:val="0"/>
          <w:numId w:val="123"/>
        </w:numPr>
        <w:autoSpaceDE w:val="0"/>
        <w:autoSpaceDN w:val="0"/>
        <w:adjustRightInd w:val="0"/>
        <w:spacing w:before="120" w:after="120"/>
        <w:ind w:left="425" w:hanging="425"/>
        <w:jc w:val="both"/>
        <w:rPr>
          <w:color w:val="000000"/>
          <w:lang w:eastAsia="en-US"/>
        </w:rPr>
      </w:pPr>
      <w:r>
        <w:rPr>
          <w:color w:val="000000"/>
          <w:lang w:eastAsia="en-US"/>
        </w:rPr>
        <w:t xml:space="preserve">Výdavky vzťahujúce sa k SAP budú zahrnuté v ŽoP rovnako ako pre všetky iné projekty. </w:t>
      </w:r>
    </w:p>
    <w:p w14:paraId="78B67424" w14:textId="77777777" w:rsidR="00B650E5" w:rsidRDefault="00B650E5">
      <w:pPr>
        <w:numPr>
          <w:ilvl w:val="0"/>
          <w:numId w:val="123"/>
        </w:numPr>
        <w:autoSpaceDE w:val="0"/>
        <w:autoSpaceDN w:val="0"/>
        <w:adjustRightInd w:val="0"/>
        <w:spacing w:before="120" w:after="120"/>
        <w:ind w:left="425" w:hanging="425"/>
        <w:jc w:val="both"/>
        <w:rPr>
          <w:color w:val="000000"/>
          <w:lang w:eastAsia="en-US"/>
        </w:rPr>
      </w:pPr>
      <w:r>
        <w:rPr>
          <w:color w:val="000000"/>
          <w:lang w:eastAsia="en-US"/>
        </w:rPr>
        <w:t>Finančné riadenie, kontrola a audit SAP sa zamerajú výlučne na overenie, či boli splnené podmienky pre platby vymedzené v rozhodnutí, ktorým sa schvaľuje SAP. Prijímateľ a orgány, za ktorých konanie zodpovedá, môžu vo vzťahu k výdavkom SAP uplatňovať vlastné účtovné postupy. Tieto účtovné postupy a výdavky, ktoré prijímateľovi skutočne vznikli, nie sú predmetom auditu vykonávaného OA alebo EK.</w:t>
      </w:r>
    </w:p>
    <w:p w14:paraId="0A926FCF" w14:textId="77777777" w:rsidR="00B650E5" w:rsidRDefault="00B650E5" w:rsidP="0045286B">
      <w:pPr>
        <w:pStyle w:val="SRK4"/>
      </w:pPr>
      <w:bookmarkStart w:id="484" w:name="_Toc453234070"/>
      <w:bookmarkStart w:id="485" w:name="_Toc495649427"/>
      <w:r>
        <w:t>3.4.6.3 Monitorovanie SAP</w:t>
      </w:r>
      <w:bookmarkEnd w:id="484"/>
      <w:bookmarkEnd w:id="485"/>
    </w:p>
    <w:p w14:paraId="2ED80CE0" w14:textId="77777777" w:rsidR="00B650E5" w:rsidRDefault="00B650E5">
      <w:pPr>
        <w:numPr>
          <w:ilvl w:val="0"/>
          <w:numId w:val="125"/>
        </w:numPr>
        <w:autoSpaceDE w:val="0"/>
        <w:autoSpaceDN w:val="0"/>
        <w:adjustRightInd w:val="0"/>
        <w:spacing w:before="120" w:after="120"/>
        <w:ind w:left="425" w:hanging="425"/>
        <w:jc w:val="both"/>
        <w:rPr>
          <w:color w:val="000000"/>
          <w:lang w:eastAsia="en-US"/>
        </w:rPr>
      </w:pPr>
      <w:r>
        <w:rPr>
          <w:color w:val="000000"/>
          <w:lang w:eastAsia="en-US"/>
        </w:rPr>
        <w:t xml:space="preserve">Podľa čl. 108 všeobecného nariadenia členský štát alebo RO zostaví riadiaci výbor pre SAP, ktorý je odlišný od MV príslušných OP. Riadiaci výbor sa schádza najmenej dvakrát ročne a podáva správy RO. RO informuje príslušný MV o výsledkoch prác vykonávaných riadiacim výborom a pokroku realizácie SAP. Riadiaci výbor pozostáva zo zástupcov všetkých RO zúčastnených OP v rozsahu SAP, vrátane relevantných partnerov v závislosti od zamerania SAP. </w:t>
      </w:r>
    </w:p>
    <w:p w14:paraId="3172BB74" w14:textId="77777777" w:rsidR="00B650E5" w:rsidRDefault="00B650E5">
      <w:pPr>
        <w:numPr>
          <w:ilvl w:val="0"/>
          <w:numId w:val="125"/>
        </w:numPr>
        <w:autoSpaceDE w:val="0"/>
        <w:autoSpaceDN w:val="0"/>
        <w:adjustRightInd w:val="0"/>
        <w:spacing w:before="120" w:after="120"/>
        <w:ind w:left="425" w:hanging="425"/>
        <w:jc w:val="both"/>
        <w:rPr>
          <w:color w:val="000000"/>
          <w:lang w:eastAsia="en-US"/>
        </w:rPr>
      </w:pPr>
      <w:r>
        <w:rPr>
          <w:color w:val="000000"/>
          <w:lang w:eastAsia="en-US"/>
        </w:rPr>
        <w:t>Riadiaci výbor vykonáva tieto činnosti:</w:t>
      </w:r>
    </w:p>
    <w:p w14:paraId="198E0EF6" w14:textId="77777777" w:rsidR="00B650E5" w:rsidRDefault="00B650E5">
      <w:pPr>
        <w:numPr>
          <w:ilvl w:val="0"/>
          <w:numId w:val="128"/>
        </w:numPr>
        <w:spacing w:before="120" w:after="120"/>
        <w:ind w:left="850" w:hanging="425"/>
        <w:jc w:val="both"/>
        <w:rPr>
          <w:color w:val="000000"/>
        </w:rPr>
      </w:pPr>
      <w:r>
        <w:rPr>
          <w:color w:val="000000"/>
        </w:rPr>
        <w:t>skúma pokrok dosiahnutý v plnení čiastkových cieľov, výstupov a výsledkov SAP;</w:t>
      </w:r>
    </w:p>
    <w:p w14:paraId="79E0A138" w14:textId="77777777" w:rsidR="00B650E5" w:rsidRDefault="00B650E5">
      <w:pPr>
        <w:numPr>
          <w:ilvl w:val="0"/>
          <w:numId w:val="128"/>
        </w:numPr>
        <w:spacing w:before="120" w:after="120"/>
        <w:ind w:left="850" w:hanging="425"/>
        <w:jc w:val="both"/>
        <w:rPr>
          <w:color w:val="000000"/>
        </w:rPr>
      </w:pPr>
      <w:r>
        <w:rPr>
          <w:color w:val="000000"/>
        </w:rPr>
        <w:t>posudzuje a schvaľuje všetky návrhy na zmenu SAP s cieľom zohľadniť všetky problémy ovplyvňujúce jeho výkonnosť pred ich predložením EK.</w:t>
      </w:r>
    </w:p>
    <w:p w14:paraId="3995E7D7" w14:textId="77777777" w:rsidR="00B650E5" w:rsidRDefault="00B650E5">
      <w:pPr>
        <w:numPr>
          <w:ilvl w:val="0"/>
          <w:numId w:val="125"/>
        </w:numPr>
        <w:autoSpaceDE w:val="0"/>
        <w:autoSpaceDN w:val="0"/>
        <w:adjustRightInd w:val="0"/>
        <w:spacing w:before="120" w:after="120"/>
        <w:ind w:left="425" w:hanging="425"/>
        <w:jc w:val="both"/>
        <w:rPr>
          <w:color w:val="000000"/>
          <w:lang w:eastAsia="en-US"/>
        </w:rPr>
      </w:pPr>
      <w:r>
        <w:rPr>
          <w:color w:val="000000"/>
          <w:lang w:eastAsia="en-US"/>
        </w:rPr>
        <w:t>RO predkladá výsledky preskúmania v dosahovaní pokroku SAP MV každého zúčastneného OP v pravidelných intervaloch, nie však menej ako jeden krát za rok.</w:t>
      </w:r>
    </w:p>
    <w:p w14:paraId="46EBFEBE" w14:textId="77777777" w:rsidR="00B650E5" w:rsidRDefault="00B650E5">
      <w:pPr>
        <w:numPr>
          <w:ilvl w:val="0"/>
          <w:numId w:val="125"/>
        </w:numPr>
        <w:autoSpaceDE w:val="0"/>
        <w:autoSpaceDN w:val="0"/>
        <w:adjustRightInd w:val="0"/>
        <w:spacing w:before="120" w:after="120"/>
        <w:ind w:left="425" w:hanging="425"/>
        <w:jc w:val="both"/>
        <w:rPr>
          <w:color w:val="000000"/>
          <w:lang w:eastAsia="en-US"/>
        </w:rPr>
      </w:pPr>
      <w:r>
        <w:rPr>
          <w:color w:val="000000"/>
          <w:lang w:eastAsia="en-US"/>
        </w:rPr>
        <w:t xml:space="preserve">RO je povinný v rámci monitorovania nastaviť spoľahlivé systémy na zber a uchovávanie dát týkajúcich sa výstupov a výsledkov. Keďže riadenie a kontrola sú zamerané výhradne na údaje o výstupoch a výsledkoch a vzhľadom k tomu, že audit trail bude založený na tomto systéme, akékoľvek zlyhania, ako napr. nedostatok dát (založené na rozhodnutí EK) alebo odlišné interpretácie indikátora môžu viesť k finančným opravám. Presné zadefinovanie mechanizmov monitorovania je nevyhnutné pre uskutočnenie záverečnej platby SAP podľa toho, čo bolo skutočne dosiahnuté. </w:t>
      </w:r>
    </w:p>
    <w:p w14:paraId="66989E7B" w14:textId="77777777" w:rsidR="00B650E5" w:rsidRDefault="00B650E5" w:rsidP="0045286B">
      <w:pPr>
        <w:pStyle w:val="SRK4"/>
      </w:pPr>
      <w:bookmarkStart w:id="486" w:name="_Toc453234071"/>
      <w:bookmarkStart w:id="487" w:name="_Toc495649428"/>
      <w:r>
        <w:t>3.4.6.4 Rozhodovacie a zmenové procedúry</w:t>
      </w:r>
      <w:bookmarkEnd w:id="486"/>
      <w:bookmarkEnd w:id="487"/>
    </w:p>
    <w:p w14:paraId="0804BE43" w14:textId="77777777" w:rsidR="00B650E5" w:rsidRDefault="00B650E5">
      <w:pPr>
        <w:numPr>
          <w:ilvl w:val="0"/>
          <w:numId w:val="126"/>
        </w:numPr>
        <w:autoSpaceDE w:val="0"/>
        <w:autoSpaceDN w:val="0"/>
        <w:adjustRightInd w:val="0"/>
        <w:spacing w:before="120" w:after="120"/>
        <w:ind w:left="425" w:hanging="425"/>
        <w:jc w:val="both"/>
        <w:rPr>
          <w:color w:val="000000"/>
          <w:lang w:eastAsia="en-US"/>
        </w:rPr>
      </w:pPr>
      <w:bookmarkStart w:id="488" w:name="_Toc378947530"/>
      <w:r>
        <w:rPr>
          <w:color w:val="000000"/>
          <w:lang w:eastAsia="en-US"/>
        </w:rPr>
        <w:t xml:space="preserve">EK schváli SAP prostredníctvom vydania vykonávacieho aktu. Zmeny v rámci prvkov, ktoré sú súčasťou vykonávacieho aktu, si vyžadujú vydanie dodatočného rozhodnutia zo strany EK. V </w:t>
      </w:r>
      <w:r>
        <w:rPr>
          <w:color w:val="000000"/>
          <w:lang w:eastAsia="en-US"/>
        </w:rPr>
        <w:lastRenderedPageBreak/>
        <w:t>prípade drobných zmien, ktoré nie sú zahrnuté vo vykonávacom akte, nie je potrebná zmena alebo doplnenie rozhodnutia zo strany EK, čo poskytuje väčšiu flexibilitu pri riadení SAP.</w:t>
      </w:r>
    </w:p>
    <w:p w14:paraId="3903C132" w14:textId="77777777" w:rsidR="00B650E5" w:rsidRDefault="00B650E5">
      <w:pPr>
        <w:numPr>
          <w:ilvl w:val="0"/>
          <w:numId w:val="126"/>
        </w:numPr>
        <w:autoSpaceDE w:val="0"/>
        <w:autoSpaceDN w:val="0"/>
        <w:adjustRightInd w:val="0"/>
        <w:spacing w:before="120" w:after="120"/>
        <w:ind w:left="425" w:hanging="425"/>
        <w:jc w:val="both"/>
        <w:rPr>
          <w:color w:val="000000"/>
          <w:lang w:eastAsia="en-US"/>
        </w:rPr>
      </w:pPr>
      <w:r>
        <w:rPr>
          <w:color w:val="000000"/>
          <w:lang w:eastAsia="en-US"/>
        </w:rPr>
        <w:t xml:space="preserve">Prijímateľ SAP predloží návrh zmeny SAP riadiacemu výboru vrátane súhlasu RO všetkých OP s navrhovanou zmenou. Po schválení zmeny riadiacim výborom subjekt, ktorý bol zodpovedný za predloženie SAP, predloží návrh zmeny SAP prostredníctvom SFC2014 EK na schválenie. </w:t>
      </w:r>
    </w:p>
    <w:p w14:paraId="60175F1F" w14:textId="77777777" w:rsidR="00B650E5" w:rsidRDefault="00B650E5">
      <w:pPr>
        <w:numPr>
          <w:ilvl w:val="0"/>
          <w:numId w:val="126"/>
        </w:numPr>
        <w:autoSpaceDE w:val="0"/>
        <w:autoSpaceDN w:val="0"/>
        <w:adjustRightInd w:val="0"/>
        <w:spacing w:before="120" w:after="120"/>
        <w:ind w:left="425" w:hanging="425"/>
        <w:jc w:val="both"/>
        <w:rPr>
          <w:color w:val="000000"/>
          <w:lang w:eastAsia="en-US"/>
        </w:rPr>
      </w:pPr>
      <w:r>
        <w:rPr>
          <w:color w:val="000000"/>
          <w:lang w:eastAsia="en-US"/>
        </w:rPr>
        <w:t>EK posúdi opodstatnenosť a odôvodnenosť navrhovaných zmien a v termíne do 3 mesiacov od predloženia akceptovateľného návrhu rozhodne o schválení/neschválení žiadosti o zmenu SAP. Ak je zmena schválená, nadobúda účinnosť od dátumu prijatia rozhodnutia, pokiaľ nie je stanovené inak v rozhodnutí.</w:t>
      </w:r>
    </w:p>
    <w:p w14:paraId="7BA91ECC" w14:textId="77777777" w:rsidR="00B650E5" w:rsidRDefault="00B650E5">
      <w:pPr>
        <w:pStyle w:val="SRK3"/>
      </w:pPr>
      <w:bookmarkStart w:id="489" w:name="_Toc453234072"/>
      <w:bookmarkStart w:id="490" w:name="_Toc495649429"/>
      <w:bookmarkEnd w:id="488"/>
      <w:r>
        <w:t>3.4.7 Integrovaný prístup k územnému rozvoju - regionálne integrované územné stratégie a integrované územné stratégie mestskej oblasti</w:t>
      </w:r>
      <w:bookmarkEnd w:id="489"/>
      <w:bookmarkEnd w:id="490"/>
    </w:p>
    <w:p w14:paraId="220F5F9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2D2D17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všeobecného nariadenia</w:t>
      </w:r>
    </w:p>
    <w:p w14:paraId="2CBB73A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36  všeobecného nariadenia</w:t>
      </w:r>
    </w:p>
    <w:p w14:paraId="2E501C2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Nariadenia o EFRR</w:t>
      </w:r>
    </w:p>
    <w:p w14:paraId="5254687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B37AF5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15 zákona o  príspevku z EŠIF</w:t>
      </w:r>
    </w:p>
    <w:p w14:paraId="724D57FE"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IÚI sa budú realizovať prostredníctvom IROP na základe RIÚS a IÚSMO, ktoré predstavujú východiskový strategický dokument pre realizáciu IÚI na regionálnej úrovni, s dopadom na miestnu úroveň. </w:t>
      </w:r>
    </w:p>
    <w:p w14:paraId="1C359380"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Na základe RIÚS a IÚSMO budú v podmienkach SR aplikované IÚI v zmysle                             čl. 36 všeobecného nariadenia a udržateľný mestský rozvoj v zmysle čl. 7 nariadenia o EFRR. </w:t>
      </w:r>
    </w:p>
    <w:p w14:paraId="4E686273"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Podľa PD bude aplikovaných 8 RIÚS na úrovni NUTS 3. V súlade s PD a zákonom o EŠIF zabezpečujú prípravu a implementáciu RIUS samosprávne kraje.</w:t>
      </w:r>
    </w:p>
    <w:p w14:paraId="1595C486"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14:paraId="2DA10DFD"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V súlade s § 15 ods. 1, písm. c) zákona o EŠIF RO pre IROP schvaľuje RIÚS na základe stanoviska rady partnerstva z hľadiska ich súladu s OP.</w:t>
      </w:r>
    </w:p>
    <w:p w14:paraId="16A27D6D"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Model RIÚS predstavuje aplikáciu princípu partnerstva v súlade čl. 5 všeobecného nariadenia.  Nositeľom RIÚS je partnerstvo pre tvorbu a implementáciu RIÚS zložené zo zástupcov regionálnej samosprávy (samosprávne kraje), miestnej samosprávy (mestá a obce), štátnej správy, miestnych 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14:paraId="72B28241"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lastRenderedPageBreak/>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lang w:eastAsia="en-US"/>
          </w:rPr>
          <w:t>kapitole 2.4.3.2, odsek 3</w:t>
        </w:r>
      </w:hyperlink>
      <w:r>
        <w:rPr>
          <w:color w:val="000000"/>
          <w:lang w:eastAsia="en-US"/>
        </w:rPr>
        <w:t xml:space="preserve">. </w:t>
      </w:r>
    </w:p>
    <w:p w14:paraId="453BF8A4"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V súlade s § 15 ods. 2 zákona o EŠIF RO pre IROP koordinuje a vydáva metodické usmernenia, ktoré popisujú jednotný postup prípravy a implementácie RIÚS a IÚSMO. </w:t>
      </w:r>
    </w:p>
    <w:p w14:paraId="28BE7D54"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Pri výbere a implementácii projektov zahrnutých pod RIÚS sa postupuje štandardne podľa príslušných ustanovení Systému riadenia.  </w:t>
      </w:r>
    </w:p>
    <w:p w14:paraId="2EDAB983" w14:textId="77777777" w:rsidR="00B650E5" w:rsidRDefault="00B650E5">
      <w:pPr>
        <w:pStyle w:val="SRK3"/>
      </w:pPr>
      <w:bookmarkStart w:id="491" w:name="_Toc453234073"/>
      <w:bookmarkStart w:id="492" w:name="_Toc495649430"/>
      <w:r>
        <w:t>3.4.8 Finančné nástroje</w:t>
      </w:r>
      <w:bookmarkEnd w:id="491"/>
      <w:bookmarkEnd w:id="492"/>
    </w:p>
    <w:p w14:paraId="180BA0B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112098C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37  - 46  všeobecného nariadenia</w:t>
      </w:r>
    </w:p>
    <w:p w14:paraId="2A926C34" w14:textId="77777777" w:rsidR="00B650E5" w:rsidRDefault="00B650E5">
      <w:pPr>
        <w:numPr>
          <w:ilvl w:val="0"/>
          <w:numId w:val="372"/>
        </w:numPr>
        <w:autoSpaceDE w:val="0"/>
        <w:autoSpaceDN w:val="0"/>
        <w:adjustRightInd w:val="0"/>
        <w:spacing w:before="120" w:after="120"/>
        <w:ind w:left="426" w:hanging="426"/>
        <w:jc w:val="both"/>
        <w:rPr>
          <w:color w:val="000000"/>
          <w:lang w:eastAsia="en-US"/>
        </w:rPr>
      </w:pPr>
      <w:r>
        <w:rPr>
          <w:color w:val="000000"/>
          <w:lang w:eastAsia="en-US"/>
        </w:rPr>
        <w:t xml:space="preserve">Implementáciu finančných nástrojov prostredníctvom Slovenského investičného holdingu, a.s. a Slovenskej záručnej a rozvojovej banky Asset Management, a.s. bude riadiť, koordinovať a kontrolovať Ministerstvo financií Slovenskej republiky, v súlade s úlohami vyplývajúcimi z uznesenia vlády č. 736/2013 z 16. decembra 2013 a podľa osobitného </w:t>
      </w:r>
      <w:r w:rsidRPr="000E286B">
        <w:rPr>
          <w:color w:val="000000"/>
          <w:lang w:eastAsia="en-US"/>
        </w:rPr>
        <w:t xml:space="preserve">Systému riadenia finančných nástrojov financovaných z Kohézneho fondu, Európskeho fondu regionálneho rozvoja a Európskeho sociálneho fondu </w:t>
      </w:r>
      <w:r>
        <w:rPr>
          <w:color w:val="000000"/>
          <w:lang w:eastAsia="en-US"/>
        </w:rPr>
        <w:t xml:space="preserve"> predloženého Ministerstvom financií Slovenskej republiky záväzného pre všetky dotknuté RO.</w:t>
      </w:r>
      <w:r>
        <w:rPr>
          <w:color w:val="000000"/>
          <w:lang w:eastAsia="en-US" w:bidi="he-IL"/>
        </w:rPr>
        <w:t xml:space="preserve">‎ </w:t>
      </w:r>
    </w:p>
    <w:p w14:paraId="4E4DD32B" w14:textId="77777777" w:rsidR="00B650E5" w:rsidRDefault="00B650E5">
      <w:pPr>
        <w:pStyle w:val="SRK2"/>
        <w:rPr>
          <w:rStyle w:val="Nadpis1Char"/>
          <w:sz w:val="36"/>
          <w:szCs w:val="26"/>
        </w:rPr>
      </w:pPr>
      <w:bookmarkStart w:id="493" w:name="_Toc378947531"/>
      <w:bookmarkStart w:id="494" w:name="_Toc453234074"/>
      <w:bookmarkStart w:id="495" w:name="_Toc495649431"/>
      <w:r>
        <w:rPr>
          <w:rStyle w:val="Nadpis1Char"/>
          <w:sz w:val="36"/>
          <w:szCs w:val="26"/>
        </w:rPr>
        <w:t>3.5 Oprávnenosť výdavkov</w:t>
      </w:r>
      <w:bookmarkEnd w:id="493"/>
      <w:bookmarkEnd w:id="494"/>
      <w:bookmarkEnd w:id="495"/>
    </w:p>
    <w:p w14:paraId="1AAAEF0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2AA0307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61,65,67,68,69,70,71 všeobecného nariadenia</w:t>
      </w:r>
    </w:p>
    <w:p w14:paraId="5E71028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 nariadenia o EFRR</w:t>
      </w:r>
    </w:p>
    <w:p w14:paraId="307BBE9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13, 14 nariadenia o ESF</w:t>
      </w:r>
    </w:p>
    <w:p w14:paraId="164B081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18,19,20 nariadenia o EÚS</w:t>
      </w:r>
    </w:p>
    <w:p w14:paraId="57810E8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 nariadenia o ENRF</w:t>
      </w:r>
    </w:p>
    <w:p w14:paraId="0D180EA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30 nariadenia č. 966/2012</w:t>
      </w:r>
    </w:p>
    <w:p w14:paraId="6EF7689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 xml:space="preserve">Relevantná úprava v legislatíve SR: </w:t>
      </w:r>
    </w:p>
    <w:p w14:paraId="247585F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finančnej kontrole </w:t>
      </w:r>
    </w:p>
    <w:p w14:paraId="4BA00A8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účtovníctve </w:t>
      </w:r>
    </w:p>
    <w:p w14:paraId="55BFA0D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rozpočtových pravidlách </w:t>
      </w:r>
    </w:p>
    <w:p w14:paraId="33898DB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zákon o rozpočtových pravidlách územnej samosprávy</w:t>
      </w:r>
    </w:p>
    <w:p w14:paraId="3F0DFE12" w14:textId="77777777" w:rsidR="00B650E5" w:rsidRDefault="00B650E5">
      <w:pPr>
        <w:pStyle w:val="SRK3"/>
      </w:pPr>
      <w:bookmarkStart w:id="496" w:name="_Toc453234075"/>
      <w:bookmarkStart w:id="497" w:name="_Toc495649432"/>
      <w:r>
        <w:t>3.5.1 Všeobecné podmienky oprávnenosti</w:t>
      </w:r>
      <w:bookmarkEnd w:id="496"/>
      <w:bookmarkEnd w:id="497"/>
      <w:r>
        <w:t xml:space="preserve"> </w:t>
      </w:r>
    </w:p>
    <w:p w14:paraId="16D8BD8D"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prípadov, keď sú stanovené osobitné pravidlá vo všeobecnom nariadení alebo pravidiel pre jednotlivé fondy.</w:t>
      </w:r>
    </w:p>
    <w:p w14:paraId="13EC88DE" w14:textId="77777777" w:rsidR="00B650E5" w:rsidRDefault="00B650E5">
      <w:pPr>
        <w:pStyle w:val="Odsekzoznamu"/>
        <w:numPr>
          <w:ilvl w:val="0"/>
          <w:numId w:val="135"/>
        </w:numPr>
        <w:ind w:left="426" w:hanging="426"/>
        <w:jc w:val="both"/>
        <w:rPr>
          <w:color w:val="000000"/>
          <w:lang w:eastAsia="en-US"/>
        </w:rPr>
      </w:pPr>
      <w:r>
        <w:rPr>
          <w:color w:val="000000"/>
          <w:lang w:eastAsia="en-US"/>
        </w:rPr>
        <w:lastRenderedPageBreak/>
        <w:t>Pravidlá, ktorými sú RO povinné sa riadiť pri používaní číselníka oprávnených výdavkov a pravidlá oprávnenosti pre najčastejšie sa vyskytujúce skupiny výdavkov, sú bližšie upravené v metodickom pokyne vydanom CKO</w:t>
      </w:r>
      <w:r>
        <w:rPr>
          <w:rStyle w:val="Odkaznapoznmkupodiarou"/>
          <w:color w:val="000000"/>
          <w:lang w:eastAsia="en-US"/>
        </w:rPr>
        <w:footnoteReference w:id="116"/>
      </w:r>
      <w:r>
        <w:rPr>
          <w:color w:val="000000"/>
          <w:lang w:eastAsia="en-US"/>
        </w:rPr>
        <w:t>.</w:t>
      </w:r>
    </w:p>
    <w:p w14:paraId="744B5A6D"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14:paraId="09D90721"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14:paraId="65F33675"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Výdavky projektu môžu mať charakter bežných výdavkov a kapitálových výdavkov.</w:t>
      </w:r>
    </w:p>
    <w:p w14:paraId="3E7D0C8F" w14:textId="715E24A2"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 prípade využitia zjednodušeného vykazovania výdavkov</w:t>
      </w:r>
      <w:r>
        <w:rPr>
          <w:rStyle w:val="Odkaznapoznmkupodiarou"/>
          <w:color w:val="000000"/>
          <w:lang w:eastAsia="en-US"/>
        </w:rPr>
        <w:footnoteReference w:id="117"/>
      </w:r>
      <w:r>
        <w:rPr>
          <w:color w:val="000000"/>
          <w:lang w:eastAsia="en-US"/>
        </w:rPr>
        <w:t xml:space="preserve"> sa výdavky projektu delia na</w:t>
      </w:r>
      <w:r w:rsidR="008520E6">
        <w:rPr>
          <w:color w:val="000000"/>
          <w:lang w:eastAsia="en-US"/>
        </w:rPr>
        <w:t> </w:t>
      </w:r>
      <w:r>
        <w:rPr>
          <w:color w:val="000000"/>
          <w:lang w:eastAsia="en-US"/>
        </w:rPr>
        <w:t xml:space="preserve">priame a nepriame výdavky; </w:t>
      </w:r>
      <w:r>
        <w:t>vecné vymedzenie nepriamych výdavkov upravuje metodický pokyn vydaný CKO</w:t>
      </w:r>
      <w:r>
        <w:rPr>
          <w:rStyle w:val="Odkaznapoznmkupodiarou"/>
        </w:rPr>
        <w:footnoteReference w:id="118"/>
      </w:r>
      <w:r>
        <w:rPr>
          <w:color w:val="000000"/>
          <w:lang w:eastAsia="en-US"/>
        </w:rPr>
        <w:t xml:space="preserve">. </w:t>
      </w:r>
    </w:p>
    <w:p w14:paraId="5E578C8F" w14:textId="43B05F66"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Priame výdavky sú výdavky na uskutočnenie činností preukázateľne priamo súvisiacich s konkrétnou činnosťou</w:t>
      </w:r>
      <w:r>
        <w:rPr>
          <w:rStyle w:val="Odkaznapoznmkupodiarou"/>
          <w:color w:val="000000"/>
          <w:lang w:eastAsia="en-US"/>
        </w:rPr>
        <w:footnoteReference w:id="119"/>
      </w:r>
      <w:r>
        <w:rPr>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w:t>
      </w:r>
    </w:p>
    <w:p w14:paraId="5FB83625"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Nepriame výdavky majú charakter bežných výdavkov</w:t>
      </w:r>
      <w:r>
        <w:rPr>
          <w:rStyle w:val="Odkaznapoznmkupodiarou"/>
          <w:color w:val="000000"/>
          <w:lang w:eastAsia="en-US"/>
        </w:rPr>
        <w:footnoteReference w:id="120"/>
      </w:r>
      <w:r>
        <w:rPr>
          <w:color w:val="000000"/>
          <w:lang w:eastAsia="en-US"/>
        </w:rPr>
        <w:t xml:space="preserve"> (prevádzková réžia) a slúžia na financovanie podporných aktivít projektu. Nepriame výdavky (režijné výdavky)</w:t>
      </w:r>
      <w:r>
        <w:t xml:space="preserve"> sú také výdavky, ktoré nie sú alebo nemôžu byť prepojené priamo na konkrétnu činnosť projektu. Do takýchto výdavkov by sa zahrnuli aj administratívne výdavky, pri ktorých je ťažké presne určiť sumu, ktorú možno priradiť k danej konkrétnej činnosti. Nepriamymi výdavkami sú najmä výdavky na nájom, vodné a stočné, nákup pohonných hmôt a energie, na telefón, fax, internet, upratovanie, údržbu, nákup spotrebného materiálu, mzdové výdavky obslužných zamestnancov.</w:t>
      </w:r>
      <w:r>
        <w:rPr>
          <w:color w:val="000000"/>
          <w:lang w:eastAsia="en-US"/>
        </w:rPr>
        <w:t xml:space="preserve"> </w:t>
      </w:r>
    </w:p>
    <w:p w14:paraId="39020E5F" w14:textId="77777777" w:rsidR="00B650E5" w:rsidRDefault="00B650E5" w:rsidP="0045286B">
      <w:pPr>
        <w:pStyle w:val="SRK4"/>
      </w:pPr>
      <w:bookmarkStart w:id="498" w:name="_Toc453234076"/>
      <w:bookmarkStart w:id="499" w:name="_Toc495649433"/>
      <w:bookmarkStart w:id="500" w:name="kapitola_3511"/>
      <w:r>
        <w:t>3.5.1.1 Vecná oprávnenosť výdavku</w:t>
      </w:r>
      <w:bookmarkEnd w:id="498"/>
      <w:bookmarkEnd w:id="499"/>
      <w:r>
        <w:t xml:space="preserve"> </w:t>
      </w:r>
    </w:p>
    <w:bookmarkEnd w:id="500"/>
    <w:p w14:paraId="1EEE1FB1"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Z vecného hľadiska musí výdavok spĺňať nasledujúce podmienky</w:t>
      </w:r>
      <w:r>
        <w:rPr>
          <w:color w:val="000000"/>
          <w:vertAlign w:val="superscript"/>
          <w:lang w:eastAsia="en-US"/>
        </w:rPr>
        <w:footnoteReference w:id="121"/>
      </w:r>
      <w:r>
        <w:rPr>
          <w:color w:val="000000"/>
          <w:lang w:eastAsia="en-US"/>
        </w:rPr>
        <w:t>:</w:t>
      </w:r>
    </w:p>
    <w:p w14:paraId="30428039" w14:textId="77777777" w:rsidR="00B650E5" w:rsidRDefault="00B650E5">
      <w:pPr>
        <w:numPr>
          <w:ilvl w:val="0"/>
          <w:numId w:val="137"/>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14:paraId="023DEA05" w14:textId="6048B255" w:rsidR="00B650E5" w:rsidRDefault="00B650E5">
      <w:pPr>
        <w:numPr>
          <w:ilvl w:val="0"/>
          <w:numId w:val="137"/>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de minimis, </w:t>
      </w:r>
      <w:r>
        <w:rPr>
          <w:color w:val="000000"/>
        </w:rPr>
        <w:lastRenderedPageBreak/>
        <w:t xml:space="preserve">príp. schémy štátnej pomoci, ktoré tvoria neoddeliteľnú súčasť výzvy, podmienok zmluvy o NFP, resp. rozhodnutia o schválení ŽoNFP (v prípadoch, ak RO a </w:t>
      </w:r>
      <w:r w:rsidR="00F13EE7">
        <w:rPr>
          <w:color w:val="000000"/>
        </w:rPr>
        <w:t xml:space="preserve">prijímateľom </w:t>
      </w:r>
      <w:r>
        <w:rPr>
          <w:color w:val="000000"/>
        </w:rPr>
        <w:t xml:space="preserve">je tá istá osoba); </w:t>
      </w:r>
    </w:p>
    <w:p w14:paraId="1C477718" w14:textId="77777777" w:rsidR="00B650E5" w:rsidRDefault="00B650E5">
      <w:pPr>
        <w:numPr>
          <w:ilvl w:val="0"/>
          <w:numId w:val="137"/>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14:paraId="7CB08CD0" w14:textId="77777777" w:rsidR="00B650E5" w:rsidRDefault="00B650E5">
      <w:pPr>
        <w:numPr>
          <w:ilvl w:val="0"/>
          <w:numId w:val="137"/>
        </w:numPr>
        <w:spacing w:before="120" w:after="120"/>
        <w:ind w:left="850" w:hanging="425"/>
        <w:jc w:val="both"/>
        <w:rPr>
          <w:color w:val="000000"/>
        </w:rPr>
      </w:pPr>
      <w:r>
        <w:rPr>
          <w:color w:val="000000"/>
        </w:rPr>
        <w:t>výdavok je primeraný</w:t>
      </w:r>
      <w:r>
        <w:rPr>
          <w:rStyle w:val="Odkaznapoznmkupodiarou"/>
          <w:color w:val="000000"/>
        </w:rPr>
        <w:footnoteReference w:id="122"/>
      </w:r>
      <w:r>
        <w:rPr>
          <w:color w:val="000000"/>
        </w:rPr>
        <w:t xml:space="preserve">, </w:t>
      </w:r>
      <w:r w:rsidR="00C93F30">
        <w:rPr>
          <w:color w:val="000000"/>
        </w:rPr>
        <w:t xml:space="preserve">t. j. </w:t>
      </w:r>
      <w:r>
        <w:rPr>
          <w:color w:val="000000"/>
        </w:rPr>
        <w:t xml:space="preserve"> zodpovedá obvyklým cenám v danom mieste a čase a zodpovedá potrebám projektu; </w:t>
      </w:r>
    </w:p>
    <w:p w14:paraId="1C170824" w14:textId="77777777" w:rsidR="00B650E5" w:rsidRDefault="00B650E5">
      <w:pPr>
        <w:numPr>
          <w:ilvl w:val="0"/>
          <w:numId w:val="137"/>
        </w:numPr>
        <w:spacing w:before="120" w:after="120"/>
        <w:ind w:left="850" w:hanging="425"/>
        <w:jc w:val="both"/>
        <w:rPr>
          <w:color w:val="000000"/>
        </w:rPr>
      </w:pPr>
      <w:r>
        <w:rPr>
          <w:color w:val="000000"/>
        </w:rPr>
        <w:t xml:space="preserve">výdavok spĺňa zásady hospodárnosti, efektívnosti,  účelnosti a účinnosti, vrátane </w:t>
      </w:r>
      <w:r>
        <w:t>zásady riadneho finančného hospodárenia podľa čl. 30 nariadenia 966/2012</w:t>
      </w:r>
      <w:r>
        <w:rPr>
          <w:color w:val="000000"/>
        </w:rPr>
        <w:t>;</w:t>
      </w:r>
    </w:p>
    <w:p w14:paraId="3AA01B3B" w14:textId="77777777" w:rsidR="00B650E5" w:rsidRDefault="00B650E5">
      <w:pPr>
        <w:numPr>
          <w:ilvl w:val="0"/>
          <w:numId w:val="137"/>
        </w:numPr>
        <w:spacing w:before="120" w:after="120"/>
        <w:ind w:left="850" w:hanging="425"/>
        <w:jc w:val="both"/>
        <w:rPr>
          <w:color w:val="000000"/>
        </w:rPr>
      </w:pPr>
      <w:r>
        <w:rPr>
          <w:color w:val="000000"/>
        </w:rP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byť uhradené prijímateľom a ich uhradenie musí byť doložené najneskôr pred ich predložením na RO</w:t>
      </w:r>
      <w:r>
        <w:rPr>
          <w:rStyle w:val="Odkaznapoznmkupodiarou"/>
          <w:color w:val="000000"/>
        </w:rPr>
        <w:footnoteReference w:id="123"/>
      </w:r>
      <w:r>
        <w:rPr>
          <w:color w:val="000000"/>
        </w:rPr>
        <w:t xml:space="preserve">  (s výnimkou odpisov a vecných príspevkov).</w:t>
      </w:r>
    </w:p>
    <w:p w14:paraId="2B416B38" w14:textId="77777777" w:rsidR="00B650E5" w:rsidRDefault="00B650E5">
      <w:pPr>
        <w:numPr>
          <w:ilvl w:val="0"/>
          <w:numId w:val="137"/>
        </w:numPr>
        <w:spacing w:before="120" w:after="120"/>
        <w:ind w:left="850" w:hanging="425"/>
        <w:jc w:val="both"/>
        <w:rPr>
          <w:color w:val="000000"/>
        </w:rPr>
      </w:pPr>
      <w:r>
        <w:rPr>
          <w:rFonts w:cs="Arial"/>
        </w:rPr>
        <w:t xml:space="preserve">výdavky súvisiace s preddavkovou platbou spĺňajú podmienky uvedené v písm. a) - e) tohto odseku vrátane časovej a územnej oprávnenosti výdavku, ako aj podmienky uvedené </w:t>
      </w:r>
      <w:hyperlink w:anchor="kapitola_3510" w:history="1">
        <w:r w:rsidRPr="00FB3000">
          <w:rPr>
            <w:rStyle w:val="Hypertextovprepojenie"/>
            <w:rFonts w:cs="Arial"/>
          </w:rPr>
          <w:t>v kapitole 3.5.10</w:t>
        </w:r>
      </w:hyperlink>
      <w:r>
        <w:rPr>
          <w:rFonts w:cs="Arial"/>
        </w:rPr>
        <w:t>.</w:t>
      </w:r>
    </w:p>
    <w:p w14:paraId="07BB1372" w14:textId="146E62BC"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V zmysle čl. 65 ods. 11 všeobecného nariadenia na jeden projekt možno udeliť príspevok z</w:t>
      </w:r>
      <w:r w:rsidR="00FB3000">
        <w:rPr>
          <w:color w:val="000000"/>
          <w:lang w:eastAsia="en-US"/>
        </w:rPr>
        <w:t> </w:t>
      </w:r>
      <w:r>
        <w:rPr>
          <w:color w:val="000000"/>
          <w:lang w:eastAsia="en-US"/>
        </w:rPr>
        <w:t>jedného alebo viacerých EŠIF alebo z jedného alebo viacerých OP a z iných nástrojov EÚ v</w:t>
      </w:r>
      <w:r w:rsidR="00FB3000">
        <w:rPr>
          <w:color w:val="000000"/>
          <w:lang w:eastAsia="en-US"/>
        </w:rPr>
        <w:t> </w:t>
      </w:r>
      <w:r>
        <w:rPr>
          <w:color w:val="000000"/>
          <w:lang w:eastAsia="en-US"/>
        </w:rPr>
        <w:t>prípade, že sa na výdavkovú položku zahrnutú do ŽoP jedným z EŠIF neposkytla podpora z</w:t>
      </w:r>
      <w:r w:rsidR="00FB3000">
        <w:rPr>
          <w:color w:val="000000"/>
          <w:lang w:eastAsia="en-US"/>
        </w:rPr>
        <w:t> </w:t>
      </w:r>
      <w:r>
        <w:rPr>
          <w:color w:val="000000"/>
          <w:lang w:eastAsia="en-US"/>
        </w:rPr>
        <w:t>iného fondu alebo nástroja EÚ, ani podpora z rovnakého fondu v rámci iného OP.</w:t>
      </w:r>
    </w:p>
    <w:p w14:paraId="2EE5B68F" w14:textId="77777777" w:rsidR="00B650E5" w:rsidRDefault="00B650E5" w:rsidP="0045286B">
      <w:pPr>
        <w:pStyle w:val="SRK4"/>
      </w:pPr>
      <w:bookmarkStart w:id="501" w:name="_Toc453234077"/>
      <w:bookmarkStart w:id="502" w:name="_Toc495649434"/>
      <w:r>
        <w:t>3.5.1.2 Časová oprávnenosť výdavku</w:t>
      </w:r>
      <w:bookmarkEnd w:id="501"/>
      <w:bookmarkEnd w:id="502"/>
      <w:r>
        <w:t xml:space="preserve"> </w:t>
      </w:r>
    </w:p>
    <w:p w14:paraId="3D9963FE"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14:paraId="409DCB29" w14:textId="69CE88E8" w:rsidR="00B650E5" w:rsidRDefault="00B650E5" w:rsidP="00997CB0">
      <w:pPr>
        <w:numPr>
          <w:ilvl w:val="0"/>
          <w:numId w:val="138"/>
        </w:numPr>
        <w:autoSpaceDE w:val="0"/>
        <w:autoSpaceDN w:val="0"/>
        <w:adjustRightInd w:val="0"/>
        <w:spacing w:before="120" w:after="120"/>
        <w:ind w:left="426" w:hanging="426"/>
        <w:jc w:val="both"/>
        <w:rPr>
          <w:color w:val="000000"/>
          <w:lang w:eastAsia="en-US"/>
        </w:rPr>
      </w:pPr>
      <w:r>
        <w:rPr>
          <w:color w:val="000000"/>
          <w:lang w:eastAsia="en-US"/>
        </w:rPr>
        <w:t xml:space="preserve">Podpora z EŠIF sa neudelí na projekty, ktoré boli fyzicky ukončené alebo </w:t>
      </w:r>
      <w:r w:rsidR="004C5010">
        <w:rPr>
          <w:color w:val="000000"/>
          <w:lang w:eastAsia="en-US"/>
        </w:rPr>
        <w:t xml:space="preserve">sa </w:t>
      </w:r>
      <w:r>
        <w:rPr>
          <w:color w:val="000000"/>
          <w:lang w:eastAsia="en-US"/>
        </w:rPr>
        <w:t>plne realizovali ešte pred predložením ŽoNFP prijímateľom v rámci OP bez ohľadu na to, či prijímateľ uhradil všetky súvisiace platby. RO môžu určiť užšie kritériá pre počiatočný a konečný dátum časovej oprávnenosti (tzn. dátum začiatku a konca oprávnenosti výdavkov môže byť stanovený v rozmedzí vyššie uvedeného časového obdobia stanoveného platnou legislatívou EÚ). V prípade, ak RO umožní realizáciu projektu pred predložením ŽoNFP, predbežne posúdi v rámci konania o ŽoNFP, na základe popisu vzniknutých výdavkov v ŽoNFP, ich oprávnenosť.</w:t>
      </w:r>
      <w:r w:rsidR="00F87211">
        <w:rPr>
          <w:color w:val="000000"/>
          <w:lang w:eastAsia="en-US"/>
        </w:rPr>
        <w:t xml:space="preserve"> </w:t>
      </w:r>
      <w:r w:rsidR="00F87211" w:rsidRPr="00F87211">
        <w:rPr>
          <w:color w:val="000000"/>
          <w:lang w:eastAsia="en-US"/>
        </w:rPr>
        <w:t>Uvedené sa netýka poskytovania podpory z EŠIF v súlade s pravidlami štátnej pomoci alebo minimálnej pomoci. V tomto prípade sa postupuje v súlade s legislatívou EÚ v</w:t>
      </w:r>
      <w:r w:rsidR="00F87211">
        <w:rPr>
          <w:color w:val="000000"/>
          <w:lang w:eastAsia="en-US"/>
        </w:rPr>
        <w:t> </w:t>
      </w:r>
      <w:r w:rsidR="00F87211" w:rsidRPr="00F87211">
        <w:rPr>
          <w:color w:val="000000"/>
          <w:lang w:eastAsia="en-US"/>
        </w:rPr>
        <w:t>oblasti štátnej pomoci a minimálnej pomoci.</w:t>
      </w:r>
    </w:p>
    <w:p w14:paraId="0087AD1B"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lastRenderedPageBreak/>
        <w:t>V prípade preplatenia výdavkov na základe čl. 67 ods. 1 písm. b) a c) všeobecného nariadenia sa opatrenia predstavujúce základ pre úhradu výdavkov vykonajú medzi 1. januárom 2014 a 31. decembrom 2023.</w:t>
      </w:r>
      <w:r>
        <w:t xml:space="preserve"> </w:t>
      </w:r>
    </w:p>
    <w:p w14:paraId="700883AD" w14:textId="1522E540"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 xml:space="preserve">V súlade s čl. 65 ods. 9 všeobecného nariadenia v prípade zmeny a doplnenia OP sú výdavky, ktoré sa stanú oprávnenými z dôvodu zmeny a doplnenia OP, oprávnené len odo dňa predloženia žiadosti o zmenu a doplnenie EK. </w:t>
      </w:r>
    </w:p>
    <w:p w14:paraId="11B07DC3" w14:textId="77777777" w:rsidR="00B650E5" w:rsidRDefault="00B650E5" w:rsidP="0045286B">
      <w:pPr>
        <w:pStyle w:val="SRK4"/>
      </w:pPr>
      <w:bookmarkStart w:id="503" w:name="_Toc453234078"/>
      <w:bookmarkStart w:id="504" w:name="_Toc495649435"/>
      <w:r>
        <w:t>3.5.1.3 Územná oprávnenosť výdavku</w:t>
      </w:r>
      <w:bookmarkEnd w:id="503"/>
      <w:bookmarkEnd w:id="504"/>
      <w:r>
        <w:t xml:space="preserve"> </w:t>
      </w:r>
    </w:p>
    <w:p w14:paraId="3AD54EDF"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Z hľadiska územnej oprávnenosti platí, že oprávnený výdavok je realizovaný na oprávnenom území, </w:t>
      </w:r>
      <w:r w:rsidR="00C93F30">
        <w:rPr>
          <w:color w:val="000000"/>
          <w:lang w:eastAsia="en-US"/>
        </w:rPr>
        <w:t xml:space="preserve">t. j. </w:t>
      </w:r>
      <w:r>
        <w:rPr>
          <w:color w:val="000000"/>
          <w:lang w:eastAsia="en-US"/>
        </w:rPr>
        <w:t xml:space="preserve">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 ohľadom na povahu a cieľ projektu. Všeobecne platí, že výdavok má mať väzbu na podporovaný región/územie, ktorý musí mať z realizácie projektu preukázateľný úplný alebo prevažujúci prospech. </w:t>
      </w:r>
    </w:p>
    <w:p w14:paraId="243FA139"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zmysle čl. 70 všeobecného nariadenia však RO môže schváliť realizáciu projektu mimo oblasti OP, ale v rámci EÚ, ak sú splnené všetky tieto podmienky:</w:t>
      </w:r>
    </w:p>
    <w:p w14:paraId="3818C3E0" w14:textId="77777777" w:rsidR="00B650E5" w:rsidRDefault="00B650E5">
      <w:pPr>
        <w:numPr>
          <w:ilvl w:val="0"/>
          <w:numId w:val="140"/>
        </w:numPr>
        <w:spacing w:before="120" w:after="120"/>
        <w:ind w:left="850" w:hanging="425"/>
        <w:jc w:val="both"/>
        <w:rPr>
          <w:color w:val="000000"/>
        </w:rPr>
      </w:pPr>
      <w:r>
        <w:rPr>
          <w:color w:val="000000"/>
        </w:rPr>
        <w:t>projekt je v prospech oblasti OP,</w:t>
      </w:r>
    </w:p>
    <w:p w14:paraId="291F3CBF" w14:textId="77777777" w:rsidR="00B650E5" w:rsidRDefault="00B650E5">
      <w:pPr>
        <w:numPr>
          <w:ilvl w:val="0"/>
          <w:numId w:val="140"/>
        </w:numPr>
        <w:spacing w:before="120" w:after="120"/>
        <w:ind w:left="850" w:hanging="425"/>
        <w:jc w:val="both"/>
        <w:rPr>
          <w:color w:val="000000"/>
        </w:rPr>
      </w:pPr>
      <w:r>
        <w:rPr>
          <w:color w:val="000000"/>
        </w:rPr>
        <w:t>MV schválil projekt alebo príslušné druhy projektov,</w:t>
      </w:r>
    </w:p>
    <w:p w14:paraId="2E6A3318" w14:textId="77777777" w:rsidR="00B650E5" w:rsidRDefault="00B650E5">
      <w:pPr>
        <w:numPr>
          <w:ilvl w:val="0"/>
          <w:numId w:val="140"/>
        </w:numPr>
        <w:spacing w:before="120" w:after="120"/>
        <w:ind w:left="850" w:hanging="425"/>
        <w:jc w:val="both"/>
        <w:rPr>
          <w:color w:val="000000"/>
        </w:rPr>
      </w:pPr>
      <w:r>
        <w:rPr>
          <w:color w:val="000000"/>
        </w:rPr>
        <w:t xml:space="preserve">celková suma pridelená v rámci OP na projekty umiestnené mimo oblasti OP nepresahuje </w:t>
      </w:r>
      <w:r w:rsidR="00C93F30">
        <w:rPr>
          <w:color w:val="000000"/>
        </w:rPr>
        <w:t xml:space="preserve">         </w:t>
      </w:r>
      <w:r>
        <w:rPr>
          <w:color w:val="000000"/>
        </w:rPr>
        <w:t>15</w:t>
      </w:r>
      <w:r w:rsidR="00C93F30">
        <w:rPr>
          <w:color w:val="000000"/>
        </w:rPr>
        <w:t xml:space="preserve"> </w:t>
      </w:r>
      <w:r>
        <w:rPr>
          <w:color w:val="000000"/>
        </w:rPr>
        <w:t>% podpory poskytnutej z EFRR, KF a ENRF na úrovni priority,</w:t>
      </w:r>
    </w:p>
    <w:p w14:paraId="3B36F30A" w14:textId="77777777" w:rsidR="00B650E5" w:rsidRDefault="00B650E5">
      <w:pPr>
        <w:numPr>
          <w:ilvl w:val="0"/>
          <w:numId w:val="140"/>
        </w:numPr>
        <w:spacing w:before="120" w:after="120"/>
        <w:ind w:left="850" w:hanging="425"/>
        <w:jc w:val="both"/>
        <w:rPr>
          <w:color w:val="000000"/>
        </w:rPr>
      </w:pPr>
      <w:r>
        <w:rPr>
          <w:color w:val="000000"/>
        </w:rPr>
        <w:t>povinnosti orgánov zodpovedných za OP súvisiace s riadením, kontrolou a auditom týkajúce sa projektu plnia orgány zodpovedné za OP, v rámci ktorého je na daný projekt poskytnutá podpora, alebo uzatvoria dohody s orgánmi v oblasti, v ktorej sa projekt realizuje.</w:t>
      </w:r>
    </w:p>
    <w:p w14:paraId="46169FDF"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V prípade projektov týkajúcich sa technickej pomoci a propagačných aktivít môžu výdavky vzniknúť mimo EÚ za predpokladu, že projekt je v prospech oblasti daného OP a povinnosti orgánov zodpovedných za OP súvisiace s riadením, kontrolou a auditom týkajúce sa projektu sú dodržané orgánmi zodpovednými za OP, v rámci ktorého je na daný projekt poskytnutá podpora, alebo uzatvoria dohody s orgánmi v oblasti, v ktorej sa projekt vykonáva. </w:t>
      </w:r>
    </w:p>
    <w:p w14:paraId="6D0014A9"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Vyššie uvedené výnimky sa nevzťahujú na programy EÚS a na projekty, na ktoré je vyčlenená podpora z ESF. Pre tieto programy/projekty platia osobitné podmienky uvedené v nariadení o ESF (čl. 13, odsek 2, písm. b) a EÚS (čl. 20, odsek 2 a 3).</w:t>
      </w:r>
    </w:p>
    <w:p w14:paraId="372591C1"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Podľa čl. 13 nariadenia o ESF, tento fond môže podporiť výdavky vynaložené na projekty, ktoré sa vykonávajú mimo oprávnenej oblasti OP, no v rámci EÚ za predpokladu, že sú splnené tieto dve podmienky:</w:t>
      </w:r>
    </w:p>
    <w:p w14:paraId="3755646B" w14:textId="77777777" w:rsidR="00B650E5" w:rsidRDefault="00B650E5">
      <w:pPr>
        <w:numPr>
          <w:ilvl w:val="0"/>
          <w:numId w:val="141"/>
        </w:numPr>
        <w:spacing w:before="120" w:after="120"/>
        <w:ind w:left="850" w:hanging="425"/>
        <w:jc w:val="both"/>
        <w:rPr>
          <w:color w:val="000000"/>
        </w:rPr>
      </w:pPr>
      <w:r>
        <w:rPr>
          <w:color w:val="000000"/>
        </w:rPr>
        <w:t>príslušný projekt je prínosom pre programovú oblasť;</w:t>
      </w:r>
    </w:p>
    <w:p w14:paraId="61FA2566" w14:textId="77777777" w:rsidR="00B650E5" w:rsidRDefault="00B650E5">
      <w:pPr>
        <w:numPr>
          <w:ilvl w:val="0"/>
          <w:numId w:val="141"/>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14:paraId="5479B3AA"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color w:val="000000"/>
          <w:lang w:eastAsia="en-US"/>
        </w:rPr>
        <w:t xml:space="preserve"> pozdĺž všetkých vnútorných a vonkajších </w:t>
      </w:r>
      <w:r>
        <w:rPr>
          <w:color w:val="000000"/>
          <w:lang w:eastAsia="en-US"/>
        </w:rPr>
        <w:lastRenderedPageBreak/>
        <w:t>pozemných hraníc okrem regiónov, na ktoré sa vzťahujú OP v rámci vonkajších finančných nástrojov EÚ.</w:t>
      </w:r>
    </w:p>
    <w:p w14:paraId="5BEE5307"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14:paraId="60F41E50" w14:textId="77777777" w:rsidR="00B650E5" w:rsidRDefault="00B650E5">
      <w:pPr>
        <w:numPr>
          <w:ilvl w:val="0"/>
          <w:numId w:val="142"/>
        </w:numPr>
        <w:spacing w:before="120" w:after="120"/>
        <w:ind w:left="850" w:hanging="425"/>
        <w:jc w:val="both"/>
        <w:rPr>
          <w:color w:val="000000"/>
        </w:rPr>
      </w:pPr>
      <w:r>
        <w:rPr>
          <w:color w:val="000000"/>
        </w:rPr>
        <w:t>projekt je na prospech celej programovej oblasti;</w:t>
      </w:r>
    </w:p>
    <w:p w14:paraId="103BDD0D" w14:textId="77777777" w:rsidR="00B650E5" w:rsidRDefault="00B650E5">
      <w:pPr>
        <w:numPr>
          <w:ilvl w:val="0"/>
          <w:numId w:val="142"/>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w:t>
      </w:r>
      <w:r w:rsidR="00C93F30">
        <w:rPr>
          <w:color w:val="000000"/>
        </w:rPr>
        <w:t xml:space="preserve"> </w:t>
      </w:r>
      <w:r>
        <w:rPr>
          <w:color w:val="000000"/>
        </w:rPr>
        <w:t>% pomoci z EFRR na úrovni programu alebo 30</w:t>
      </w:r>
      <w:r w:rsidR="00C93F30">
        <w:rPr>
          <w:color w:val="000000"/>
        </w:rPr>
        <w:t xml:space="preserve"> </w:t>
      </w:r>
      <w:r>
        <w:rPr>
          <w:color w:val="000000"/>
        </w:rPr>
        <w:t>% v prípade programov spolupráce, kde časť programu na území EÚ tvoria najodľahlejšie regióny;</w:t>
      </w:r>
    </w:p>
    <w:p w14:paraId="639BE41B" w14:textId="77777777" w:rsidR="00B650E5" w:rsidRDefault="00B650E5">
      <w:pPr>
        <w:numPr>
          <w:ilvl w:val="0"/>
          <w:numId w:val="142"/>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 tretej krajine alebo na území, kde sa vykonáva projekt.</w:t>
      </w:r>
    </w:p>
    <w:p w14:paraId="6E8ADC56"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Pokiaľ ide o projekty týkajúce sa činností v oblasti technickej pomoci alebo propagácie a budovania kapacít, výdavky môžu vzniknúť mimo časti programovej oblasti na území EÚ za predpokladu, že projekt je na prospech celej programovej oblasti a povinnosti RO a OA vo vzťahu k riadeniu, kontrole a auditu projektu vykonávajú orgány pre program spolupráce, alebo tieto orgány uzavrú dohody s orgánmi v členskom štáte alebo v tretej krajine alebo na území, kde sa vykonáva projekt.</w:t>
      </w:r>
    </w:p>
    <w:p w14:paraId="6033CB19" w14:textId="77777777" w:rsidR="00B650E5" w:rsidRDefault="00B650E5">
      <w:pPr>
        <w:pStyle w:val="SRK3"/>
      </w:pPr>
      <w:bookmarkStart w:id="505" w:name="_Toc453234079"/>
      <w:bookmarkStart w:id="506" w:name="_Toc495649436"/>
      <w:r>
        <w:t>3.5.2 Neoprávnené výdavky</w:t>
      </w:r>
      <w:bookmarkEnd w:id="505"/>
      <w:bookmarkEnd w:id="506"/>
      <w:r>
        <w:t xml:space="preserve"> </w:t>
      </w:r>
    </w:p>
    <w:p w14:paraId="3E0361AA"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69 všeobecného nariadenia, na príspevok z EŠIF nie sú oprávnené tieto výdavky:</w:t>
      </w:r>
    </w:p>
    <w:p w14:paraId="22C67999" w14:textId="77777777" w:rsidR="00B650E5" w:rsidRDefault="00B650E5">
      <w:pPr>
        <w:numPr>
          <w:ilvl w:val="0"/>
          <w:numId w:val="144"/>
        </w:numPr>
        <w:spacing w:before="120" w:after="120"/>
        <w:ind w:left="851" w:hanging="425"/>
        <w:jc w:val="both"/>
        <w:rPr>
          <w:color w:val="000000"/>
        </w:rPr>
      </w:pPr>
      <w:r>
        <w:rPr>
          <w:color w:val="000000"/>
        </w:rPr>
        <w:t>úroky z dlžných súm okrem grantov poskytnutých vo forme úrokových dotácií alebo dotácií záručných poplatkov;</w:t>
      </w:r>
    </w:p>
    <w:p w14:paraId="333396F5" w14:textId="77777777" w:rsidR="00B650E5" w:rsidRDefault="00B650E5">
      <w:pPr>
        <w:numPr>
          <w:ilvl w:val="0"/>
          <w:numId w:val="144"/>
        </w:numPr>
        <w:spacing w:before="120" w:after="120"/>
        <w:ind w:left="850" w:hanging="425"/>
        <w:jc w:val="both"/>
        <w:rPr>
          <w:color w:val="000000"/>
        </w:rPr>
      </w:pPr>
      <w:r>
        <w:rPr>
          <w:color w:val="000000"/>
        </w:rPr>
        <w:t>kúpa nezastavaného a zastavaného pozemku vo výške presahujúcej 10</w:t>
      </w:r>
      <w:r w:rsidR="00C93F30">
        <w:rPr>
          <w:color w:val="000000"/>
        </w:rPr>
        <w:t xml:space="preserve"> </w:t>
      </w:r>
      <w:r>
        <w:rPr>
          <w:color w:val="000000"/>
        </w:rPr>
        <w:t>%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projekty týkajúce sa ochrany životného prostredia povoliť vyššiu uvedenú percentuálnu sadzbu;</w:t>
      </w:r>
    </w:p>
    <w:p w14:paraId="5D330D91" w14:textId="77777777" w:rsidR="00B650E5" w:rsidRDefault="00B650E5">
      <w:pPr>
        <w:numPr>
          <w:ilvl w:val="0"/>
          <w:numId w:val="144"/>
        </w:numPr>
        <w:spacing w:before="120" w:after="120"/>
        <w:ind w:left="850" w:hanging="425"/>
        <w:jc w:val="both"/>
        <w:rPr>
          <w:color w:val="000000"/>
        </w:rPr>
      </w:pPr>
      <w:r>
        <w:rPr>
          <w:color w:val="000000"/>
        </w:rPr>
        <w:t xml:space="preserve">DPH okrem prípadov, kedy nie je možné nárokovať jej odpočet podľa platnej legislatívy členského štátu. </w:t>
      </w:r>
    </w:p>
    <w:p w14:paraId="0A9C6858"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3 nariadenia o EFRR sa nepodporuje</w:t>
      </w:r>
    </w:p>
    <w:p w14:paraId="2D5BA454" w14:textId="77777777" w:rsidR="00B650E5" w:rsidRDefault="00B650E5">
      <w:pPr>
        <w:numPr>
          <w:ilvl w:val="0"/>
          <w:numId w:val="145"/>
        </w:numPr>
        <w:spacing w:before="120" w:after="120"/>
        <w:ind w:left="850" w:hanging="425"/>
        <w:jc w:val="both"/>
        <w:rPr>
          <w:color w:val="000000"/>
        </w:rPr>
      </w:pPr>
      <w:r>
        <w:rPr>
          <w:color w:val="000000"/>
        </w:rPr>
        <w:t>odstavenie alebo výstavba jadrových elektrární;</w:t>
      </w:r>
    </w:p>
    <w:p w14:paraId="2FBBF260" w14:textId="77777777" w:rsidR="00B650E5" w:rsidRDefault="00B650E5">
      <w:pPr>
        <w:numPr>
          <w:ilvl w:val="0"/>
          <w:numId w:val="145"/>
        </w:numPr>
        <w:spacing w:before="120" w:after="120"/>
        <w:ind w:left="850" w:hanging="425"/>
        <w:jc w:val="both"/>
        <w:rPr>
          <w:color w:val="000000"/>
        </w:rPr>
      </w:pPr>
      <w:r>
        <w:rPr>
          <w:color w:val="000000"/>
        </w:rPr>
        <w:t>investície, ktorých cieľom je zníženie emisií skleníkových plynov z činností uvedených v prílohe 1 k smernici 2003/87/ES ;</w:t>
      </w:r>
    </w:p>
    <w:p w14:paraId="584E07C4" w14:textId="77777777" w:rsidR="00B650E5" w:rsidRDefault="00B650E5">
      <w:pPr>
        <w:numPr>
          <w:ilvl w:val="0"/>
          <w:numId w:val="145"/>
        </w:numPr>
        <w:spacing w:before="120" w:after="120"/>
        <w:ind w:left="850" w:hanging="425"/>
        <w:jc w:val="both"/>
        <w:rPr>
          <w:color w:val="000000"/>
        </w:rPr>
      </w:pPr>
      <w:r>
        <w:rPr>
          <w:color w:val="000000"/>
        </w:rPr>
        <w:t>výroba, spracovanie a uvádzanie tabaku a tabakových výrobkov na trh;</w:t>
      </w:r>
    </w:p>
    <w:p w14:paraId="448CE190" w14:textId="77777777" w:rsidR="00B650E5" w:rsidRDefault="00B650E5">
      <w:pPr>
        <w:numPr>
          <w:ilvl w:val="0"/>
          <w:numId w:val="145"/>
        </w:numPr>
        <w:spacing w:before="120" w:after="120"/>
        <w:ind w:left="850" w:hanging="425"/>
        <w:jc w:val="both"/>
        <w:rPr>
          <w:color w:val="000000"/>
        </w:rPr>
      </w:pPr>
      <w:r>
        <w:rPr>
          <w:color w:val="000000"/>
        </w:rPr>
        <w:t>podniky v ťažkostiach vymedzené v právnych predpisoch EÚ o štátnej pomoci;</w:t>
      </w:r>
    </w:p>
    <w:p w14:paraId="6BB638B6" w14:textId="77777777" w:rsidR="00B650E5" w:rsidRDefault="00B650E5">
      <w:pPr>
        <w:numPr>
          <w:ilvl w:val="0"/>
          <w:numId w:val="145"/>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14:paraId="48AA916E"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13 nariadenia o ESF, medzi neoprávnené výdavky patrí nákup</w:t>
      </w:r>
    </w:p>
    <w:p w14:paraId="529A17C7" w14:textId="77777777" w:rsidR="00B650E5" w:rsidRDefault="00B650E5">
      <w:pPr>
        <w:numPr>
          <w:ilvl w:val="0"/>
          <w:numId w:val="146"/>
        </w:numPr>
        <w:spacing w:before="120" w:after="120"/>
        <w:ind w:left="850" w:hanging="425"/>
        <w:jc w:val="both"/>
        <w:rPr>
          <w:color w:val="000000"/>
        </w:rPr>
      </w:pPr>
      <w:r>
        <w:rPr>
          <w:color w:val="000000"/>
        </w:rPr>
        <w:lastRenderedPageBreak/>
        <w:t xml:space="preserve">infraštruktúry; </w:t>
      </w:r>
    </w:p>
    <w:p w14:paraId="7C8F1FEE" w14:textId="77777777" w:rsidR="00B650E5" w:rsidRDefault="00B650E5">
      <w:pPr>
        <w:numPr>
          <w:ilvl w:val="0"/>
          <w:numId w:val="146"/>
        </w:numPr>
        <w:spacing w:before="120" w:after="120"/>
        <w:ind w:left="850" w:hanging="425"/>
        <w:jc w:val="both"/>
        <w:rPr>
          <w:color w:val="000000"/>
        </w:rPr>
      </w:pPr>
      <w:r>
        <w:rPr>
          <w:color w:val="000000"/>
        </w:rPr>
        <w:t>pozemku;</w:t>
      </w:r>
    </w:p>
    <w:p w14:paraId="19C8EA38" w14:textId="77777777" w:rsidR="00B650E5" w:rsidRDefault="00B650E5">
      <w:pPr>
        <w:numPr>
          <w:ilvl w:val="0"/>
          <w:numId w:val="146"/>
        </w:numPr>
        <w:spacing w:before="120" w:after="120"/>
        <w:ind w:left="850" w:hanging="425"/>
        <w:jc w:val="both"/>
        <w:rPr>
          <w:color w:val="000000"/>
        </w:rPr>
      </w:pPr>
      <w:r>
        <w:rPr>
          <w:color w:val="000000"/>
        </w:rPr>
        <w:t>nehnuteľnosti.</w:t>
      </w:r>
    </w:p>
    <w:p w14:paraId="4BCE2A74"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11 nariadenia o ENRF sú neoprávnenými projektmi</w:t>
      </w:r>
    </w:p>
    <w:p w14:paraId="3F3F8240" w14:textId="77777777" w:rsidR="00B650E5" w:rsidRDefault="00B650E5">
      <w:pPr>
        <w:numPr>
          <w:ilvl w:val="0"/>
          <w:numId w:val="147"/>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14:paraId="0274B07D" w14:textId="77777777" w:rsidR="00B650E5" w:rsidRDefault="00B650E5">
      <w:pPr>
        <w:numPr>
          <w:ilvl w:val="0"/>
          <w:numId w:val="147"/>
        </w:numPr>
        <w:spacing w:before="120" w:after="120"/>
        <w:ind w:left="850" w:hanging="425"/>
        <w:jc w:val="both"/>
        <w:rPr>
          <w:color w:val="000000"/>
        </w:rPr>
      </w:pPr>
      <w:r>
        <w:rPr>
          <w:color w:val="000000"/>
        </w:rPr>
        <w:t>stavba nových rybárskych plavidiel alebo dovoz rybárskych plavidiel;</w:t>
      </w:r>
    </w:p>
    <w:p w14:paraId="51A359B7" w14:textId="77777777" w:rsidR="00B650E5" w:rsidRDefault="00B650E5">
      <w:pPr>
        <w:numPr>
          <w:ilvl w:val="0"/>
          <w:numId w:val="147"/>
        </w:numPr>
        <w:spacing w:before="120" w:after="120"/>
        <w:ind w:left="850" w:hanging="425"/>
        <w:jc w:val="both"/>
        <w:rPr>
          <w:color w:val="000000"/>
        </w:rPr>
      </w:pPr>
      <w:r>
        <w:rPr>
          <w:color w:val="000000"/>
        </w:rPr>
        <w:t>dočasné alebo trvalé zastavenie rybolovných, ak nie je v nariadení o ENRF uvedené inak;</w:t>
      </w:r>
    </w:p>
    <w:p w14:paraId="02B5A511" w14:textId="77777777" w:rsidR="00B650E5" w:rsidRDefault="00B650E5">
      <w:pPr>
        <w:numPr>
          <w:ilvl w:val="0"/>
          <w:numId w:val="147"/>
        </w:numPr>
        <w:spacing w:before="120" w:after="120"/>
        <w:ind w:left="850" w:hanging="425"/>
        <w:jc w:val="both"/>
        <w:rPr>
          <w:color w:val="000000"/>
        </w:rPr>
      </w:pPr>
      <w:r>
        <w:rPr>
          <w:color w:val="000000"/>
        </w:rPr>
        <w:t>prieskumný rybolov;</w:t>
      </w:r>
    </w:p>
    <w:p w14:paraId="0D8A30A8" w14:textId="77777777" w:rsidR="00B650E5" w:rsidRDefault="00B650E5">
      <w:pPr>
        <w:numPr>
          <w:ilvl w:val="0"/>
          <w:numId w:val="147"/>
        </w:numPr>
        <w:spacing w:before="120" w:after="120"/>
        <w:ind w:left="850" w:hanging="425"/>
        <w:jc w:val="both"/>
        <w:rPr>
          <w:color w:val="000000"/>
        </w:rPr>
      </w:pPr>
      <w:r>
        <w:rPr>
          <w:color w:val="000000"/>
        </w:rPr>
        <w:t>prevod vlastníctva podniku;</w:t>
      </w:r>
    </w:p>
    <w:p w14:paraId="09794859" w14:textId="77777777" w:rsidR="00B650E5" w:rsidRDefault="00B650E5">
      <w:pPr>
        <w:numPr>
          <w:ilvl w:val="0"/>
          <w:numId w:val="147"/>
        </w:numPr>
        <w:spacing w:before="120" w:after="120"/>
        <w:ind w:left="850" w:hanging="425"/>
        <w:jc w:val="both"/>
        <w:rPr>
          <w:color w:val="000000"/>
        </w:rPr>
      </w:pPr>
      <w:r>
        <w:rPr>
          <w:color w:val="000000"/>
        </w:rPr>
        <w:t>priame opätovné zarybňovanie, pokiaľ sa výslovne neustanovuje ako ochranné opatrenie v právnom akte EÚ alebo pokiaľ nejde o experimentálne opätovné zarybňovanie.</w:t>
      </w:r>
    </w:p>
    <w:p w14:paraId="0CD92200"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2 nariadenia o KF neoprávnenými výdavkami pre tento fond sú výdavky na:</w:t>
      </w:r>
    </w:p>
    <w:p w14:paraId="00FA1F2A" w14:textId="77777777" w:rsidR="00B650E5" w:rsidRDefault="00B650E5">
      <w:pPr>
        <w:numPr>
          <w:ilvl w:val="0"/>
          <w:numId w:val="148"/>
        </w:numPr>
        <w:spacing w:before="120" w:after="120"/>
        <w:ind w:left="850" w:hanging="425"/>
        <w:jc w:val="both"/>
        <w:rPr>
          <w:color w:val="000000"/>
        </w:rPr>
      </w:pPr>
      <w:r>
        <w:rPr>
          <w:color w:val="000000"/>
        </w:rPr>
        <w:t>odstavenie a výstavbu jadrových elektrární;</w:t>
      </w:r>
    </w:p>
    <w:p w14:paraId="168A3479" w14:textId="77777777" w:rsidR="00B650E5" w:rsidRDefault="00B650E5">
      <w:pPr>
        <w:numPr>
          <w:ilvl w:val="0"/>
          <w:numId w:val="148"/>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14:paraId="4F0BD1DC" w14:textId="77777777" w:rsidR="00B650E5" w:rsidRDefault="00B650E5">
      <w:pPr>
        <w:numPr>
          <w:ilvl w:val="0"/>
          <w:numId w:val="148"/>
        </w:numPr>
        <w:spacing w:before="120" w:after="120"/>
        <w:ind w:left="850" w:hanging="425"/>
        <w:jc w:val="both"/>
        <w:rPr>
          <w:color w:val="000000"/>
        </w:rPr>
      </w:pPr>
      <w:r>
        <w:rPr>
          <w:color w:val="000000"/>
        </w:rPr>
        <w:t>investície do bývania s výnimkou tých, ktoré súvisia s podporou energetickej efektívnosti a využívania energie z obnoviteľných zdrojov;</w:t>
      </w:r>
    </w:p>
    <w:p w14:paraId="137ECA57" w14:textId="77777777" w:rsidR="00B650E5" w:rsidRDefault="00B650E5">
      <w:pPr>
        <w:numPr>
          <w:ilvl w:val="0"/>
          <w:numId w:val="148"/>
        </w:numPr>
        <w:spacing w:before="120" w:after="120"/>
        <w:ind w:left="850" w:hanging="425"/>
        <w:jc w:val="both"/>
        <w:rPr>
          <w:color w:val="000000"/>
        </w:rPr>
      </w:pPr>
      <w:r>
        <w:rPr>
          <w:color w:val="000000"/>
        </w:rPr>
        <w:t>výrobu, spracovanie a uvádzanie tabaku a tabakových výrobkov na trh;</w:t>
      </w:r>
    </w:p>
    <w:p w14:paraId="02252C7F" w14:textId="77777777" w:rsidR="00B650E5" w:rsidRDefault="00B650E5">
      <w:pPr>
        <w:numPr>
          <w:ilvl w:val="0"/>
          <w:numId w:val="148"/>
        </w:numPr>
        <w:spacing w:before="120" w:after="120"/>
        <w:ind w:left="850" w:hanging="425"/>
        <w:jc w:val="both"/>
        <w:rPr>
          <w:color w:val="000000"/>
        </w:rPr>
      </w:pPr>
      <w:r>
        <w:rPr>
          <w:color w:val="000000"/>
        </w:rPr>
        <w:t>podniky v ťažkostiach, ako sú vymedzené v právnych predpisoch EÚ o štátnej pomoci;</w:t>
      </w:r>
    </w:p>
    <w:p w14:paraId="6728C326" w14:textId="77777777" w:rsidR="00B650E5" w:rsidRDefault="00B650E5">
      <w:pPr>
        <w:numPr>
          <w:ilvl w:val="0"/>
          <w:numId w:val="148"/>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14:paraId="21D37FCC" w14:textId="77777777" w:rsidR="00B650E5" w:rsidRDefault="00B650E5">
      <w:pPr>
        <w:pStyle w:val="SRK3"/>
      </w:pPr>
      <w:bookmarkStart w:id="507" w:name="_Toc453234080"/>
      <w:bookmarkStart w:id="508" w:name="_Toc495649437"/>
      <w:r>
        <w:t>3.5.3 Krížové financovanie</w:t>
      </w:r>
      <w:bookmarkEnd w:id="507"/>
      <w:bookmarkEnd w:id="508"/>
      <w:r>
        <w:t xml:space="preserve"> </w:t>
      </w:r>
    </w:p>
    <w:p w14:paraId="49DA6A4F"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zmysle čl. 98 všeobecného nariadenia fondy (netýka sa ENRF) môžu poskytovať podporu OP v rámci cieľa Investovanie do rastu a zamestnanosti spoločne.</w:t>
      </w:r>
    </w:p>
    <w:p w14:paraId="5B2D3130"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EFRR a ESF môžu komplementárnym spôsobom a najviac do výšky 10</w:t>
      </w:r>
      <w:r w:rsidR="00C93F30">
        <w:rPr>
          <w:color w:val="000000"/>
          <w:lang w:eastAsia="en-US"/>
        </w:rPr>
        <w:t xml:space="preserve"> </w:t>
      </w:r>
      <w:r>
        <w:rPr>
          <w:color w:val="000000"/>
          <w:lang w:eastAsia="en-US"/>
        </w:rPr>
        <w:t xml:space="preserve">% prostriedkov EÚ vyčlenených pre každú PO OP financovať časť projektu, ktorého náklady majú nárok na podporu z iného fondu na základe pravidiel oprávnenosti platných pre daný fond za predpokladu, že sú potrebné na uspokojivé vykonávanie projektu a sú s ním priamo spojené. Tieto pravidlá sa neuplatňujú na programy EÚS. </w:t>
      </w:r>
    </w:p>
    <w:p w14:paraId="6FC4EC21"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Aktivity spolufinancované krížovým financovaním musia byť v súlade so štátnou pomocou/pomocou de minimis, pretože štátna pomoc/pomoc de minimis je nadradeným princípom nad oprávnenosť výdavkov.</w:t>
      </w:r>
    </w:p>
    <w:p w14:paraId="70A3AB31"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prípade uplatnenia krížového financovania v rámci jednotlivých OP musí RO splniť nasledujúce podmienky:</w:t>
      </w:r>
    </w:p>
    <w:p w14:paraId="51EB64B8" w14:textId="77777777" w:rsidR="00B650E5" w:rsidRDefault="00B650E5">
      <w:pPr>
        <w:numPr>
          <w:ilvl w:val="0"/>
          <w:numId w:val="150"/>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 takých oprávnených aktivitách, ktoré s daným projektom súvisia;</w:t>
      </w:r>
    </w:p>
    <w:p w14:paraId="4E83D2AA" w14:textId="77777777" w:rsidR="00B650E5" w:rsidRDefault="00B650E5">
      <w:pPr>
        <w:numPr>
          <w:ilvl w:val="0"/>
          <w:numId w:val="150"/>
        </w:numPr>
        <w:spacing w:before="120" w:after="120"/>
        <w:ind w:left="850" w:hanging="425"/>
        <w:jc w:val="both"/>
        <w:rPr>
          <w:color w:val="000000"/>
        </w:rPr>
      </w:pPr>
      <w:r>
        <w:rPr>
          <w:color w:val="000000"/>
        </w:rPr>
        <w:lastRenderedPageBreak/>
        <w:t>RO stanoví vo svojom manuáli procedúr postupy zaisťujúce dodržanie vyššie uvedených limitov na úrovni PO OP;</w:t>
      </w:r>
    </w:p>
    <w:p w14:paraId="3235AC36" w14:textId="76C1956C" w:rsidR="00B650E5" w:rsidRDefault="00B650E5">
      <w:pPr>
        <w:numPr>
          <w:ilvl w:val="0"/>
          <w:numId w:val="150"/>
        </w:numPr>
        <w:spacing w:before="120" w:after="120"/>
        <w:ind w:left="850" w:hanging="425"/>
        <w:jc w:val="both"/>
        <w:rPr>
          <w:color w:val="000000"/>
        </w:rPr>
      </w:pPr>
      <w:r>
        <w:rPr>
          <w:color w:val="000000"/>
        </w:rPr>
        <w:t>RO stanoví maximálny percentuálny limit (resp. stanoví limit, vyjadrený napr. sumou) pre</w:t>
      </w:r>
      <w:r w:rsidR="008520E6">
        <w:rPr>
          <w:color w:val="000000"/>
        </w:rPr>
        <w:t> </w:t>
      </w:r>
      <w:r>
        <w:rPr>
          <w:color w:val="000000"/>
        </w:rPr>
        <w:t>krížové financovanie na jeden projekt (na úrovni OP, PO, špecifického cieľa, alebo výzvy) pri dodržaní limitov na úrovni PO OP.</w:t>
      </w:r>
    </w:p>
    <w:p w14:paraId="501C4F09" w14:textId="7B8E53E1" w:rsidR="00B650E5" w:rsidRPr="00997CB0" w:rsidRDefault="00B650E5" w:rsidP="00997CB0">
      <w:pPr>
        <w:numPr>
          <w:ilvl w:val="0"/>
          <w:numId w:val="149"/>
        </w:numPr>
        <w:autoSpaceDE w:val="0"/>
        <w:autoSpaceDN w:val="0"/>
        <w:adjustRightInd w:val="0"/>
        <w:spacing w:before="120" w:after="120"/>
        <w:ind w:left="425" w:hanging="425"/>
        <w:jc w:val="both"/>
        <w:rPr>
          <w:color w:val="000000"/>
          <w:lang w:eastAsia="en-US"/>
        </w:rPr>
      </w:pPr>
      <w:r w:rsidRPr="00997CB0">
        <w:rPr>
          <w:color w:val="000000"/>
          <w:lang w:eastAsia="en-US"/>
        </w:rPr>
        <w:t>Sledovanie dodržiavani</w:t>
      </w:r>
      <w:r w:rsidR="00B744AA">
        <w:rPr>
          <w:color w:val="000000"/>
          <w:lang w:eastAsia="en-US"/>
        </w:rPr>
        <w:t>a</w:t>
      </w:r>
      <w:r w:rsidRPr="00997CB0">
        <w:rPr>
          <w:color w:val="000000"/>
          <w:lang w:eastAsia="en-US"/>
        </w:rPr>
        <w:t xml:space="preserve"> limitov krížového financovania na prioritnej osi </w:t>
      </w:r>
      <w:r>
        <w:rPr>
          <w:color w:val="000000"/>
          <w:lang w:eastAsia="en-US"/>
        </w:rPr>
        <w:t xml:space="preserve">OP </w:t>
      </w:r>
      <w:r w:rsidRPr="00997CB0">
        <w:rPr>
          <w:color w:val="000000"/>
          <w:lang w:eastAsia="en-US"/>
        </w:rPr>
        <w:t>v</w:t>
      </w:r>
      <w:r w:rsidRPr="00F12951">
        <w:rPr>
          <w:color w:val="000000"/>
          <w:lang w:eastAsia="en-US"/>
        </w:rPr>
        <w:t> </w:t>
      </w:r>
      <w:r w:rsidRPr="00997CB0">
        <w:rPr>
          <w:color w:val="000000"/>
          <w:lang w:eastAsia="en-US"/>
        </w:rPr>
        <w:t>zmysle článku 98, odsek 2 všeobecného nariadenia je zabezpečené prostredníctvom označenia výdavkov informáciou „- krížové financovanie“ v ITMS 2014+.</w:t>
      </w:r>
    </w:p>
    <w:p w14:paraId="6910E7AE" w14:textId="77777777" w:rsidR="00B650E5" w:rsidRDefault="00B650E5">
      <w:pPr>
        <w:pStyle w:val="SRK3"/>
      </w:pPr>
      <w:bookmarkStart w:id="509" w:name="_Toc453234081"/>
      <w:bookmarkStart w:id="510" w:name="_Toc495649438"/>
      <w:r>
        <w:t>3.5.4 Projekty generujúce čisté príjmy</w:t>
      </w:r>
      <w:bookmarkEnd w:id="509"/>
      <w:bookmarkEnd w:id="510"/>
      <w:r>
        <w:t xml:space="preserve"> </w:t>
      </w:r>
    </w:p>
    <w:p w14:paraId="4894EF21"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Projekty generujúce čistý príjem po ich dokončení definuje čl. 61 všeobecného nariadenia. Projektmi generujúcimi príjmy sú projekty, ktoré:</w:t>
      </w:r>
    </w:p>
    <w:p w14:paraId="14A69491" w14:textId="77777777" w:rsidR="00B650E5" w:rsidRDefault="00B650E5">
      <w:pPr>
        <w:numPr>
          <w:ilvl w:val="0"/>
          <w:numId w:val="152"/>
        </w:numPr>
        <w:spacing w:before="120" w:after="120"/>
        <w:ind w:left="850" w:hanging="425"/>
        <w:jc w:val="both"/>
        <w:rPr>
          <w:color w:val="000000"/>
        </w:rPr>
      </w:pPr>
      <w:r>
        <w:rPr>
          <w:color w:val="000000"/>
        </w:rPr>
        <w:t>zahŕňajú investíciu do infraštruktúry, ktorej používanie je spoplatnené a priamo uhradené užívateľmi, a/alebo</w:t>
      </w:r>
    </w:p>
    <w:p w14:paraId="559E2E67" w14:textId="77777777" w:rsidR="00B650E5" w:rsidRDefault="00B650E5">
      <w:pPr>
        <w:numPr>
          <w:ilvl w:val="0"/>
          <w:numId w:val="152"/>
        </w:numPr>
        <w:spacing w:before="120" w:after="120"/>
        <w:ind w:left="850" w:hanging="425"/>
        <w:jc w:val="both"/>
        <w:rPr>
          <w:color w:val="000000"/>
        </w:rPr>
      </w:pPr>
      <w:r>
        <w:rPr>
          <w:color w:val="000000"/>
        </w:rPr>
        <w:t>zahŕňajú predaj alebo prenájom pozemkov alebo budov, a/alebo</w:t>
      </w:r>
    </w:p>
    <w:p w14:paraId="30671A4F" w14:textId="77777777" w:rsidR="00B650E5" w:rsidRDefault="00B650E5">
      <w:pPr>
        <w:numPr>
          <w:ilvl w:val="0"/>
          <w:numId w:val="152"/>
        </w:numPr>
        <w:spacing w:before="120" w:after="120"/>
        <w:ind w:left="850" w:hanging="425"/>
        <w:jc w:val="both"/>
        <w:rPr>
          <w:color w:val="000000"/>
        </w:rPr>
      </w:pPr>
      <w:r>
        <w:rPr>
          <w:color w:val="000000"/>
        </w:rPr>
        <w:t xml:space="preserve">zahŕňajú poskytovanie služieb za poplatok. </w:t>
      </w:r>
    </w:p>
    <w:p w14:paraId="7E6909F5"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Úspory v rámci prevádzkových výdavkov, ktoré vznikli počas realizácie projektu, 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14:paraId="1EB0043A"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p>
    <w:p w14:paraId="619EE13C"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Potenciálne čisté príjmy z projektu sa stanovia vopred na základe jednej z nasledujúcich metód vybraných RO pre sektor, subsektor alebo typ projektu:</w:t>
      </w:r>
    </w:p>
    <w:p w14:paraId="2733B588" w14:textId="77777777" w:rsidR="00B650E5" w:rsidRDefault="00B650E5">
      <w:pPr>
        <w:pStyle w:val="Odsekzoznamu"/>
        <w:numPr>
          <w:ilvl w:val="0"/>
          <w:numId w:val="5"/>
        </w:numPr>
        <w:spacing w:before="120" w:after="120"/>
        <w:ind w:left="851" w:hanging="425"/>
        <w:contextualSpacing w:val="0"/>
        <w:jc w:val="both"/>
      </w:pPr>
      <w:bookmarkStart w:id="511" w:name="kapitola_354_ods_4a"/>
      <w:bookmarkStart w:id="512" w:name="kapitola_354_ods_4a_c"/>
      <w:r>
        <w:rPr>
          <w:i/>
        </w:rPr>
        <w:t>uplatnenie paušálneho percenta čistého príjmu pre daný sektor alebo subsektor použiteľné na projekty vymedzené v prílohe všeobecného nariadenia alebo v niektorom z delegovaných aktov ďalej uvedených.</w:t>
      </w:r>
    </w:p>
    <w:p w14:paraId="05C7EA1E" w14:textId="77777777" w:rsidR="00B650E5" w:rsidRDefault="00B650E5">
      <w:pPr>
        <w:pStyle w:val="Odsekzoznamu"/>
        <w:spacing w:before="120" w:after="120"/>
        <w:ind w:left="851"/>
        <w:contextualSpacing w:val="0"/>
        <w:jc w:val="both"/>
      </w:pPr>
      <w:r>
        <w:t>Ak sa použije táto metóda, všetky čisté príjmy vytvorené v priebehu realizácie a po dokončení projektu sú považované za zohľadnené uplatnením paušálnej sadzby, a preto nie sú odpočítané následne od oprávnených výdavkov projektu.</w:t>
      </w:r>
    </w:p>
    <w:bookmarkEnd w:id="511"/>
    <w:p w14:paraId="616D2DDB" w14:textId="77777777" w:rsidR="00B650E5" w:rsidRDefault="00B650E5">
      <w:pPr>
        <w:pStyle w:val="Odsekzoznamu"/>
        <w:numPr>
          <w:ilvl w:val="0"/>
          <w:numId w:val="5"/>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14:paraId="348503CD" w14:textId="77777777" w:rsidR="00B650E5" w:rsidRDefault="00B650E5">
      <w:pPr>
        <w:pStyle w:val="Odsekzoznamu"/>
        <w:spacing w:before="120" w:after="120"/>
        <w:ind w:left="851"/>
        <w:contextualSpacing w:val="0"/>
        <w:jc w:val="both"/>
      </w:pPr>
      <w:r>
        <w:t xml:space="preserve">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w:t>
      </w:r>
      <w:r>
        <w:lastRenderedPageBreak/>
        <w:t>diskontovaných čistých príjmov z projektu sa stanoví na základe článkov 15 až 19 delegovaného nariadenia Komisie (EÚ) č. 480/2014</w:t>
      </w:r>
      <w:r>
        <w:rPr>
          <w:rStyle w:val="Odkaznapoznmkupodiarou"/>
        </w:rPr>
        <w:footnoteReference w:id="124"/>
      </w:r>
      <w:r>
        <w:t>.</w:t>
      </w:r>
    </w:p>
    <w:p w14:paraId="6DEF8FC2" w14:textId="77777777" w:rsidR="00B650E5" w:rsidRDefault="00B650E5">
      <w:pPr>
        <w:pStyle w:val="Odsekzoznamu"/>
        <w:numPr>
          <w:ilvl w:val="0"/>
          <w:numId w:val="5"/>
        </w:numPr>
        <w:spacing w:before="120" w:after="120"/>
        <w:ind w:left="851" w:hanging="425"/>
        <w:contextualSpacing w:val="0"/>
        <w:jc w:val="both"/>
      </w:pPr>
      <w:r>
        <w:rPr>
          <w:i/>
        </w:rPr>
        <w:t xml:space="preserve">zníženie maximálnej miery spolufinancovania </w:t>
      </w:r>
    </w:p>
    <w:p w14:paraId="1A6AFFD6" w14:textId="77777777" w:rsidR="00B650E5" w:rsidRDefault="00B650E5">
      <w:pPr>
        <w:pStyle w:val="Odsekzoznamu"/>
        <w:spacing w:before="120" w:after="120"/>
        <w:ind w:left="851"/>
        <w:contextualSpacing w:val="0"/>
        <w:jc w:val="both"/>
      </w:pPr>
      <w:r>
        <w:t>Ako alternatíva k použitiu metódy a) sa maximálna miera spolufinancovania uvedená v článku 60 ods. 1 všeobecného nariadenia môže na žiadosť členského štátu znížiť v čase prijatia OP pre prioritu alebo opatrenie, v rámci ktorých by sa na všetky operácie podporované podľa tejto priority alebo opatrenia mohla uplatňovať jednotná paušálna sadzba. Zníženie nesmie byť nižšie ako suma vypočítaná násobením maximálnej miery spolufinancovania EÚ,  ktorá sa podľa pravidiel pre jednotlivé EŠIF uplatňuje pri príslušnej paušálnej sadzbe.</w:t>
      </w:r>
    </w:p>
    <w:p w14:paraId="15E5800C" w14:textId="77777777" w:rsidR="00B650E5" w:rsidRDefault="00B650E5">
      <w:pPr>
        <w:spacing w:before="120" w:after="120"/>
        <w:ind w:left="851"/>
        <w:jc w:val="both"/>
      </w:pPr>
      <w:r>
        <w:t>Ak sa použije táto metóda, všetky čisté príjmy vytvorené v priebehu realizácie a po dokončení projektu sú považované za príjmy zohľadnené uplatnením zníženej miery spolufinancovania, a preto nie sú odpočítané následne od oprávnených výdavkov projektu.</w:t>
      </w:r>
    </w:p>
    <w:bookmarkEnd w:id="512"/>
    <w:p w14:paraId="206E14E4"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prípade, že nie je objektívne možné určiť príjmy vopred podľa jednej z metód ustanovených v </w:t>
      </w:r>
      <w:hyperlink w:anchor="kapitola_354_ods_4a_c" w:tooltip="ods. 4, písm. a) až c)" w:history="1">
        <w:r>
          <w:rPr>
            <w:rStyle w:val="Hypertextovprepojenie"/>
            <w:lang w:eastAsia="en-US"/>
          </w:rPr>
          <w:t xml:space="preserve">ods. </w:t>
        </w:r>
        <w:r>
          <w:rPr>
            <w:rStyle w:val="Hypertextovprepojenie"/>
          </w:rPr>
          <w:t>4, písm. a) až c)</w:t>
        </w:r>
      </w:hyperlink>
      <w:r>
        <w:rPr>
          <w:color w:val="000000"/>
          <w:lang w:eastAsia="en-US"/>
        </w:rPr>
        <w:t>, čisté príjmy vygenerované do troch rokov od ukončenia projektu alebo podľa lehoty na predloženie dokumentácie k ukončeniu OP stanovenej v pravidlách pre jednotlivé EŠIF, podľa toho, čo nastane skôr, sa odpočítajú od výdavkov vykázaných EK.</w:t>
      </w:r>
    </w:p>
    <w:p w14:paraId="3A244213"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Vyššie uvedené ustanovenia sa nevzťahujú na:</w:t>
      </w:r>
    </w:p>
    <w:p w14:paraId="1C07A52D" w14:textId="77777777" w:rsidR="00B650E5" w:rsidRDefault="00B650E5">
      <w:pPr>
        <w:numPr>
          <w:ilvl w:val="0"/>
          <w:numId w:val="153"/>
        </w:numPr>
        <w:spacing w:before="120" w:after="120"/>
        <w:ind w:left="850" w:hanging="425"/>
        <w:jc w:val="both"/>
        <w:rPr>
          <w:color w:val="000000"/>
        </w:rPr>
      </w:pPr>
      <w:r>
        <w:rPr>
          <w:color w:val="000000"/>
        </w:rPr>
        <w:t>projekty, ktoré sú podporované výlučne z ESF;</w:t>
      </w:r>
    </w:p>
    <w:p w14:paraId="6C5873C1" w14:textId="77777777" w:rsidR="00B650E5" w:rsidRDefault="00B650E5">
      <w:pPr>
        <w:numPr>
          <w:ilvl w:val="0"/>
          <w:numId w:val="153"/>
        </w:numPr>
        <w:spacing w:before="120" w:after="120"/>
        <w:ind w:left="850" w:hanging="425"/>
        <w:jc w:val="both"/>
        <w:rPr>
          <w:color w:val="000000"/>
        </w:rPr>
      </w:pPr>
      <w:r>
        <w:rPr>
          <w:color w:val="000000"/>
        </w:rPr>
        <w:t>projekty, pri ktorých celkové oprávnené výdavky pred ich znížením o čisté príjmy podľa vyššie uvedených ustanovení nepresahujú 1 000 000 EUR;</w:t>
      </w:r>
    </w:p>
    <w:p w14:paraId="185DAD19" w14:textId="77777777" w:rsidR="00B650E5" w:rsidRDefault="00B650E5">
      <w:pPr>
        <w:numPr>
          <w:ilvl w:val="0"/>
          <w:numId w:val="153"/>
        </w:numPr>
        <w:spacing w:before="120" w:after="120"/>
        <w:ind w:left="850" w:hanging="425"/>
        <w:jc w:val="both"/>
        <w:rPr>
          <w:color w:val="000000"/>
        </w:rPr>
      </w:pPr>
      <w:r>
        <w:rPr>
          <w:color w:val="000000"/>
        </w:rPr>
        <w:t>návratnú pomoc, ktorá podlieha povinnosti úplného splatenia, a  ceny;</w:t>
      </w:r>
    </w:p>
    <w:p w14:paraId="5CC666D5" w14:textId="77777777" w:rsidR="00B650E5" w:rsidRDefault="00B650E5">
      <w:pPr>
        <w:numPr>
          <w:ilvl w:val="0"/>
          <w:numId w:val="153"/>
        </w:numPr>
        <w:spacing w:before="120" w:after="120"/>
        <w:ind w:left="850" w:hanging="425"/>
        <w:jc w:val="both"/>
        <w:rPr>
          <w:color w:val="000000"/>
        </w:rPr>
      </w:pPr>
      <w:r>
        <w:rPr>
          <w:color w:val="000000"/>
        </w:rPr>
        <w:t>technickú pomoc;</w:t>
      </w:r>
    </w:p>
    <w:p w14:paraId="4263CF8C" w14:textId="77777777" w:rsidR="00B650E5" w:rsidRDefault="00B650E5">
      <w:pPr>
        <w:numPr>
          <w:ilvl w:val="0"/>
          <w:numId w:val="153"/>
        </w:numPr>
        <w:spacing w:before="120" w:after="120"/>
        <w:ind w:left="850" w:hanging="425"/>
        <w:jc w:val="both"/>
        <w:rPr>
          <w:color w:val="000000"/>
        </w:rPr>
      </w:pPr>
      <w:r>
        <w:rPr>
          <w:color w:val="000000"/>
        </w:rPr>
        <w:t>podporu na finančné nástroje alebo z finančných nástrojov;</w:t>
      </w:r>
    </w:p>
    <w:p w14:paraId="0A1E035B" w14:textId="77777777" w:rsidR="00B650E5" w:rsidRDefault="00B650E5">
      <w:pPr>
        <w:numPr>
          <w:ilvl w:val="0"/>
          <w:numId w:val="153"/>
        </w:numPr>
        <w:spacing w:before="120" w:after="120"/>
        <w:ind w:left="850" w:hanging="425"/>
        <w:jc w:val="both"/>
        <w:rPr>
          <w:color w:val="000000"/>
        </w:rPr>
      </w:pPr>
      <w:r>
        <w:rPr>
          <w:color w:val="000000"/>
        </w:rPr>
        <w:t>projekty, pri ktorých má verejná podpora formu paušálnych súm alebo štandardnej stupnice jednotkových výdavkov;</w:t>
      </w:r>
    </w:p>
    <w:p w14:paraId="3C737733" w14:textId="77777777" w:rsidR="00B650E5" w:rsidRDefault="00B650E5">
      <w:pPr>
        <w:numPr>
          <w:ilvl w:val="0"/>
          <w:numId w:val="153"/>
        </w:numPr>
        <w:spacing w:before="120" w:after="120"/>
        <w:ind w:left="850" w:hanging="425"/>
        <w:jc w:val="both"/>
        <w:rPr>
          <w:color w:val="000000"/>
        </w:rPr>
      </w:pPr>
      <w:r>
        <w:rPr>
          <w:color w:val="000000"/>
        </w:rPr>
        <w:t>operácie realizované v rámci SAP.</w:t>
      </w:r>
    </w:p>
    <w:p w14:paraId="34B0C1C2" w14:textId="77777777" w:rsidR="00B650E5" w:rsidRDefault="00B650E5">
      <w:pPr>
        <w:spacing w:before="120" w:after="120"/>
        <w:ind w:left="426"/>
        <w:jc w:val="both"/>
      </w:pPr>
      <w:r>
        <w:t>Bez ohľadu na písmeno b), ak členský štát uplatňuje zníženie maximálnej miery spolufinancovania, môže do príslušnej priority alebo opatrenia zahrnúť projekty, ktorých celkové oprávnené výdavky pred odpočítaním čistých príjmov nie sú vyššie ako 1 000 000 EUR.</w:t>
      </w:r>
    </w:p>
    <w:p w14:paraId="7C060E55"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Vyššie uvedené ustanovenia sa zároveň nevzťahujú na projekty, v prípade ktorých podpora v rámci OP predstavuje:</w:t>
      </w:r>
    </w:p>
    <w:p w14:paraId="0F60D170" w14:textId="77777777" w:rsidR="00B650E5" w:rsidRDefault="00B650E5">
      <w:pPr>
        <w:numPr>
          <w:ilvl w:val="0"/>
          <w:numId w:val="154"/>
        </w:numPr>
        <w:spacing w:before="120" w:after="120"/>
        <w:ind w:left="850" w:hanging="425"/>
        <w:jc w:val="both"/>
        <w:rPr>
          <w:color w:val="000000"/>
        </w:rPr>
      </w:pPr>
      <w:r>
        <w:rPr>
          <w:color w:val="000000"/>
        </w:rPr>
        <w:t>pomoc de minimis;</w:t>
      </w:r>
    </w:p>
    <w:p w14:paraId="104F6139" w14:textId="77777777" w:rsidR="00B650E5" w:rsidRDefault="00B650E5">
      <w:pPr>
        <w:numPr>
          <w:ilvl w:val="0"/>
          <w:numId w:val="154"/>
        </w:numPr>
        <w:spacing w:before="120" w:after="120"/>
        <w:ind w:left="850" w:hanging="425"/>
        <w:jc w:val="both"/>
        <w:rPr>
          <w:color w:val="000000"/>
        </w:rPr>
      </w:pPr>
      <w:r>
        <w:rPr>
          <w:color w:val="000000"/>
        </w:rPr>
        <w:t>zlučiteľnú štátnu pomoc MSP, ak sa v súvislosti so štátnou pomocou uplatňuje intenzita pomoci alebo hranica finančnej pomoci;</w:t>
      </w:r>
    </w:p>
    <w:p w14:paraId="50518FA3" w14:textId="77777777" w:rsidR="00B650E5" w:rsidRDefault="00B650E5">
      <w:pPr>
        <w:numPr>
          <w:ilvl w:val="0"/>
          <w:numId w:val="154"/>
        </w:numPr>
        <w:spacing w:before="120" w:after="120"/>
        <w:ind w:left="850" w:hanging="425"/>
        <w:jc w:val="both"/>
        <w:rPr>
          <w:color w:val="000000"/>
        </w:rPr>
      </w:pPr>
      <w:r>
        <w:rPr>
          <w:color w:val="000000"/>
        </w:rPr>
        <w:t>zlučiteľnú štátnu pomoc, ak sa vykonalo individuálne overenie potrieb financovania v súlade s platnými pravidlami o štátnej pomoci.</w:t>
      </w:r>
    </w:p>
    <w:p w14:paraId="64004870" w14:textId="77777777" w:rsidR="00B650E5" w:rsidRDefault="00B650E5">
      <w:pPr>
        <w:spacing w:before="120" w:after="120"/>
        <w:ind w:left="426"/>
        <w:jc w:val="both"/>
      </w:pPr>
      <w:r>
        <w:lastRenderedPageBreak/>
        <w:t>Bez ohľadu na vyššie uvedené RO môže uplatňovať ustanovenia týkajúce sa projektov generujúcich príjem aj na projekty, ktoré spadajú pod písmená a) až c), ak je tak ustanovené vo vnútroštátnych predpisoch.</w:t>
      </w:r>
    </w:p>
    <w:p w14:paraId="79E7E3ED" w14:textId="77777777" w:rsidR="00B650E5" w:rsidRDefault="00B650E5">
      <w:pPr>
        <w:pStyle w:val="SRK3"/>
      </w:pPr>
      <w:bookmarkStart w:id="513" w:name="_Toc453234082"/>
      <w:bookmarkStart w:id="514" w:name="_Toc495649439"/>
      <w:r>
        <w:t>3.5.5 Projekty, ktoré vytvárajú čisté príjmy v priebehu ich implementácie a na ktoré sa ustanovenia čl. 61 ods. 1 až 6  všeobecného nariadenia nevzťahujú</w:t>
      </w:r>
      <w:bookmarkEnd w:id="513"/>
      <w:bookmarkEnd w:id="514"/>
    </w:p>
    <w:p w14:paraId="501FE2DF"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 oprávnené a neoprávnené časti výdavkov.</w:t>
      </w:r>
    </w:p>
    <w:p w14:paraId="724F74E0" w14:textId="77777777" w:rsidR="00B650E5" w:rsidRDefault="00B650E5">
      <w:pPr>
        <w:spacing w:before="120" w:after="120"/>
        <w:ind w:left="426"/>
        <w:jc w:val="both"/>
      </w:pPr>
      <w:r>
        <w:t>Uvedené pravidlo sa nevzťahuje na:</w:t>
      </w:r>
    </w:p>
    <w:p w14:paraId="6D43BCD8" w14:textId="77777777" w:rsidR="00B650E5" w:rsidRDefault="00B650E5">
      <w:pPr>
        <w:numPr>
          <w:ilvl w:val="0"/>
          <w:numId w:val="156"/>
        </w:numPr>
        <w:spacing w:before="120" w:after="120"/>
        <w:ind w:left="850" w:hanging="425"/>
        <w:jc w:val="both"/>
        <w:rPr>
          <w:color w:val="000000"/>
        </w:rPr>
      </w:pPr>
      <w:r>
        <w:rPr>
          <w:color w:val="000000"/>
        </w:rPr>
        <w:t xml:space="preserve">technickú pomoc, </w:t>
      </w:r>
    </w:p>
    <w:p w14:paraId="5AB093E4" w14:textId="77777777" w:rsidR="00B650E5" w:rsidRDefault="00B650E5">
      <w:pPr>
        <w:numPr>
          <w:ilvl w:val="0"/>
          <w:numId w:val="156"/>
        </w:numPr>
        <w:spacing w:before="120" w:after="120"/>
        <w:ind w:left="850" w:hanging="425"/>
        <w:jc w:val="both"/>
        <w:rPr>
          <w:color w:val="000000"/>
        </w:rPr>
      </w:pPr>
      <w:r>
        <w:rPr>
          <w:color w:val="000000"/>
        </w:rPr>
        <w:t>finančné nástroje,</w:t>
      </w:r>
    </w:p>
    <w:p w14:paraId="4326818C" w14:textId="77777777" w:rsidR="00B650E5" w:rsidRDefault="00B650E5">
      <w:pPr>
        <w:numPr>
          <w:ilvl w:val="0"/>
          <w:numId w:val="156"/>
        </w:numPr>
        <w:spacing w:before="120" w:after="120"/>
        <w:ind w:left="850" w:hanging="425"/>
        <w:jc w:val="both"/>
        <w:rPr>
          <w:color w:val="000000"/>
        </w:rPr>
      </w:pPr>
      <w:r>
        <w:rPr>
          <w:color w:val="000000"/>
        </w:rPr>
        <w:t>návratnú pomoc podliehajúcu povinnosti úplného splatenia,</w:t>
      </w:r>
    </w:p>
    <w:p w14:paraId="3744AB08" w14:textId="77777777" w:rsidR="00B650E5" w:rsidRDefault="00B650E5">
      <w:pPr>
        <w:numPr>
          <w:ilvl w:val="0"/>
          <w:numId w:val="156"/>
        </w:numPr>
        <w:spacing w:before="120" w:after="120"/>
        <w:ind w:left="850" w:hanging="425"/>
        <w:jc w:val="both"/>
        <w:rPr>
          <w:color w:val="000000"/>
        </w:rPr>
      </w:pPr>
      <w:r>
        <w:rPr>
          <w:color w:val="000000"/>
        </w:rPr>
        <w:t>ceny,</w:t>
      </w:r>
    </w:p>
    <w:p w14:paraId="60621D35" w14:textId="77777777" w:rsidR="00B650E5" w:rsidRDefault="00B650E5">
      <w:pPr>
        <w:numPr>
          <w:ilvl w:val="0"/>
          <w:numId w:val="156"/>
        </w:numPr>
        <w:spacing w:before="120" w:after="120"/>
        <w:ind w:left="850" w:hanging="425"/>
        <w:jc w:val="both"/>
        <w:rPr>
          <w:color w:val="000000"/>
        </w:rPr>
      </w:pPr>
      <w:r>
        <w:rPr>
          <w:color w:val="000000"/>
        </w:rPr>
        <w:t>projekty podliehajúce pravidlám štátnej pomoci,</w:t>
      </w:r>
    </w:p>
    <w:p w14:paraId="2F076926" w14:textId="77777777" w:rsidR="00B650E5" w:rsidRDefault="00B650E5">
      <w:pPr>
        <w:numPr>
          <w:ilvl w:val="0"/>
          <w:numId w:val="156"/>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14:paraId="4A59AA0D" w14:textId="77777777" w:rsidR="00B650E5" w:rsidRDefault="00B650E5">
      <w:pPr>
        <w:numPr>
          <w:ilvl w:val="0"/>
          <w:numId w:val="156"/>
        </w:numPr>
        <w:spacing w:before="120" w:after="120"/>
        <w:ind w:left="850" w:hanging="425"/>
        <w:jc w:val="both"/>
        <w:rPr>
          <w:color w:val="000000"/>
        </w:rPr>
      </w:pPr>
      <w:r>
        <w:rPr>
          <w:color w:val="000000"/>
        </w:rPr>
        <w:t>projekty vykonávané v rámci SAP za predpokladu, že čistý príjem bol zohľadnený  ex ante,</w:t>
      </w:r>
    </w:p>
    <w:p w14:paraId="6CDD86FE" w14:textId="77777777" w:rsidR="00B650E5" w:rsidRDefault="00B650E5">
      <w:pPr>
        <w:numPr>
          <w:ilvl w:val="0"/>
          <w:numId w:val="156"/>
        </w:numPr>
        <w:spacing w:before="120" w:after="120"/>
        <w:ind w:left="850" w:hanging="425"/>
        <w:jc w:val="both"/>
        <w:rPr>
          <w:color w:val="000000"/>
        </w:rPr>
      </w:pPr>
      <w:r>
        <w:rPr>
          <w:color w:val="000000"/>
        </w:rPr>
        <w:t>projekty, ktorých celkové oprávnené výdavky neprekročia 50 000 EUR,</w:t>
      </w:r>
    </w:p>
    <w:p w14:paraId="0990A90D" w14:textId="77777777" w:rsidR="00B650E5" w:rsidRDefault="00B650E5">
      <w:pPr>
        <w:numPr>
          <w:ilvl w:val="0"/>
          <w:numId w:val="156"/>
        </w:numPr>
        <w:spacing w:before="120" w:after="120"/>
        <w:ind w:left="850" w:hanging="425"/>
        <w:jc w:val="both"/>
        <w:rPr>
          <w:color w:val="000000"/>
        </w:rPr>
      </w:pPr>
      <w:r>
        <w:rPr>
          <w:color w:val="000000"/>
        </w:rPr>
        <w:t>projekty, pre ktoré sú sumy alebo sadzby podpory vymedzené v prílohe II k nariadeniu o EPFRV.</w:t>
      </w:r>
    </w:p>
    <w:p w14:paraId="0DB2050F"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Platby, ktoré prijímateľ prijal a ktoré vyplývajú zo zmluvných sankcií v dôsledku porušenia zmluvy medzi prijímateľom a treťou stranou/tretími stranami alebo ktoré vznikli v dôsledku stiahnutia ponuky tretej strany vybranej podľa pravidiel VO (zábezpeka), sa nepovažujú za príjem a neodpočítavajú sa od oprávnených výdavkov projektu.</w:t>
      </w:r>
    </w:p>
    <w:p w14:paraId="0178BFCF" w14:textId="77777777" w:rsidR="00B650E5" w:rsidRDefault="00B650E5">
      <w:pPr>
        <w:pStyle w:val="SRK3"/>
      </w:pPr>
      <w:bookmarkStart w:id="515" w:name="_Toc453234083"/>
      <w:bookmarkStart w:id="516" w:name="_Toc495649440"/>
      <w:bookmarkStart w:id="517" w:name="_Toc378601501"/>
      <w:bookmarkStart w:id="518" w:name="kapitola_356"/>
      <w:r>
        <w:t>3.5.6 Programy EÚS</w:t>
      </w:r>
      <w:bookmarkEnd w:id="515"/>
      <w:bookmarkEnd w:id="516"/>
    </w:p>
    <w:bookmarkEnd w:id="517"/>
    <w:bookmarkEnd w:id="518"/>
    <w:p w14:paraId="106313E3"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Na programy EÚS sa rovnako vzťahujú pravidlá oprávnenosti upravené všeobecným nariadením, vrátane pravidiel týkajúcich sa vecných príspevkov, odpisov a zjednodušeného vykazovania výdavkov. Navyše, nariadenie o EÚS v čl. 19 obsahuje aj osobitné pravidlo o paušálnej sadzbe pre náklady na zamestnancov. Podľa neho, náklady na zamestnancov v rámci projektu možno vypočítať ako paušálnu sadzbu do výšky 20</w:t>
      </w:r>
      <w:r w:rsidR="00C93F30">
        <w:rPr>
          <w:color w:val="000000"/>
          <w:lang w:eastAsia="en-US"/>
        </w:rPr>
        <w:t xml:space="preserve"> </w:t>
      </w:r>
      <w:r>
        <w:rPr>
          <w:color w:val="000000"/>
          <w:lang w:eastAsia="en-US"/>
        </w:rPr>
        <w:t>% priamych nákladov na projekt po odpočítaní nákladov na zamestnancov.</w:t>
      </w:r>
    </w:p>
    <w:p w14:paraId="43FE9AF8"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Bez toho, aby boli dotknuté pravidlá oprávnenosti ustanovené vo všeobecnom nariadení alebo v nariadení o EÚS, pravidlá oprávnenosti pre program EÚS ako celok stanoví MV.</w:t>
      </w:r>
    </w:p>
    <w:p w14:paraId="198C0795"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Pokiaľ ide o záležitosti, na ktoré sa nevzťahujú pravidlá oprávnenosti ustanovené vo všeobecnom nariadení, v nariadení o EÚS alebo ustanovené MV, uplatňujú sa vnútroštátne pravidlá krajiny, v ktorej výdavky vznikli.</w:t>
      </w:r>
    </w:p>
    <w:p w14:paraId="2C0B9514"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w:t>
      </w:r>
      <w:r>
        <w:rPr>
          <w:color w:val="000000"/>
          <w:lang w:eastAsia="en-US"/>
        </w:rPr>
        <w:lastRenderedPageBreak/>
        <w:t xml:space="preserve">Delegovaný akt pritom definuje 5 konkrétnych skupín výdavkov a pravidlá, ktoré sa na tieto výdavkové skupiny vzťahujú. Ide o tieto skupiny výdavkov: </w:t>
      </w:r>
    </w:p>
    <w:p w14:paraId="5362F1B6" w14:textId="77777777" w:rsidR="00B650E5" w:rsidRDefault="00B650E5">
      <w:pPr>
        <w:numPr>
          <w:ilvl w:val="0"/>
          <w:numId w:val="158"/>
        </w:numPr>
        <w:spacing w:before="120" w:after="120"/>
        <w:ind w:left="850" w:hanging="425"/>
        <w:jc w:val="both"/>
        <w:rPr>
          <w:color w:val="000000"/>
        </w:rPr>
      </w:pPr>
      <w:r>
        <w:rPr>
          <w:color w:val="000000"/>
        </w:rPr>
        <w:t xml:space="preserve">náklady na zamestnancov, </w:t>
      </w:r>
    </w:p>
    <w:p w14:paraId="15DFBDF8" w14:textId="77777777" w:rsidR="00B650E5" w:rsidRDefault="00B650E5">
      <w:pPr>
        <w:numPr>
          <w:ilvl w:val="0"/>
          <w:numId w:val="158"/>
        </w:numPr>
        <w:spacing w:before="120" w:after="120"/>
        <w:ind w:left="850" w:hanging="425"/>
        <w:jc w:val="both"/>
        <w:rPr>
          <w:color w:val="000000"/>
        </w:rPr>
      </w:pPr>
      <w:r>
        <w:rPr>
          <w:color w:val="000000"/>
        </w:rPr>
        <w:t xml:space="preserve">kancelárske a administratívne výdavky, </w:t>
      </w:r>
    </w:p>
    <w:p w14:paraId="43878752" w14:textId="77777777" w:rsidR="00B650E5" w:rsidRDefault="00B650E5">
      <w:pPr>
        <w:numPr>
          <w:ilvl w:val="0"/>
          <w:numId w:val="158"/>
        </w:numPr>
        <w:spacing w:before="120" w:after="120"/>
        <w:ind w:left="850" w:hanging="425"/>
        <w:jc w:val="both"/>
        <w:rPr>
          <w:color w:val="000000"/>
        </w:rPr>
      </w:pPr>
      <w:r>
        <w:rPr>
          <w:color w:val="000000"/>
        </w:rPr>
        <w:t xml:space="preserve">cestovné náklad a náklady na ubytovanie, </w:t>
      </w:r>
    </w:p>
    <w:p w14:paraId="415F1F6B" w14:textId="77777777" w:rsidR="00B650E5" w:rsidRDefault="00B650E5">
      <w:pPr>
        <w:numPr>
          <w:ilvl w:val="0"/>
          <w:numId w:val="158"/>
        </w:numPr>
        <w:spacing w:before="120" w:after="120"/>
        <w:ind w:left="850" w:hanging="425"/>
        <w:jc w:val="both"/>
        <w:rPr>
          <w:color w:val="000000"/>
        </w:rPr>
      </w:pPr>
      <w:r>
        <w:rPr>
          <w:color w:val="000000"/>
        </w:rPr>
        <w:t>náklady na externú expertízu a náklady na služby,</w:t>
      </w:r>
    </w:p>
    <w:p w14:paraId="79452269" w14:textId="77777777" w:rsidR="00B650E5" w:rsidRDefault="00B650E5">
      <w:pPr>
        <w:numPr>
          <w:ilvl w:val="0"/>
          <w:numId w:val="158"/>
        </w:numPr>
        <w:spacing w:before="120" w:after="120"/>
        <w:ind w:left="850" w:hanging="425"/>
        <w:jc w:val="both"/>
        <w:rPr>
          <w:color w:val="000000"/>
        </w:rPr>
      </w:pPr>
      <w:r>
        <w:rPr>
          <w:color w:val="000000"/>
        </w:rPr>
        <w:t xml:space="preserve">výdavky na vybavenie.  </w:t>
      </w:r>
    </w:p>
    <w:p w14:paraId="6C460E7A" w14:textId="77777777" w:rsidR="00B650E5" w:rsidRDefault="00B650E5">
      <w:pPr>
        <w:pStyle w:val="Zoznamsodrkami"/>
        <w:numPr>
          <w:ilvl w:val="0"/>
          <w:numId w:val="0"/>
        </w:numPr>
        <w:spacing w:before="120" w:after="120"/>
        <w:ind w:left="426"/>
        <w:rPr>
          <w:sz w:val="24"/>
          <w:szCs w:val="22"/>
        </w:rPr>
      </w:pPr>
      <w:r>
        <w:rPr>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14:paraId="56A653BB"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Osobitné pravidlá pre programy EÚS sa uplatňujú bez toho, aby boli dotknuté pravidlá oprávnenosti pre všetky EŠIF uvedené v čl. 65 až 69 všeobecného nariadenia a osobitná paušálna sadzba na zamestnancov uvedená v čl. 19 nariadenia o EÚS.</w:t>
      </w:r>
    </w:p>
    <w:p w14:paraId="45E71F0D"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14:paraId="4E9F01B3"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Ak sa pravidlá ustanovené v delegovanom akte vzťahujú na jednu alebo viaceré PO programu EÚS (</w:t>
      </w:r>
      <w:r w:rsidR="00C93F30">
        <w:rPr>
          <w:color w:val="000000"/>
          <w:lang w:eastAsia="en-US"/>
        </w:rPr>
        <w:t xml:space="preserve">t. j. </w:t>
      </w:r>
      <w:r>
        <w:rPr>
          <w:color w:val="000000"/>
          <w:lang w:eastAsia="en-US"/>
        </w:rPr>
        <w:t xml:space="preserve"> skupina výdavkov ako napr. režijné výdavky je oprávnená), členské štáty nemôžu aplikovať iba časť týchto pravidiel.</w:t>
      </w:r>
    </w:p>
    <w:p w14:paraId="451110E9" w14:textId="77777777" w:rsidR="00B650E5" w:rsidRDefault="00B650E5">
      <w:pPr>
        <w:pStyle w:val="SRK3"/>
        <w:rPr>
          <w:i/>
        </w:rPr>
      </w:pPr>
      <w:bookmarkStart w:id="519" w:name="_Toc453234084"/>
      <w:bookmarkStart w:id="520" w:name="_Toc495649441"/>
      <w:r>
        <w:t>3.5.7 Hotovostné platby</w:t>
      </w:r>
      <w:bookmarkEnd w:id="519"/>
      <w:bookmarkEnd w:id="520"/>
      <w:r>
        <w:t xml:space="preserve"> </w:t>
      </w:r>
      <w:r>
        <w:rPr>
          <w:i/>
        </w:rPr>
        <w:t xml:space="preserve">           </w:t>
      </w:r>
    </w:p>
    <w:p w14:paraId="3AC28F2A"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Pr>
          <w:color w:val="000000"/>
          <w:vertAlign w:val="superscript"/>
          <w:lang w:eastAsia="en-US"/>
        </w:rPr>
        <w:footnoteReference w:id="125"/>
      </w:r>
      <w:r>
        <w:rPr>
          <w:color w:val="000000"/>
          <w:lang w:eastAsia="en-US"/>
        </w:rPr>
        <w:t>.</w:t>
      </w:r>
    </w:p>
    <w:p w14:paraId="54FB13E6"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 xml:space="preserve">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 hotovosti v jednom mesiaci nepresiahne 1 500 EUR. </w:t>
      </w:r>
    </w:p>
    <w:p w14:paraId="3F374FFF"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 xml:space="preserve">Podľa § 4 zákona o obmedzení platieb v hotovosti pri právnických osobách a fyzických osobách - podnikateľoch sa zakazuje platba v hotovosti, ktorej hodnota prevyšuje 5 000 EUR. </w:t>
      </w:r>
    </w:p>
    <w:p w14:paraId="4804C3A0" w14:textId="77777777" w:rsidR="00B650E5" w:rsidRDefault="00B650E5">
      <w:pPr>
        <w:pStyle w:val="SRK3"/>
      </w:pPr>
      <w:bookmarkStart w:id="521" w:name="_Toc453234085"/>
      <w:bookmarkStart w:id="522" w:name="_Toc495649442"/>
      <w:r>
        <w:t>3.5.8 Zjednodušené vykazovanie výdavkov</w:t>
      </w:r>
      <w:bookmarkEnd w:id="521"/>
      <w:bookmarkEnd w:id="522"/>
      <w:r>
        <w:t xml:space="preserve">  </w:t>
      </w:r>
    </w:p>
    <w:p w14:paraId="79D1B0BB" w14:textId="77777777" w:rsidR="00B650E5" w:rsidRDefault="00B650E5">
      <w:pPr>
        <w:numPr>
          <w:ilvl w:val="0"/>
          <w:numId w:val="276"/>
        </w:numPr>
        <w:autoSpaceDE w:val="0"/>
        <w:autoSpaceDN w:val="0"/>
        <w:adjustRightInd w:val="0"/>
        <w:spacing w:before="120" w:after="120"/>
        <w:ind w:left="426" w:hanging="426"/>
        <w:jc w:val="both"/>
        <w:rPr>
          <w:color w:val="000000"/>
          <w:lang w:eastAsia="en-US"/>
        </w:rPr>
      </w:pPr>
      <w:r>
        <w:rPr>
          <w:color w:val="000000"/>
          <w:lang w:eastAsia="en-US"/>
        </w:rPr>
        <w:t xml:space="preserve">Zjednodušené vykazovanie výdavkov je umožnené čl. 67 odsek 1 všeobecného nariadenia, ktorý znie: </w:t>
      </w:r>
    </w:p>
    <w:p w14:paraId="7C75ED71" w14:textId="77777777" w:rsidR="00B650E5" w:rsidRDefault="00B650E5">
      <w:pPr>
        <w:spacing w:before="120" w:after="120"/>
        <w:ind w:left="425"/>
      </w:pPr>
      <w:r>
        <w:t>„Granty</w:t>
      </w:r>
      <w:r>
        <w:rPr>
          <w:rStyle w:val="Odkaznapoznmkupodiarou"/>
        </w:rPr>
        <w:footnoteReference w:id="126"/>
      </w:r>
      <w:r>
        <w:t>“  môžu mať jednu z týchto foriem:</w:t>
      </w:r>
    </w:p>
    <w:p w14:paraId="5322FD76" w14:textId="77777777" w:rsidR="00B650E5" w:rsidRDefault="00B650E5">
      <w:pPr>
        <w:numPr>
          <w:ilvl w:val="0"/>
          <w:numId w:val="160"/>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14:paraId="006289FD" w14:textId="6DF3671F" w:rsidR="00B650E5" w:rsidRDefault="00B650E5">
      <w:pPr>
        <w:numPr>
          <w:ilvl w:val="0"/>
          <w:numId w:val="160"/>
        </w:numPr>
        <w:spacing w:before="120" w:after="120"/>
        <w:ind w:left="850" w:hanging="425"/>
        <w:jc w:val="both"/>
        <w:rPr>
          <w:color w:val="000000"/>
        </w:rPr>
      </w:pPr>
      <w:r>
        <w:rPr>
          <w:color w:val="000000"/>
        </w:rPr>
        <w:t>štandardné stupnice jednotkových výdavkov;</w:t>
      </w:r>
    </w:p>
    <w:p w14:paraId="5F545486" w14:textId="77777777" w:rsidR="00B650E5" w:rsidRDefault="00B650E5">
      <w:pPr>
        <w:numPr>
          <w:ilvl w:val="0"/>
          <w:numId w:val="160"/>
        </w:numPr>
        <w:spacing w:before="120" w:after="120"/>
        <w:ind w:left="850" w:hanging="425"/>
        <w:jc w:val="both"/>
        <w:rPr>
          <w:color w:val="000000"/>
        </w:rPr>
      </w:pPr>
      <w:r>
        <w:rPr>
          <w:color w:val="000000"/>
        </w:rPr>
        <w:lastRenderedPageBreak/>
        <w:t>paušálne sumy nepresahujúce 100 000 EUR vo forme verejného príspevku;</w:t>
      </w:r>
    </w:p>
    <w:p w14:paraId="413B7990" w14:textId="77777777" w:rsidR="00B650E5" w:rsidRDefault="00B650E5">
      <w:pPr>
        <w:numPr>
          <w:ilvl w:val="0"/>
          <w:numId w:val="160"/>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14:paraId="21B36C38" w14:textId="77777777" w:rsidR="00B650E5" w:rsidRDefault="00B650E5">
      <w:pPr>
        <w:spacing w:before="120" w:after="120"/>
        <w:ind w:left="425"/>
        <w:jc w:val="both"/>
      </w:pPr>
      <w:r>
        <w:t>Vyššie uvedené možnosti možno kombinovať iba vtedy, ak sa každá vzťahuje na rôzne kategórie výdavkov alebo ak sa použijú na rôzne projekty, ktoré tvoria súčasť operácie alebo za sebou nasledujúce fázy operácie.</w:t>
      </w:r>
    </w:p>
    <w:p w14:paraId="7B4B7130"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Ak sa operácia alebo projekt, ktorý tvorí súčasť operácie, vykonáva výhradne prostredníctvom obstarávania prác, tovarov alebo služieb, uplatňuje sa iba možnosť podľa písm. a). Ak sa obstarávanie v rámci operácie alebo projektu, ktorý tvorí časť operácie obmedzuje len na určité kategórie výdavkov, môžu sa uplatniť všetky vyššie uvedené možnosti.</w:t>
      </w:r>
    </w:p>
    <w:p w14:paraId="18423E45"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 xml:space="preserve">Sumy/sadzby, s ktorými uvedené metódy zjednodušeného vykazovania výdavkov pracujú, je potrebné určiť na základe: </w:t>
      </w:r>
    </w:p>
    <w:p w14:paraId="405B8C0C" w14:textId="77777777" w:rsidR="00B650E5" w:rsidRDefault="00B650E5">
      <w:pPr>
        <w:numPr>
          <w:ilvl w:val="0"/>
          <w:numId w:val="161"/>
        </w:numPr>
        <w:spacing w:before="120" w:after="120"/>
        <w:ind w:left="850" w:hanging="425"/>
        <w:jc w:val="both"/>
        <w:rPr>
          <w:color w:val="000000"/>
        </w:rPr>
      </w:pPr>
      <w:r>
        <w:rPr>
          <w:color w:val="000000"/>
        </w:rPr>
        <w:t>spravodlivej, primeranej a overiteľnej metódy výpočtu založenej na štatistických údajoch alebo iných objektívnych informáciách, alebo overiteľných údajoch o jednotlivých prijímateľoch, alebo na základe uplatnenia ich zvyčajných postupov pre účtovanie výdavkov;</w:t>
      </w:r>
    </w:p>
    <w:p w14:paraId="13187DEE"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14:paraId="2DA3D792"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14:paraId="0191DA27" w14:textId="77777777" w:rsidR="00B650E5" w:rsidRDefault="00B650E5">
      <w:pPr>
        <w:numPr>
          <w:ilvl w:val="0"/>
          <w:numId w:val="161"/>
        </w:numPr>
        <w:spacing w:before="120" w:after="120"/>
        <w:ind w:left="850" w:hanging="425"/>
        <w:jc w:val="both"/>
        <w:rPr>
          <w:color w:val="000000"/>
        </w:rPr>
      </w:pPr>
      <w:r>
        <w:rPr>
          <w:color w:val="000000"/>
        </w:rPr>
        <w:t>sadzieb stanovených všeobecným nariadením alebo na základe pravidiel pre jednotlivé EŠIF.</w:t>
      </w:r>
    </w:p>
    <w:p w14:paraId="536AC30A" w14:textId="2DC8115D" w:rsidR="00B650E5" w:rsidRPr="00997CB0" w:rsidRDefault="00B650E5" w:rsidP="00997CB0">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997CB0">
        <w:rPr>
          <w:color w:val="000000"/>
          <w:lang w:eastAsia="en-US"/>
        </w:rPr>
        <w:t xml:space="preserve"> poskytuje príspevok alebo jeho časť prijímateľovi formou zjednodušeného vykazovania výdavkov podľa osobitných predpisov</w:t>
      </w:r>
      <w:r>
        <w:rPr>
          <w:rStyle w:val="Odkaznapoznmkupodiarou"/>
          <w:color w:val="000000"/>
          <w:lang w:eastAsia="en-US"/>
        </w:rPr>
        <w:footnoteReference w:id="127"/>
      </w:r>
      <w:r w:rsidRPr="00997CB0">
        <w:rPr>
          <w:color w:val="000000"/>
          <w:lang w:eastAsia="en-US"/>
        </w:rPr>
        <w:t xml:space="preserve"> podľa metodiky zjednodušeného vykazovania výdavkov vypracovanej </w:t>
      </w:r>
      <w:r>
        <w:rPr>
          <w:color w:val="000000"/>
          <w:lang w:eastAsia="en-US"/>
        </w:rPr>
        <w:t>RO</w:t>
      </w:r>
      <w:r w:rsidRPr="00997CB0">
        <w:rPr>
          <w:color w:val="000000"/>
          <w:lang w:eastAsia="en-US"/>
        </w:rPr>
        <w:t>. Metodika zjednodušeného vykazovania výdavkov obsahuje najmä:</w:t>
      </w:r>
    </w:p>
    <w:p w14:paraId="41C92B4E" w14:textId="77777777" w:rsidR="00B650E5" w:rsidRDefault="00B650E5" w:rsidP="00997CB0">
      <w:pPr>
        <w:numPr>
          <w:ilvl w:val="0"/>
          <w:numId w:val="407"/>
        </w:numPr>
        <w:spacing w:before="120" w:after="120"/>
        <w:ind w:left="714" w:hanging="357"/>
        <w:jc w:val="both"/>
      </w:pPr>
      <w:bookmarkStart w:id="523" w:name="kapitola_358_ods_4a"/>
      <w:r w:rsidRPr="00AD420A">
        <w:t xml:space="preserve">podmienky uplatnenia zjednodušeného vykazovania výdavkov vrátane ustanovenia podmienok oprávnenosti výdavkov, </w:t>
      </w:r>
    </w:p>
    <w:bookmarkEnd w:id="523"/>
    <w:p w14:paraId="5D8F1804" w14:textId="77777777" w:rsidR="00B650E5" w:rsidRDefault="00B650E5" w:rsidP="00997CB0">
      <w:pPr>
        <w:numPr>
          <w:ilvl w:val="0"/>
          <w:numId w:val="407"/>
        </w:numPr>
        <w:spacing w:before="120" w:after="120"/>
        <w:ind w:left="714" w:hanging="357"/>
        <w:jc w:val="both"/>
      </w:pPr>
      <w:r w:rsidRPr="00AD420A">
        <w:t>metodiku ustanovenia výšky oprávnených výdavkov</w:t>
      </w:r>
      <w:r w:rsidR="00664983">
        <w:rPr>
          <w:rStyle w:val="Odkaznapoznmkupodiarou"/>
          <w:color w:val="000000"/>
        </w:rPr>
        <w:footnoteReference w:id="128"/>
      </w:r>
      <w:r w:rsidRPr="00AD420A">
        <w:t xml:space="preserve"> a  </w:t>
      </w:r>
    </w:p>
    <w:p w14:paraId="559932A2" w14:textId="77777777" w:rsidR="00B650E5" w:rsidRDefault="00B650E5" w:rsidP="00997CB0">
      <w:pPr>
        <w:numPr>
          <w:ilvl w:val="0"/>
          <w:numId w:val="407"/>
        </w:numPr>
        <w:spacing w:before="120" w:after="120"/>
        <w:ind w:left="714" w:hanging="357"/>
        <w:jc w:val="both"/>
      </w:pPr>
      <w:bookmarkStart w:id="524" w:name="kapitola_358_ods_4c"/>
      <w:r w:rsidRPr="00AD420A">
        <w:t xml:space="preserve">spôsob výkonu kontroly. </w:t>
      </w:r>
    </w:p>
    <w:bookmarkEnd w:id="524"/>
    <w:p w14:paraId="1AF7730C" w14:textId="77777777" w:rsidR="00B650E5" w:rsidRPr="00997CB0" w:rsidRDefault="00B650E5" w:rsidP="00997CB0">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997CB0">
        <w:rPr>
          <w:color w:val="000000"/>
          <w:lang w:eastAsia="en-US"/>
        </w:rPr>
        <w:t xml:space="preserve"> uvedie podmienky uplatnenia zjednodušeného vykazovania výdavkov podľa </w:t>
      </w:r>
      <w:hyperlink w:anchor="kapitola_358_ods_4a" w:tooltip="ods. 4 písm. a)" w:history="1">
        <w:r w:rsidRPr="00997CB0">
          <w:rPr>
            <w:rStyle w:val="Hypertextovprepojenie"/>
            <w:lang w:eastAsia="en-US"/>
          </w:rPr>
          <w:t xml:space="preserve">ods. </w:t>
        </w:r>
        <w:r w:rsidRPr="00EA316A">
          <w:rPr>
            <w:rStyle w:val="Hypertextovprepojenie"/>
            <w:lang w:eastAsia="en-US"/>
          </w:rPr>
          <w:t xml:space="preserve">4 </w:t>
        </w:r>
        <w:r w:rsidRPr="00997CB0">
          <w:rPr>
            <w:rStyle w:val="Hypertextovprepojenie"/>
            <w:lang w:eastAsia="en-US"/>
          </w:rPr>
          <w:t>písm. a)</w:t>
        </w:r>
      </w:hyperlink>
      <w:r w:rsidRPr="00997CB0">
        <w:rPr>
          <w:color w:val="000000"/>
          <w:lang w:eastAsia="en-US"/>
        </w:rPr>
        <w:t xml:space="preserve"> a spôsob výkonu kontroly podľa </w:t>
      </w:r>
      <w:hyperlink w:anchor="kapitola_358_ods_4c" w:tooltip="ods. 4 písm. c)" w:history="1">
        <w:r w:rsidRPr="00997CB0">
          <w:rPr>
            <w:rStyle w:val="Hypertextovprepojenie"/>
            <w:lang w:eastAsia="en-US"/>
          </w:rPr>
          <w:t xml:space="preserve">ods. </w:t>
        </w:r>
        <w:r w:rsidRPr="00EA316A">
          <w:rPr>
            <w:rStyle w:val="Hypertextovprepojenie"/>
            <w:lang w:eastAsia="en-US"/>
          </w:rPr>
          <w:t xml:space="preserve">4 </w:t>
        </w:r>
        <w:r w:rsidRPr="00997CB0">
          <w:rPr>
            <w:rStyle w:val="Hypertextovprepojenie"/>
            <w:lang w:eastAsia="en-US"/>
          </w:rPr>
          <w:t>písm. c)</w:t>
        </w:r>
      </w:hyperlink>
      <w:r w:rsidRPr="00997CB0">
        <w:rPr>
          <w:color w:val="000000"/>
          <w:lang w:eastAsia="en-US"/>
        </w:rPr>
        <w:t xml:space="preserve"> vo výzve alebo vyzvaní.</w:t>
      </w:r>
    </w:p>
    <w:p w14:paraId="22056003" w14:textId="07217B80" w:rsidR="00B650E5" w:rsidRPr="00997CB0" w:rsidRDefault="00B650E5" w:rsidP="00997CB0">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997CB0">
        <w:rPr>
          <w:color w:val="000000"/>
          <w:lang w:eastAsia="en-US"/>
        </w:rPr>
        <w:t xml:space="preserve"> pri výkone kontroly splnenia podmienok oprávnenosti výdavkov overuje najmä dosiahnutie výstupov alebo uskutočnenie procesov, pričom uvedeným konaním nie je dotknuté právo </w:t>
      </w:r>
      <w:r>
        <w:rPr>
          <w:color w:val="000000"/>
          <w:lang w:eastAsia="en-US"/>
        </w:rPr>
        <w:t>RO</w:t>
      </w:r>
      <w:r w:rsidRPr="00997CB0">
        <w:rPr>
          <w:color w:val="000000"/>
          <w:lang w:eastAsia="en-US"/>
        </w:rPr>
        <w:t xml:space="preserve"> v</w:t>
      </w:r>
      <w:r w:rsidR="008520E6">
        <w:rPr>
          <w:color w:val="000000"/>
          <w:lang w:eastAsia="en-US"/>
        </w:rPr>
        <w:t> </w:t>
      </w:r>
      <w:r w:rsidRPr="00997CB0">
        <w:rPr>
          <w:color w:val="000000"/>
          <w:lang w:eastAsia="en-US"/>
        </w:rPr>
        <w:t>odôvodnených prípadoch</w:t>
      </w:r>
      <w:r>
        <w:rPr>
          <w:rStyle w:val="Odkaznapoznmkupodiarou"/>
          <w:color w:val="000000"/>
          <w:lang w:eastAsia="en-US"/>
        </w:rPr>
        <w:footnoteReference w:id="129"/>
      </w:r>
      <w:r>
        <w:rPr>
          <w:color w:val="000000"/>
          <w:lang w:eastAsia="en-US"/>
        </w:rPr>
        <w:t xml:space="preserve"> </w:t>
      </w:r>
      <w:r w:rsidRPr="00997CB0">
        <w:rPr>
          <w:color w:val="000000"/>
          <w:lang w:eastAsia="en-US"/>
        </w:rPr>
        <w:t xml:space="preserve">overiť ďalšie skutočnosti súvisiace s projektom. </w:t>
      </w:r>
      <w:r>
        <w:rPr>
          <w:color w:val="000000"/>
          <w:lang w:eastAsia="en-US"/>
        </w:rPr>
        <w:t>RO</w:t>
      </w:r>
      <w:r w:rsidRPr="00997CB0">
        <w:rPr>
          <w:color w:val="000000"/>
          <w:lang w:eastAsia="en-US"/>
        </w:rPr>
        <w:t xml:space="preserve"> neoveruje výdavky skutočne vynaložené prijímateľom. </w:t>
      </w:r>
    </w:p>
    <w:p w14:paraId="434125F6" w14:textId="77777777" w:rsidR="00B650E5" w:rsidRPr="00997CB0" w:rsidRDefault="00B650E5" w:rsidP="00997CB0">
      <w:pPr>
        <w:numPr>
          <w:ilvl w:val="0"/>
          <w:numId w:val="276"/>
        </w:numPr>
        <w:autoSpaceDE w:val="0"/>
        <w:autoSpaceDN w:val="0"/>
        <w:adjustRightInd w:val="0"/>
        <w:spacing w:before="120" w:after="120"/>
        <w:ind w:left="425" w:hanging="425"/>
        <w:jc w:val="both"/>
        <w:rPr>
          <w:color w:val="000000"/>
          <w:lang w:eastAsia="en-US"/>
        </w:rPr>
      </w:pPr>
      <w:r w:rsidRPr="00997CB0">
        <w:rPr>
          <w:color w:val="000000"/>
          <w:lang w:eastAsia="en-US"/>
        </w:rPr>
        <w:t>Kontrola podľa predchádzajúcich odsekov sa vykonáva postupom podľa osobitného predpisu.</w:t>
      </w:r>
      <w:r>
        <w:rPr>
          <w:rStyle w:val="Odkaznapoznmkupodiarou"/>
          <w:color w:val="000000"/>
          <w:lang w:eastAsia="en-US"/>
        </w:rPr>
        <w:footnoteReference w:id="130"/>
      </w:r>
      <w:r w:rsidRPr="00997CB0">
        <w:rPr>
          <w:color w:val="000000"/>
          <w:lang w:eastAsia="en-US"/>
        </w:rPr>
        <w:t xml:space="preserve"> </w:t>
      </w:r>
    </w:p>
    <w:p w14:paraId="355A2429" w14:textId="2A8B8F41" w:rsidR="00B650E5" w:rsidRPr="00997CB0" w:rsidRDefault="00B650E5" w:rsidP="00997CB0">
      <w:pPr>
        <w:numPr>
          <w:ilvl w:val="0"/>
          <w:numId w:val="276"/>
        </w:numPr>
        <w:autoSpaceDE w:val="0"/>
        <w:autoSpaceDN w:val="0"/>
        <w:adjustRightInd w:val="0"/>
        <w:spacing w:before="120" w:after="120"/>
        <w:ind w:left="425" w:hanging="425"/>
        <w:jc w:val="both"/>
        <w:rPr>
          <w:color w:val="000000"/>
          <w:lang w:eastAsia="en-US"/>
        </w:rPr>
      </w:pPr>
      <w:r w:rsidRPr="00997CB0">
        <w:rPr>
          <w:color w:val="000000"/>
          <w:lang w:eastAsia="en-US"/>
        </w:rPr>
        <w:lastRenderedPageBreak/>
        <w:t>Predchádzajúcimi odsekmi nie sú dotknuté povinnosti prijímateľa vyplývajúce z osobitných predpisov.</w:t>
      </w:r>
      <w:r>
        <w:rPr>
          <w:rStyle w:val="Odkaznapoznmkupodiarou"/>
          <w:color w:val="000000"/>
          <w:lang w:eastAsia="en-US"/>
        </w:rPr>
        <w:footnoteReference w:id="131"/>
      </w:r>
    </w:p>
    <w:p w14:paraId="0EFDE965"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V súlade s čl. 68 všeobecného nariadenia, ak realizácia projektu vedie k nepriamym výdavkom, výšku týchto výdavkov možno vypočítať ako paušálnu sadzbu jedným z nasledujúcich spôsobov:</w:t>
      </w:r>
    </w:p>
    <w:p w14:paraId="3DEF81B0" w14:textId="77777777" w:rsidR="00B650E5" w:rsidRDefault="00B650E5">
      <w:pPr>
        <w:numPr>
          <w:ilvl w:val="0"/>
          <w:numId w:val="162"/>
        </w:numPr>
        <w:spacing w:before="120" w:after="120"/>
        <w:ind w:left="850" w:hanging="425"/>
        <w:jc w:val="both"/>
        <w:rPr>
          <w:color w:val="000000"/>
        </w:rPr>
      </w:pPr>
      <w:r>
        <w:rPr>
          <w:color w:val="000000"/>
        </w:rPr>
        <w:t>ako paušálnu sadzbu až do výšky 25</w:t>
      </w:r>
      <w:r w:rsidR="00C93F30">
        <w:rPr>
          <w:color w:val="000000"/>
        </w:rPr>
        <w:t xml:space="preserve"> </w:t>
      </w:r>
      <w:r>
        <w:rPr>
          <w:color w:val="000000"/>
        </w:rPr>
        <w:t>% oprávnených priamych výdavkov pod podmienkou, že táto sadzba sa vypočíta pomocou spravodlivej, nestrannej a overiteľnej metódy výpočtu alebo pomocou metódy uplatňovanej v prípade grantových schém financovaných výlučne členským štátom pri podobnom type projektu a prijímateľa;</w:t>
      </w:r>
    </w:p>
    <w:p w14:paraId="284F070B" w14:textId="77777777" w:rsidR="00B650E5" w:rsidRDefault="00B650E5">
      <w:pPr>
        <w:numPr>
          <w:ilvl w:val="0"/>
          <w:numId w:val="162"/>
        </w:numPr>
        <w:spacing w:before="120" w:after="120"/>
        <w:ind w:left="850" w:hanging="425"/>
        <w:jc w:val="both"/>
        <w:rPr>
          <w:color w:val="000000"/>
        </w:rPr>
      </w:pPr>
      <w:r>
        <w:rPr>
          <w:color w:val="000000"/>
        </w:rPr>
        <w:t>ako paušálnu sadzbu až do výšky 15</w:t>
      </w:r>
      <w:r w:rsidR="00C93F30">
        <w:rPr>
          <w:color w:val="000000"/>
        </w:rPr>
        <w:t xml:space="preserve"> </w:t>
      </w:r>
      <w:r>
        <w:rPr>
          <w:color w:val="000000"/>
        </w:rPr>
        <w:t>% oprávnených priamych výdavkov na zamestnancov bez požiadavky, aby členský štát vykonal akýkoľvek výpočet na stanovenie uplatniteľnej sadzby;</w:t>
      </w:r>
    </w:p>
    <w:p w14:paraId="7ACDFD1F" w14:textId="77777777" w:rsidR="00B650E5" w:rsidRDefault="00B650E5">
      <w:pPr>
        <w:numPr>
          <w:ilvl w:val="0"/>
          <w:numId w:val="162"/>
        </w:numPr>
        <w:spacing w:before="120" w:after="120"/>
        <w:ind w:left="850" w:hanging="425"/>
        <w:jc w:val="both"/>
        <w:rPr>
          <w:color w:val="000000"/>
        </w:rPr>
      </w:pPr>
      <w:r>
        <w:rPr>
          <w:color w:val="000000"/>
        </w:rPr>
        <w:t>ako paušálnu sadzbu uplatňovanú na oprávnené priame výdavky pomocou existujúcich metód a príslušných sadzieb uplatňovaných v prípade politík EÚ pri podobnom type projektu a prijímateľa (</w:t>
      </w:r>
      <w:r>
        <w:t>článok 20 a 21 delegovaného nariadenia Komisie č. 480/2014)</w:t>
      </w:r>
      <w:r>
        <w:rPr>
          <w:color w:val="000000"/>
        </w:rPr>
        <w:t>.</w:t>
      </w:r>
    </w:p>
    <w:p w14:paraId="4B747D15"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Možnosť uplatnenia zjednodušeného vykazovania oprávnených výdavkov sa vzťahuje na všetky EŠIF.</w:t>
      </w:r>
    </w:p>
    <w:p w14:paraId="4EEF5AFB"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bookmarkStart w:id="525" w:name="kapitola_358_ods_7"/>
      <w:r>
        <w:t>V rámci OP financovaných z fondov môže RO stanoviť (vrátane pravidiel a podmienok uplatňovania), že prijímateľ predkladá spolu so ŽoP len sumarizačné hárky</w:t>
      </w:r>
      <w:r>
        <w:rPr>
          <w:rStyle w:val="Odkaznapoznmkupodiarou"/>
        </w:rPr>
        <w:footnoteReference w:id="132"/>
      </w:r>
      <w:r>
        <w:t xml:space="preserve"> stanovené RO za nasledovné druhy výdavkov:</w:t>
      </w:r>
    </w:p>
    <w:bookmarkEnd w:id="525"/>
    <w:p w14:paraId="4F822C8B" w14:textId="77777777" w:rsidR="00B650E5" w:rsidRDefault="00B650E5">
      <w:pPr>
        <w:numPr>
          <w:ilvl w:val="0"/>
          <w:numId w:val="347"/>
        </w:numPr>
        <w:tabs>
          <w:tab w:val="clear" w:pos="720"/>
        </w:tabs>
        <w:autoSpaceDE w:val="0"/>
        <w:autoSpaceDN w:val="0"/>
        <w:adjustRightInd w:val="0"/>
        <w:spacing w:before="120" w:after="120"/>
        <w:ind w:left="851" w:hanging="425"/>
        <w:jc w:val="both"/>
      </w:pPr>
      <w:r>
        <w:t>oblasť pracovno-právnych vzťahov (mzda (plat) vrátane odvodov za zamestnávateľa, odmeny za prácu, náhrady mzdy pre frekventantov);</w:t>
      </w:r>
    </w:p>
    <w:p w14:paraId="4FF3B6C6" w14:textId="77777777" w:rsidR="00B650E5" w:rsidRDefault="00B650E5">
      <w:pPr>
        <w:numPr>
          <w:ilvl w:val="0"/>
          <w:numId w:val="347"/>
        </w:numPr>
        <w:tabs>
          <w:tab w:val="clear" w:pos="720"/>
        </w:tabs>
        <w:autoSpaceDE w:val="0"/>
        <w:autoSpaceDN w:val="0"/>
        <w:adjustRightInd w:val="0"/>
        <w:spacing w:before="120" w:after="120"/>
        <w:ind w:left="851" w:hanging="425"/>
        <w:jc w:val="both"/>
      </w:pPr>
      <w:r>
        <w:t>doktorandské štipendiá;</w:t>
      </w:r>
    </w:p>
    <w:p w14:paraId="53B7A172" w14:textId="77777777" w:rsidR="00B650E5" w:rsidRDefault="00B650E5">
      <w:pPr>
        <w:numPr>
          <w:ilvl w:val="0"/>
          <w:numId w:val="347"/>
        </w:numPr>
        <w:tabs>
          <w:tab w:val="clear" w:pos="720"/>
        </w:tabs>
        <w:autoSpaceDE w:val="0"/>
        <w:autoSpaceDN w:val="0"/>
        <w:adjustRightInd w:val="0"/>
        <w:spacing w:before="120" w:after="120"/>
        <w:ind w:left="851" w:hanging="425"/>
        <w:jc w:val="both"/>
      </w:pPr>
      <w:r>
        <w:t>cestovné náhrady odborného, riadiaceho a administratívneho personálu (nie na základe dodávateľsko-odberateľských vzťahov);</w:t>
      </w:r>
    </w:p>
    <w:p w14:paraId="46B9723F" w14:textId="77777777" w:rsidR="00B650E5" w:rsidRDefault="00B650E5">
      <w:pPr>
        <w:numPr>
          <w:ilvl w:val="0"/>
          <w:numId w:val="347"/>
        </w:numPr>
        <w:tabs>
          <w:tab w:val="clear" w:pos="720"/>
        </w:tabs>
        <w:autoSpaceDE w:val="0"/>
        <w:autoSpaceDN w:val="0"/>
        <w:adjustRightInd w:val="0"/>
        <w:spacing w:before="120" w:after="120"/>
        <w:ind w:left="851" w:hanging="425"/>
        <w:jc w:val="both"/>
      </w:pPr>
      <w:r>
        <w:t>cestovné náhrady pre oprávnenú cieľovú skupinu (nie na základe dodávateľsko-odberateľských vzťahov);</w:t>
      </w:r>
    </w:p>
    <w:p w14:paraId="5360C0F0" w14:textId="77777777" w:rsidR="00B650E5" w:rsidRDefault="00B650E5">
      <w:pPr>
        <w:numPr>
          <w:ilvl w:val="0"/>
          <w:numId w:val="347"/>
        </w:numPr>
        <w:tabs>
          <w:tab w:val="clear" w:pos="720"/>
        </w:tabs>
        <w:autoSpaceDE w:val="0"/>
        <w:autoSpaceDN w:val="0"/>
        <w:adjustRightInd w:val="0"/>
        <w:spacing w:before="120" w:after="120"/>
        <w:ind w:left="851" w:hanging="425"/>
        <w:jc w:val="both"/>
      </w:pPr>
      <w:r>
        <w:t>pohonné hmoty, ak nie sú obsiahnuté v cestovných náhradách (aplikuje sa pre služobné motorové vozidlá).</w:t>
      </w:r>
    </w:p>
    <w:p w14:paraId="41D6A02A" w14:textId="7766E762" w:rsidR="00B650E5" w:rsidRDefault="00B650E5">
      <w:pPr>
        <w:pStyle w:val="Odsekzoznamu"/>
        <w:numPr>
          <w:ilvl w:val="0"/>
          <w:numId w:val="276"/>
        </w:numPr>
        <w:autoSpaceDE w:val="0"/>
        <w:autoSpaceDN w:val="0"/>
        <w:adjustRightInd w:val="0"/>
        <w:spacing w:before="120" w:after="120"/>
        <w:ind w:left="426" w:hanging="426"/>
        <w:contextualSpacing w:val="0"/>
        <w:jc w:val="both"/>
      </w:pPr>
      <w:r>
        <w:t>V rámci OP financovaných z fondov môže RO stanoviť (vrátane pravidiel a podmienok uplatňovania), že prijímateľ predkladá spolu so   ŽoP len sumarizačné hárky</w:t>
      </w:r>
      <w:r>
        <w:rPr>
          <w:rStyle w:val="Odkaznapoznmkupodiarou"/>
        </w:rPr>
        <w:footnoteReference w:id="133"/>
      </w:r>
      <w:r>
        <w:t xml:space="preserve"> stanovené RO za</w:t>
      </w:r>
      <w:r w:rsidR="008520E6">
        <w:t> </w:t>
      </w:r>
      <w:r>
        <w:t>špecifikované druhy oprávnených výdavkov projektu (ide o iné druhy výdavkov ako sú uvedené v </w:t>
      </w:r>
      <w:hyperlink w:anchor="kapitola_358_ods_7" w:tooltip="ods. 7" w:history="1">
        <w:r>
          <w:rPr>
            <w:rStyle w:val="Hypertextovprepojenie"/>
          </w:rPr>
          <w:t xml:space="preserve">ods. </w:t>
        </w:r>
        <w:r w:rsidR="00443541">
          <w:rPr>
            <w:rStyle w:val="Hypertextovprepojenie"/>
          </w:rPr>
          <w:t>11</w:t>
        </w:r>
      </w:hyperlink>
      <w:r>
        <w:t>), ktorých cena (buď jednotková alebo kumulatívna za všetky výdavky na</w:t>
      </w:r>
      <w:r w:rsidR="008520E6">
        <w:t> </w:t>
      </w:r>
      <w:r>
        <w:t xml:space="preserve">zodpovedajúcom účtovnom doklade) nie je vyššia ako 500 EUR. </w:t>
      </w:r>
    </w:p>
    <w:p w14:paraId="61CB3117"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pPr>
      <w:r>
        <w:t>Pri aplikovaní vykazovania určitých druhov výdavkov prostredníctvom sumarizačných hárkov RO sú aj naďalej zodpovedné za dodržiavanie podmienok ustanovených v čl. 72 a čl. 125 ods. 4 všeobecného nariadenia.</w:t>
      </w:r>
    </w:p>
    <w:p w14:paraId="4B272449" w14:textId="77777777" w:rsidR="00B650E5" w:rsidRDefault="00B650E5">
      <w:pPr>
        <w:pStyle w:val="SRK3"/>
      </w:pPr>
      <w:bookmarkStart w:id="526" w:name="_Toc453234086"/>
      <w:bookmarkStart w:id="527" w:name="_Toc495649443"/>
      <w:r>
        <w:lastRenderedPageBreak/>
        <w:t>3.5.9 Dodatočné pravidlá zjednodušeného vykazovania výdavkov platné pre ESF a pre cieľ EÚS</w:t>
      </w:r>
      <w:bookmarkEnd w:id="526"/>
      <w:bookmarkEnd w:id="527"/>
      <w:r>
        <w:t xml:space="preserve">  </w:t>
      </w:r>
    </w:p>
    <w:p w14:paraId="37A7D1B2"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bookmarkStart w:id="528" w:name="_Toc378947533"/>
      <w:r>
        <w:rPr>
          <w:color w:val="000000"/>
          <w:lang w:eastAsia="en-US"/>
        </w:rPr>
        <w:t>V zmysle čl. 14 nariadenia o ESF, okrem metód uvedených v čl. 67 všeobecného nariadenia, EK môže uhradiť výdavky zaplatené členskými štátmi na základe štandardnej stupnice jednotkových výdavkov a paušálnych súm vymedzených EK. Sumy vypočítané na tomto základe sa pokladajú za verejnú podporu vyplatenú prijímateľom a za oprávnené výdavky.</w:t>
      </w:r>
    </w:p>
    <w:p w14:paraId="3C2476F3"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14:paraId="5DF42796"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Finančný audit je zameraný výlučne na overenie splnenia podmienok pre úhradu výdavkov EK na základe štandardnej stupnice jednotkových výdavkov a paušálnych súm.</w:t>
      </w:r>
    </w:p>
    <w:p w14:paraId="7A9F8120"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14:paraId="5429AE72"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súlade s čl. 67 ods. 1 písm. d) a ods. 5 písm. d) všeobecného nariadenia sa môže použiť paušálna suma do výšky 40</w:t>
      </w:r>
      <w:r w:rsidR="00C93F30">
        <w:rPr>
          <w:color w:val="000000"/>
          <w:lang w:eastAsia="en-US"/>
        </w:rPr>
        <w:t xml:space="preserve"> </w:t>
      </w:r>
      <w:r>
        <w:rPr>
          <w:color w:val="000000"/>
          <w:lang w:eastAsia="en-US"/>
        </w:rPr>
        <w:t>% priamych nákladov na zamestnancov, aby sa pokryli zostávajúce oprávnené výdavky na projekt, a to bez požiadavky, aby RO vykonal akýkoľvek výpočet na stanovenie uplatniteľnej sadzby.</w:t>
      </w:r>
    </w:p>
    <w:p w14:paraId="5E163523"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 xml:space="preserve">Ak verejná podpora na granty a návratnú pomoc nepresahuje 100 000 EUR, sumy uvedené v článku 67 ods. 1 písm. b), c) a d) všeobecného nariadenia možno okrem využitia metód stanovených v článku 67 ods. 5 všeobecného nariadenia stanoviť aj na základe každého konkrétneho prípadu s odvolaním sa na návrh rozpočtu schválený ex ante RO. Bez toho, aby bol dotknutý článok 67 ods. 4 všeobecného nariadenia, granty, v prípade ktorých verejná podpora nepresahuje 50 000 EUR, sú vo forme paušálnych súm, štandardných stupníc jednotkových výdavkov alebo paušálnych sadzieb s výnimkou projektov, ktoré sú podporované v rámci schémy štátnej pomoci.  Ak sa využíva paušálne financovanie, kategórie výdavkov, ktoré sa používajú na výpočet sadzby, sa môžu uhrádzať v súlade s článkom 67 ods. 1 písm. a) všeobecného nariadenia, </w:t>
      </w:r>
      <w:r w:rsidR="00C93F30">
        <w:rPr>
          <w:color w:val="000000"/>
          <w:lang w:eastAsia="en-US"/>
        </w:rPr>
        <w:t xml:space="preserve">t. j. </w:t>
      </w:r>
      <w:r>
        <w:rPr>
          <w:color w:val="000000"/>
          <w:lang w:eastAsia="en-US"/>
        </w:rPr>
        <w:t xml:space="preserve"> na základe skutočne vynaložených a zaplatených výdavkov vrátane vecných príspevkov a odpisov.</w:t>
      </w:r>
    </w:p>
    <w:p w14:paraId="150164DF"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zmysle čl. 19 nariadenia o EÚS výdavky na zamestnancov v rámci projektu možno vypočítať paušálnou sadzbou až do výšky 20</w:t>
      </w:r>
      <w:r w:rsidR="00C93F30">
        <w:rPr>
          <w:color w:val="000000"/>
          <w:lang w:eastAsia="en-US"/>
        </w:rPr>
        <w:t xml:space="preserve"> </w:t>
      </w:r>
      <w:r>
        <w:rPr>
          <w:color w:val="000000"/>
          <w:lang w:eastAsia="en-US"/>
        </w:rPr>
        <w:t>% priamych nákladov na projekt po odpočítaní nákladov na zamestnancov.</w:t>
      </w:r>
    </w:p>
    <w:p w14:paraId="71877ABA" w14:textId="77777777" w:rsidR="00B650E5" w:rsidRPr="009078F6" w:rsidRDefault="00B650E5" w:rsidP="00DE5D89">
      <w:pPr>
        <w:pStyle w:val="SRK3"/>
      </w:pPr>
      <w:bookmarkStart w:id="529" w:name="_Toc453234087"/>
      <w:bookmarkStart w:id="530" w:name="_Toc495649444"/>
      <w:bookmarkStart w:id="531" w:name="kapitola_3510"/>
      <w:r>
        <w:t xml:space="preserve">3.5.10 </w:t>
      </w:r>
      <w:r w:rsidRPr="009078F6">
        <w:t>Pravidlá oprávnenosti v súvislosti s preddavkovými platbami</w:t>
      </w:r>
      <w:bookmarkEnd w:id="529"/>
      <w:bookmarkEnd w:id="530"/>
      <w:r w:rsidRPr="009078F6">
        <w:t xml:space="preserve">  </w:t>
      </w:r>
    </w:p>
    <w:bookmarkEnd w:id="531"/>
    <w:p w14:paraId="757C28DA"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 xml:space="preserve">úhrada finančných prostriedkov zo strany prijímateľa v prospech dodávateľa vopred, </w:t>
      </w:r>
      <w:r w:rsidR="00C93F30">
        <w:rPr>
          <w:rFonts w:cs="Arial"/>
          <w:szCs w:val="20"/>
        </w:rPr>
        <w:t xml:space="preserve">t. j. </w:t>
      </w:r>
      <w:r w:rsidRPr="00DE5D89">
        <w:rPr>
          <w:rFonts w:cs="Arial"/>
          <w:szCs w:val="20"/>
        </w:rPr>
        <w:t xml:space="preserve">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xml:space="preserve">. Preddavková platba sa vzťahuje na obchodné vzťahy medzi prijímateľom a dodávateľom, pričom samotný systém platieb na úrovni RO – prijímateľ, </w:t>
      </w:r>
      <w:r w:rsidR="00C93F30">
        <w:rPr>
          <w:rFonts w:cs="Arial"/>
          <w:szCs w:val="20"/>
        </w:rPr>
        <w:t xml:space="preserve">t. j. </w:t>
      </w:r>
      <w:r>
        <w:rPr>
          <w:rFonts w:cs="Arial"/>
          <w:szCs w:val="20"/>
        </w:rPr>
        <w:t xml:space="preserve"> predfinancovanie, zálohové platby, refundácia týmto nie je dotknutý </w:t>
      </w:r>
      <w:r w:rsidRPr="009078F6">
        <w:rPr>
          <w:rFonts w:cs="Arial"/>
          <w:szCs w:val="20"/>
        </w:rPr>
        <w:t>a  preddavkové platby je možné využiť v rámci každého systému financovania. P</w:t>
      </w:r>
      <w:r>
        <w:rPr>
          <w:rFonts w:cs="Arial"/>
          <w:szCs w:val="20"/>
        </w:rPr>
        <w:t>reddavkovou platbou sa nefinancujú podporné aktivity projektu.</w:t>
      </w:r>
    </w:p>
    <w:p w14:paraId="373839FE"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Vo vzťahu k posúdeniu oprávnenosti výdavkov, ktoré vznikli na základe preddavkových platieb je potrebné dodržať nasledujúce pravidlá:</w:t>
      </w:r>
    </w:p>
    <w:p w14:paraId="0315966D" w14:textId="228A7700"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lastRenderedPageBreak/>
        <w:t xml:space="preserve">Úhrada preddavkovej platby, </w:t>
      </w:r>
      <w:r w:rsidR="00C93F30">
        <w:rPr>
          <w:rFonts w:cs="Arial"/>
          <w:szCs w:val="20"/>
        </w:rPr>
        <w:t xml:space="preserve">t. j. </w:t>
      </w:r>
      <w:r w:rsidRPr="00DE5D89">
        <w:rPr>
          <w:rFonts w:cs="Arial"/>
          <w:szCs w:val="20"/>
        </w:rPr>
        <w:t>reálny úbytok finančných prostriedkov na strane prijímateľa musí byť realizovaná v období oprávnenosti výdavkov a v súlade s oprávneným obdobím pre výdavky stanovené vo výzve/vyzvaní a v </w:t>
      </w:r>
      <w:r>
        <w:rPr>
          <w:rFonts w:cs="Arial"/>
          <w:szCs w:val="20"/>
        </w:rPr>
        <w:t>zmluve</w:t>
      </w:r>
      <w:r w:rsidRPr="00DE5D89">
        <w:rPr>
          <w:rFonts w:cs="Arial"/>
          <w:szCs w:val="20"/>
        </w:rPr>
        <w:t xml:space="preserve"> o NFP;</w:t>
      </w:r>
    </w:p>
    <w:p w14:paraId="6E387C35"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Využitie preddavkových platieb musí byť v súlade s podmienkami verejného obstarávania a rovnako musí byť v súlade s podmienkami zmluvy uzavretej medzi prijímateľom a dodávateľom a bežnou obchodnou praxou</w:t>
      </w:r>
      <w:r>
        <w:rPr>
          <w:rStyle w:val="Odkaznapoznmkupodiarou"/>
          <w:rFonts w:cs="Arial"/>
          <w:szCs w:val="20"/>
        </w:rPr>
        <w:footnoteReference w:id="134"/>
      </w:r>
      <w:r w:rsidRPr="00DE5D89">
        <w:rPr>
          <w:rFonts w:cs="Arial"/>
          <w:szCs w:val="20"/>
        </w:rPr>
        <w:t xml:space="preserve">. Možnosť poskytovania preddavkových platieb preto musí byť súčasťou pôvodnej zmluvy uzavretej medzi prijímateľom a dodávateľom, ktorá bola výsledkom verejného obstarávania, </w:t>
      </w:r>
      <w:r w:rsidR="00C93F30">
        <w:rPr>
          <w:rFonts w:cs="Arial"/>
          <w:szCs w:val="20"/>
        </w:rPr>
        <w:t>keďže</w:t>
      </w:r>
      <w:r w:rsidRPr="00DE5D89">
        <w:rPr>
          <w:rFonts w:cs="Arial"/>
          <w:szCs w:val="20"/>
        </w:rPr>
        <w:t xml:space="preserve"> poskytovanie preddavkových platieb v prípade dodatku k pôvodnej zmluve by predstavovalo zmenu ekonomickej rovnováhy a preto je takýto dodatok neprípustný</w:t>
      </w:r>
      <w:r>
        <w:rPr>
          <w:rFonts w:cs="Arial"/>
          <w:szCs w:val="20"/>
        </w:rPr>
        <w:t>;</w:t>
      </w:r>
    </w:p>
    <w:p w14:paraId="0801E855"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14:paraId="4C3ABEA6"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Predmet plnenia (teda tovary, služby, stavebné práce), ktorý bol uhradený na základe preddavkovej platby musí byť skutočne doda</w:t>
      </w:r>
      <w:r w:rsidRPr="009078F6">
        <w:rPr>
          <w:rFonts w:cs="Arial"/>
          <w:szCs w:val="20"/>
        </w:rPr>
        <w:t>ný v čase realizácie projektu, najneskôr do 12 mesiacov od poskytnutia preddavkovej platby dodávateľovi</w:t>
      </w:r>
      <w:r w:rsidRPr="009078F6">
        <w:rPr>
          <w:rStyle w:val="Odkaznapoznmkupodiarou"/>
          <w:rFonts w:cs="Arial"/>
          <w:szCs w:val="20"/>
        </w:rPr>
        <w:footnoteReference w:id="135"/>
      </w:r>
      <w:r w:rsidRPr="00DE5D89">
        <w:rPr>
          <w:rFonts w:cs="Arial"/>
          <w:szCs w:val="20"/>
        </w:rPr>
        <w:t>;</w:t>
      </w:r>
    </w:p>
    <w:p w14:paraId="04B0C1DF"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Prijímateľ predkladá </w:t>
      </w:r>
      <w:r w:rsidRPr="009078F6">
        <w:rPr>
          <w:rFonts w:cs="Arial"/>
          <w:szCs w:val="20"/>
        </w:rPr>
        <w:t xml:space="preserve">riadiacemu orgánu </w:t>
      </w:r>
      <w:r w:rsidRPr="00DE5D89">
        <w:rPr>
          <w:rFonts w:cs="Arial"/>
          <w:szCs w:val="20"/>
        </w:rPr>
        <w:t>zúčtovanie preddav</w:t>
      </w:r>
      <w:r w:rsidRPr="009078F6">
        <w:rPr>
          <w:rFonts w:cs="Arial"/>
          <w:szCs w:val="20"/>
        </w:rPr>
        <w:t>kovej platby na formulári, ktorého vzor</w:t>
      </w:r>
      <w:r w:rsidRPr="009078F6">
        <w:rPr>
          <w:rStyle w:val="Odkaznapoznmkupodiarou"/>
          <w:rFonts w:cs="Arial"/>
          <w:szCs w:val="20"/>
        </w:rPr>
        <w:footnoteReference w:id="136"/>
      </w:r>
      <w:r w:rsidRPr="009078F6">
        <w:rPr>
          <w:rFonts w:cs="Arial"/>
          <w:szCs w:val="20"/>
        </w:rPr>
        <w:t xml:space="preserve"> vydáva CKO</w:t>
      </w:r>
      <w:r w:rsidRPr="00DE5D89">
        <w:rPr>
          <w:rFonts w:cs="Arial"/>
          <w:szCs w:val="20"/>
        </w:rPr>
        <w:t>, spolu s ďalšími relevantnými povinnými prílohami;</w:t>
      </w:r>
    </w:p>
    <w:p w14:paraId="0C0A3A24"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Overenie dodania predmetu plnenia zabezpečí RO v rámci výkonu kontroly projektu v súlade s kapitolou 3.3.6.1.2 Predmet kontroly projektu a kapitolou 3.3.6.2.1</w:t>
      </w:r>
      <w:r>
        <w:rPr>
          <w:rFonts w:cs="Arial"/>
          <w:szCs w:val="20"/>
        </w:rPr>
        <w:t xml:space="preserve"> </w:t>
      </w:r>
      <w:r w:rsidRPr="00DE5D89">
        <w:rPr>
          <w:rFonts w:cs="Arial"/>
          <w:szCs w:val="20"/>
        </w:rPr>
        <w:t>Osobitné predmety kontroly, odsek 4</w:t>
      </w:r>
      <w:r>
        <w:rPr>
          <w:rFonts w:cs="Arial"/>
          <w:szCs w:val="20"/>
        </w:rPr>
        <w:t>;</w:t>
      </w:r>
    </w:p>
    <w:p w14:paraId="7F653E68" w14:textId="3503FEE3"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NFP;</w:t>
      </w:r>
    </w:p>
    <w:p w14:paraId="6A1818FC"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RO </w:t>
      </w:r>
      <w:r>
        <w:rPr>
          <w:rFonts w:cs="Arial"/>
          <w:szCs w:val="20"/>
        </w:rPr>
        <w:t xml:space="preserve">v prípade povolenia možnosti využitia preddavkových platieb na úrovni OP </w:t>
      </w:r>
      <w:r w:rsidRPr="00DE5D89">
        <w:rPr>
          <w:rFonts w:cs="Arial"/>
          <w:szCs w:val="20"/>
        </w:rPr>
        <w:t xml:space="preserve">definuje </w:t>
      </w:r>
      <w:r>
        <w:rPr>
          <w:rFonts w:cs="Arial"/>
          <w:szCs w:val="20"/>
        </w:rPr>
        <w:t xml:space="preserve">aj </w:t>
      </w:r>
      <w:r w:rsidRPr="008E54B4">
        <w:rPr>
          <w:rFonts w:cs="Arial"/>
          <w:szCs w:val="20"/>
        </w:rPr>
        <w:t>maximálny limit pre výšku preddavkovej platby, ktorý môže byť rozdielny v závislosti od predmetu plnenia a ďalších špecifík v rámci jednotlivých OP</w:t>
      </w:r>
      <w:r>
        <w:rPr>
          <w:rFonts w:cs="Arial"/>
          <w:szCs w:val="20"/>
        </w:rPr>
        <w:t>, a prípadné ďalšie pravidlá</w:t>
      </w:r>
      <w:r w:rsidRPr="00DE5D89">
        <w:rPr>
          <w:rFonts w:cs="Arial"/>
          <w:szCs w:val="20"/>
        </w:rPr>
        <w:t xml:space="preserve"> pre overenie plnenia v rámci využitia preddavkových platieb, pri dodržaní podmienok stanovených Systémom riadenia</w:t>
      </w:r>
      <w:r>
        <w:rPr>
          <w:rFonts w:cs="Arial"/>
          <w:szCs w:val="20"/>
        </w:rPr>
        <w:t xml:space="preserve"> EŠIF</w:t>
      </w:r>
      <w:r w:rsidRPr="00DE5D89">
        <w:rPr>
          <w:rFonts w:cs="Arial"/>
          <w:szCs w:val="20"/>
        </w:rPr>
        <w:t>.</w:t>
      </w:r>
    </w:p>
    <w:p w14:paraId="39836978" w14:textId="77777777" w:rsidR="00B650E5" w:rsidRPr="00DE5D89"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r w:rsidRPr="009078F6">
        <w:rPr>
          <w:rFonts w:cs="Arial"/>
          <w:szCs w:val="20"/>
        </w:rPr>
        <w:t xml:space="preserve"> </w:t>
      </w:r>
      <w:r w:rsidRPr="00DE5D89">
        <w:rPr>
          <w:rFonts w:cs="Arial"/>
          <w:szCs w:val="20"/>
        </w:rPr>
        <w:t xml:space="preserve">Vysporiadanie identifikovaných nezrovnalostí </w:t>
      </w:r>
      <w:r w:rsidR="009C717E">
        <w:rPr>
          <w:rFonts w:cs="Arial"/>
          <w:szCs w:val="20"/>
        </w:rPr>
        <w:t xml:space="preserve">a vratiek </w:t>
      </w:r>
      <w:r w:rsidRPr="00DE5D89">
        <w:rPr>
          <w:rFonts w:cs="Arial"/>
          <w:szCs w:val="20"/>
        </w:rPr>
        <w:t xml:space="preserve">z preddavkových platieb nie je týmto </w:t>
      </w:r>
      <w:r w:rsidRPr="009078F6">
        <w:rPr>
          <w:rFonts w:cs="Arial"/>
          <w:szCs w:val="20"/>
        </w:rPr>
        <w:t>odsekom</w:t>
      </w:r>
      <w:r w:rsidRPr="00DE5D89">
        <w:rPr>
          <w:rFonts w:cs="Arial"/>
          <w:szCs w:val="20"/>
        </w:rPr>
        <w:t xml:space="preserve"> dotknuté.</w:t>
      </w:r>
    </w:p>
    <w:p w14:paraId="0171E5FB" w14:textId="77777777" w:rsidR="00B650E5" w:rsidRPr="009078F6"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 xml:space="preserve">Prípadný nedoplatok vzniknutý </w:t>
      </w:r>
      <w:r w:rsidRPr="00DE5D89">
        <w:rPr>
          <w:rFonts w:cs="Arial"/>
          <w:szCs w:val="20"/>
        </w:rPr>
        <w:t>zo zúčtovania</w:t>
      </w:r>
      <w:r w:rsidRPr="009078F6">
        <w:rPr>
          <w:rFonts w:cs="Arial"/>
          <w:szCs w:val="20"/>
        </w:rPr>
        <w:t xml:space="preserve"> preddavkovej platby posudzuje RO z hľadiska splnenia podmienok oprávnenosti výdavkov a na základe daného posúdenia rozhodne o jeho oprávnenosti alebo neoprávnenosti. </w:t>
      </w:r>
    </w:p>
    <w:p w14:paraId="0990894E" w14:textId="77777777" w:rsidR="00B650E5" w:rsidRPr="009078F6"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V súvislosti so zahrnutím výdavkov vzniknutých na základe preddavkovej platby do súhrnnej žiadosti o platbu zasielanej na CO, sú RO a PJ povinní postupovať v súlade s usmernením certifikačného orgánu (ak CO usmernenie k postupu podľa tohto odseku poskytne).</w:t>
      </w:r>
    </w:p>
    <w:p w14:paraId="08F034E1" w14:textId="77777777" w:rsidR="00B650E5" w:rsidRDefault="00B650E5">
      <w:pPr>
        <w:pStyle w:val="SRK2"/>
        <w:rPr>
          <w:rStyle w:val="Nadpis1Char"/>
          <w:sz w:val="36"/>
          <w:szCs w:val="26"/>
        </w:rPr>
      </w:pPr>
      <w:bookmarkStart w:id="532" w:name="_Toc453234088"/>
      <w:bookmarkStart w:id="533" w:name="_Toc495649445"/>
      <w:bookmarkStart w:id="534" w:name="kapitola_36"/>
      <w:r>
        <w:rPr>
          <w:rStyle w:val="Nadpis1Char"/>
          <w:sz w:val="36"/>
          <w:szCs w:val="26"/>
        </w:rPr>
        <w:lastRenderedPageBreak/>
        <w:t>3.6 Štátna pomoc</w:t>
      </w:r>
      <w:bookmarkEnd w:id="528"/>
      <w:bookmarkEnd w:id="532"/>
      <w:bookmarkEnd w:id="533"/>
    </w:p>
    <w:p w14:paraId="02295BE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535" w:name="_Toc378947534"/>
      <w:bookmarkEnd w:id="534"/>
      <w:r>
        <w:rPr>
          <w:u w:val="single"/>
        </w:rPr>
        <w:t>Relevantná úprava v legislatíve EÚ:</w:t>
      </w:r>
    </w:p>
    <w:p w14:paraId="07B7FCB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106 až 109 Zmluvy o fungovaní EÚ</w:t>
      </w:r>
    </w:p>
    <w:p w14:paraId="3867768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43AF10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štátnej pomoci </w:t>
      </w:r>
    </w:p>
    <w:p w14:paraId="143DD0F8" w14:textId="77777777" w:rsidR="00B650E5" w:rsidRDefault="00B650E5">
      <w:pPr>
        <w:pStyle w:val="Odsekzoznamu"/>
        <w:numPr>
          <w:ilvl w:val="0"/>
          <w:numId w:val="269"/>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14:paraId="228686BF" w14:textId="77777777" w:rsidR="00B650E5" w:rsidRDefault="00B650E5">
      <w:pPr>
        <w:pStyle w:val="Odsekzoznamu"/>
        <w:numPr>
          <w:ilvl w:val="0"/>
          <w:numId w:val="269"/>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14:paraId="1DEC2043" w14:textId="77777777" w:rsidR="00B650E5" w:rsidRDefault="00B650E5">
      <w:pPr>
        <w:pStyle w:val="SRK3"/>
      </w:pPr>
      <w:bookmarkStart w:id="536" w:name="_Toc453234089"/>
      <w:bookmarkStart w:id="537" w:name="_Toc495649446"/>
      <w:r>
        <w:t>3.6.1 Koncept štátnej pomoci</w:t>
      </w:r>
      <w:bookmarkEnd w:id="536"/>
      <w:bookmarkEnd w:id="537"/>
      <w:r>
        <w:t xml:space="preserve"> </w:t>
      </w:r>
    </w:p>
    <w:p w14:paraId="069E59C6" w14:textId="77777777" w:rsidR="00B650E5" w:rsidRDefault="00B650E5">
      <w:pPr>
        <w:pStyle w:val="Odsekzoznamu"/>
        <w:numPr>
          <w:ilvl w:val="0"/>
          <w:numId w:val="271"/>
        </w:numPr>
        <w:spacing w:before="120" w:after="120"/>
        <w:ind w:left="425" w:hanging="425"/>
        <w:contextualSpacing w:val="0"/>
        <w:jc w:val="both"/>
      </w:pPr>
      <w:r>
        <w:t xml:space="preserve">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 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w:t>
      </w:r>
      <w:r w:rsidR="00C93F30">
        <w:t xml:space="preserve">t. j. </w:t>
      </w:r>
      <w:r>
        <w:t xml:space="preserve"> vzhľadom na hospodársky a politický vývoj sa môže zaradenie danej služby alebo tovaru časom meniť. Činnosť, ktorá dnes nepredstavuje hospodársku činnosť, sa ňou v budúcnosti môže stať a naopak.</w:t>
      </w:r>
    </w:p>
    <w:p w14:paraId="03E6B396" w14:textId="77777777" w:rsidR="00B650E5" w:rsidRDefault="00B650E5">
      <w:pPr>
        <w:pStyle w:val="Odsekzoznamu"/>
        <w:numPr>
          <w:ilvl w:val="0"/>
          <w:numId w:val="271"/>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14:paraId="44842CE0" w14:textId="77777777" w:rsidR="00B650E5" w:rsidRDefault="00B650E5">
      <w:pPr>
        <w:pStyle w:val="Odsekzoznamu"/>
        <w:numPr>
          <w:ilvl w:val="0"/>
          <w:numId w:val="271"/>
        </w:numPr>
        <w:spacing w:before="120" w:after="120"/>
        <w:ind w:left="425" w:hanging="425"/>
        <w:contextualSpacing w:val="0"/>
        <w:jc w:val="both"/>
      </w:pPr>
      <w:r>
        <w:t xml:space="preserve">Pre niektoré činnosti nemôže existovať trh, </w:t>
      </w:r>
      <w:r w:rsidR="00C93F30">
        <w:t>keďže</w:t>
      </w:r>
      <w:r>
        <w:t xml:space="preserve"> patria do výlučnej sféry verejnej moci (výkon verejných právomocí), napr.:</w:t>
      </w:r>
    </w:p>
    <w:p w14:paraId="1DBA6DBC" w14:textId="77777777" w:rsidR="00B650E5" w:rsidRDefault="00B650E5">
      <w:pPr>
        <w:pStyle w:val="Odsekzoznamu"/>
        <w:numPr>
          <w:ilvl w:val="0"/>
          <w:numId w:val="348"/>
        </w:numPr>
        <w:spacing w:before="120" w:after="120"/>
        <w:ind w:left="851" w:hanging="425"/>
        <w:contextualSpacing w:val="0"/>
        <w:jc w:val="both"/>
      </w:pPr>
      <w:r>
        <w:t>činnosti spojené s armádou a políciou,</w:t>
      </w:r>
    </w:p>
    <w:p w14:paraId="14108F67" w14:textId="77777777" w:rsidR="00B650E5" w:rsidRDefault="00B650E5">
      <w:pPr>
        <w:pStyle w:val="Odsekzoznamu"/>
        <w:numPr>
          <w:ilvl w:val="0"/>
          <w:numId w:val="348"/>
        </w:numPr>
        <w:spacing w:before="120" w:after="120"/>
        <w:ind w:left="851" w:hanging="425"/>
        <w:contextualSpacing w:val="0"/>
        <w:jc w:val="both"/>
      </w:pPr>
      <w:r>
        <w:t>udržiavanie a zlepšovanie bezpečnosti letovej prevádzky, bezpečnostná ochrana,</w:t>
      </w:r>
    </w:p>
    <w:p w14:paraId="5A5A2E8B" w14:textId="77777777" w:rsidR="00B650E5" w:rsidRDefault="00B650E5">
      <w:pPr>
        <w:pStyle w:val="Odsekzoznamu"/>
        <w:numPr>
          <w:ilvl w:val="0"/>
          <w:numId w:val="348"/>
        </w:numPr>
        <w:spacing w:before="120" w:after="120"/>
        <w:ind w:left="851" w:hanging="425"/>
        <w:contextualSpacing w:val="0"/>
        <w:jc w:val="both"/>
      </w:pPr>
      <w:r>
        <w:t>kontrola znečisťovania je poslaním všeobecného záujmu, ktoré spadá pod základné funkcie štátu týkajúce sa ochrany životného prostredia.</w:t>
      </w:r>
    </w:p>
    <w:p w14:paraId="50B87950" w14:textId="77777777" w:rsidR="00B650E5" w:rsidRDefault="00B650E5">
      <w:pPr>
        <w:pStyle w:val="Odsekzoznamu"/>
        <w:numPr>
          <w:ilvl w:val="0"/>
          <w:numId w:val="271"/>
        </w:numPr>
        <w:spacing w:before="120" w:after="120"/>
        <w:ind w:left="425" w:hanging="425"/>
        <w:contextualSpacing w:val="0"/>
        <w:jc w:val="both"/>
      </w:pPr>
      <w:r>
        <w:lastRenderedPageBreak/>
        <w:t>Z judikatúry ESD</w:t>
      </w:r>
      <w:r>
        <w:rPr>
          <w:vertAlign w:val="superscript"/>
        </w:rPr>
        <w:footnoteReference w:id="137"/>
      </w:r>
      <w:r>
        <w:t xml:space="preserve"> je ďalej možné vyšpecifikovať okruh činností výlučne sociálneho charakteru, ktoré nie sú považované za hospodárske činnosti, napr.:</w:t>
      </w:r>
    </w:p>
    <w:p w14:paraId="5012E4B4" w14:textId="77777777" w:rsidR="00B650E5" w:rsidRDefault="00B650E5">
      <w:pPr>
        <w:pStyle w:val="Odsekzoznamu"/>
        <w:numPr>
          <w:ilvl w:val="0"/>
          <w:numId w:val="349"/>
        </w:numPr>
        <w:spacing w:before="120" w:after="120"/>
        <w:ind w:left="851" w:hanging="425"/>
        <w:contextualSpacing w:val="0"/>
        <w:jc w:val="both"/>
      </w:pPr>
      <w:r>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14:paraId="7FDCA3C8" w14:textId="77777777" w:rsidR="00B650E5" w:rsidRDefault="00B650E5">
      <w:pPr>
        <w:pStyle w:val="Odsekzoznamu"/>
        <w:numPr>
          <w:ilvl w:val="0"/>
          <w:numId w:val="349"/>
        </w:numPr>
        <w:spacing w:before="120" w:after="120"/>
        <w:ind w:left="851" w:hanging="425"/>
        <w:contextualSpacing w:val="0"/>
        <w:jc w:val="both"/>
      </w:pPr>
      <w:r>
        <w:t>verejné vzdelávanie organizované v rámci vnútroštátneho systému vzdelávania, ktoré financuje a nad ktorým vykonáva dohľad štát.</w:t>
      </w:r>
    </w:p>
    <w:p w14:paraId="4E841A0E" w14:textId="77777777" w:rsidR="00B650E5" w:rsidRDefault="00B650E5">
      <w:pPr>
        <w:pStyle w:val="Odsekzoznamu"/>
        <w:numPr>
          <w:ilvl w:val="0"/>
          <w:numId w:val="271"/>
        </w:numPr>
        <w:spacing w:before="120" w:after="120"/>
        <w:ind w:left="425" w:hanging="425"/>
        <w:contextualSpacing w:val="0"/>
        <w:jc w:val="both"/>
      </w:pPr>
      <w:r>
        <w:t>Z hľadiska posudzovania hospodárskej činnosti v prípade financovania infraštruktúry je potrebné brať ohľad  na rozsudky ESD T-443/08 a T-455/08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Pr>
          <w:vertAlign w:val="superscript"/>
        </w:rPr>
        <w:footnoteReference w:id="138"/>
      </w:r>
      <w:r>
        <w:t xml:space="preserve">. </w:t>
      </w:r>
    </w:p>
    <w:p w14:paraId="3CE8623A" w14:textId="77777777" w:rsidR="00B650E5" w:rsidRDefault="00B650E5">
      <w:pPr>
        <w:pStyle w:val="Odsekzoznamu"/>
        <w:numPr>
          <w:ilvl w:val="0"/>
          <w:numId w:val="271"/>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14:paraId="3A0D2E6D" w14:textId="77777777" w:rsidR="00B650E5" w:rsidRDefault="00B650E5">
      <w:pPr>
        <w:pStyle w:val="Odsekzoznamu"/>
        <w:numPr>
          <w:ilvl w:val="0"/>
          <w:numId w:val="270"/>
        </w:numPr>
        <w:spacing w:before="120" w:after="120"/>
        <w:ind w:left="851" w:hanging="425"/>
        <w:contextualSpacing w:val="0"/>
        <w:jc w:val="both"/>
      </w:pPr>
      <w:r>
        <w:t>prevod verejných zdrojov a pripísateľnosť štátu</w:t>
      </w:r>
    </w:p>
    <w:p w14:paraId="26BADFE5" w14:textId="77777777" w:rsidR="00B650E5" w:rsidRDefault="00B650E5">
      <w:pPr>
        <w:spacing w:before="120" w:after="120"/>
        <w:ind w:left="851"/>
        <w:jc w:val="both"/>
      </w:pPr>
      <w:r>
        <w:t xml:space="preserve">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w:t>
      </w:r>
      <w:r w:rsidR="00C93F30">
        <w:t>keďže</w:t>
      </w:r>
      <w:r>
        <w:t xml:space="preserve">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Pr>
          <w:rStyle w:val="Odkaznapoznmkupodiarou"/>
        </w:rPr>
        <w:footnoteReference w:id="139"/>
      </w:r>
      <w:r>
        <w:t>. Nie je podstatné, či je inštitúcia verejného sektora autonómna. Prostriedky verejných podnikov</w:t>
      </w:r>
      <w:r>
        <w:rPr>
          <w:rStyle w:val="Odkaznapoznmkupodiarou"/>
        </w:rPr>
        <w:footnoteReference w:id="140"/>
      </w:r>
      <w:r>
        <w:t xml:space="preserve"> takisto predstavujú verejné zdroje podľa článku 107 ods. 1 Zmluvy o fungovaní EÚ, pretože štát môže usmerňovať ich použitie.</w:t>
      </w:r>
    </w:p>
    <w:p w14:paraId="6A2C14ED" w14:textId="77777777" w:rsidR="00B650E5" w:rsidRDefault="00B650E5">
      <w:pPr>
        <w:spacing w:before="120" w:after="120"/>
        <w:ind w:left="851"/>
        <w:jc w:val="both"/>
      </w:pPr>
      <w:r>
        <w:t>Pomoc nemusí nutne poskytnúť samotný štát</w:t>
      </w:r>
      <w:r>
        <w:rPr>
          <w:rStyle w:val="Odkaznapoznmkupodiarou"/>
        </w:rPr>
        <w:footnoteReference w:id="141"/>
      </w:r>
      <w:r>
        <w:t xml:space="preserve"> (napr. vyšší územný celok, obec, štátna organizácia). Môže ju poskytnúť aj iný verejný alebo súkromný subjekt, ktorý riadi alebo spravuje štát. V prípade, že prevod vykonáva verejný podnik, je potrebné preukázať, tzv. „pripísateľnosť“ štátu (ide o zdroje, ktoré sú priamo alebo nepriamo pod kontrolou štátu alebo sú k dispozícii štátu bez ohľadu na to, či sú trvale alebo dočasne k dispozícii). „Pripísateľnosť“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Pripísateľnosť opatrenia pomoci, ktoré prijal verejný podnik, štátu, možno preto vyvodiť zo </w:t>
      </w:r>
      <w:r>
        <w:lastRenderedPageBreak/>
        <w:t>súboru ukazovateľov vyplývajúcich z okolností prípadu a z kontextu, v ktorom sa dané opatrenie prijalo.</w:t>
      </w:r>
    </w:p>
    <w:p w14:paraId="382BC5E7" w14:textId="77777777" w:rsidR="00B650E5" w:rsidRDefault="00B650E5">
      <w:pPr>
        <w:pStyle w:val="Odsekzoznamu"/>
        <w:numPr>
          <w:ilvl w:val="0"/>
          <w:numId w:val="270"/>
        </w:numPr>
        <w:spacing w:before="120" w:after="120"/>
        <w:ind w:left="851" w:hanging="425"/>
        <w:contextualSpacing w:val="0"/>
        <w:jc w:val="both"/>
      </w:pPr>
      <w:r>
        <w:t xml:space="preserve">ekonomické zvýhodnenie príjemcu pomoci </w:t>
      </w:r>
    </w:p>
    <w:p w14:paraId="025407C9" w14:textId="77777777" w:rsidR="00B650E5" w:rsidRDefault="00B650E5">
      <w:pPr>
        <w:spacing w:before="120" w:after="120"/>
        <w:ind w:left="851"/>
        <w:jc w:val="both"/>
      </w:pPr>
      <w:r>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14:paraId="6CBB6DD4" w14:textId="77777777" w:rsidR="00B650E5" w:rsidRPr="000E286B" w:rsidRDefault="00B650E5">
      <w:pPr>
        <w:autoSpaceDE w:val="0"/>
        <w:autoSpaceDN w:val="0"/>
        <w:adjustRightInd w:val="0"/>
        <w:spacing w:before="120" w:after="120"/>
        <w:ind w:left="851"/>
        <w:jc w:val="both"/>
      </w:pPr>
      <w:r w:rsidRPr="000E286B">
        <w:t>Pri určovaní toho, či opatrenie poskytuje podniku hospodársku výhodu, nie je podstatná ani presná forma opatrenia. Z hľadiska pojmu štátna pomoc je relevantné nielen poskytnutie pozitívnych hospodárskych výhod, ale výhodu môže predstavovať aj oslobodenie od 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14:paraId="6D71469E" w14:textId="77777777" w:rsidR="00B650E5" w:rsidRPr="000E286B" w:rsidRDefault="00B650E5">
      <w:pPr>
        <w:autoSpaceDE w:val="0"/>
        <w:autoSpaceDN w:val="0"/>
        <w:adjustRightInd w:val="0"/>
        <w:spacing w:before="120" w:after="120"/>
        <w:ind w:left="851"/>
        <w:jc w:val="both"/>
      </w:pPr>
      <w:r w:rsidRPr="000E286B">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14:paraId="2DAEFBD5" w14:textId="77777777" w:rsidR="00B650E5" w:rsidRPr="000E286B" w:rsidRDefault="00B650E5">
      <w:pPr>
        <w:autoSpaceDE w:val="0"/>
        <w:autoSpaceDN w:val="0"/>
        <w:adjustRightInd w:val="0"/>
        <w:spacing w:before="120" w:after="120"/>
        <w:ind w:left="851"/>
        <w:jc w:val="both"/>
      </w:pPr>
      <w:r w:rsidRPr="000E286B">
        <w:t>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de facto alebo de iure podmienená nákupom tovaru alebo služieb, ktoré vyrábajú alebo poskytujú len určité podniky.</w:t>
      </w:r>
    </w:p>
    <w:p w14:paraId="2CFFEB87" w14:textId="77777777" w:rsidR="00B650E5" w:rsidRDefault="00B650E5">
      <w:pPr>
        <w:autoSpaceDE w:val="0"/>
        <w:autoSpaceDN w:val="0"/>
        <w:adjustRightInd w:val="0"/>
        <w:spacing w:before="120" w:after="120"/>
        <w:ind w:left="851"/>
        <w:jc w:val="both"/>
        <w:rPr>
          <w:rFonts w:ascii="TimesNewRoman" w:hAnsi="TimesNewRoman" w:cs="TimesNewRoman"/>
        </w:rPr>
      </w:pPr>
    </w:p>
    <w:p w14:paraId="70FB6904" w14:textId="77777777" w:rsidR="00B650E5" w:rsidRDefault="00B650E5">
      <w:pPr>
        <w:spacing w:before="120" w:after="120"/>
        <w:ind w:left="851"/>
        <w:jc w:val="both"/>
        <w:rPr>
          <w:i/>
        </w:rPr>
      </w:pPr>
      <w:r>
        <w:rPr>
          <w:i/>
        </w:rPr>
        <w:t>TEST SUBJEKTU V TRHOVOM HOSPODÁRSTVE</w:t>
      </w:r>
    </w:p>
    <w:p w14:paraId="77F8A986" w14:textId="77777777" w:rsidR="00B650E5" w:rsidRPr="000E286B" w:rsidRDefault="00B650E5">
      <w:pPr>
        <w:autoSpaceDE w:val="0"/>
        <w:autoSpaceDN w:val="0"/>
        <w:adjustRightInd w:val="0"/>
        <w:spacing w:before="120" w:after="120"/>
        <w:ind w:left="851"/>
        <w:jc w:val="both"/>
      </w:pPr>
      <w:r w:rsidRPr="000E286B">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sidRPr="000E286B">
        <w:rPr>
          <w:i/>
          <w:iCs/>
        </w:rPr>
        <w:t>zásadu investora v trhovom</w:t>
      </w:r>
      <w:r w:rsidRPr="000E286B">
        <w:t xml:space="preserve"> </w:t>
      </w:r>
      <w:r w:rsidRPr="000E286B">
        <w:rPr>
          <w:i/>
          <w:iCs/>
        </w:rPr>
        <w:t>hospodárstve</w:t>
      </w:r>
      <w:r w:rsidRPr="000E286B">
        <w:t>“, prostredníctvom ktorej sa identifikuje prítomnosť štátnej pomoci v prípadoch verejnej investície (najmä pri 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podmienok predmetnú investíciu. Judikatúra ESD podobne zaviedla aj „</w:t>
      </w:r>
      <w:r w:rsidRPr="000E286B">
        <w:rPr>
          <w:i/>
          <w:iCs/>
        </w:rPr>
        <w:t>kritérium súkromného</w:t>
      </w:r>
      <w:r w:rsidRPr="000E286B">
        <w:t xml:space="preserve"> </w:t>
      </w:r>
      <w:r w:rsidRPr="000E286B">
        <w:rPr>
          <w:i/>
          <w:iCs/>
        </w:rPr>
        <w:t>veriteľa</w:t>
      </w:r>
      <w:r w:rsidRPr="000E286B">
        <w:t>“, prostredníctvom ktorého sa skúma, či opätovné prerokovanie dlhu verejnými veriteľmi zahŕňa štátnu pomoc, pričom sa porovnáva správanie verejného veriteľa so správaním hypotetických súkromných veriteľov v podobnej situácii. Napokon judikatúra zaviedla „</w:t>
      </w:r>
      <w:r w:rsidRPr="000E286B">
        <w:rPr>
          <w:i/>
          <w:iCs/>
        </w:rPr>
        <w:t>kritérium súkromného predávajúceho</w:t>
      </w:r>
      <w:r w:rsidRPr="000E286B">
        <w:t xml:space="preserve">“, prostredníctvom ktorého skúma, či predaj uskutočnený verejným subjektom zahŕňa štátnu pomoc, pričom posudzuje, či by súkromný predávajúci mohol za bežných trhových podmienok získať rovnakú alebo lepšiu cenu. </w:t>
      </w:r>
    </w:p>
    <w:p w14:paraId="198C6940" w14:textId="77777777" w:rsidR="00B650E5" w:rsidRPr="000E286B" w:rsidRDefault="00B650E5">
      <w:pPr>
        <w:autoSpaceDE w:val="0"/>
        <w:autoSpaceDN w:val="0"/>
        <w:adjustRightInd w:val="0"/>
        <w:spacing w:before="120" w:after="120"/>
        <w:ind w:left="851"/>
        <w:jc w:val="both"/>
      </w:pPr>
      <w:r w:rsidRPr="000E286B">
        <w:lastRenderedPageBreak/>
        <w:t>Tieto zásady alebo kritériá sú obmenami rovnakej základnej koncepcie, podľa ktorej by sa správanie orgánov verejnej moci alebo verejných podnikov malo porovnávať so správaním podobných súkromných hospodárskych subjektov za bežných trhových podmienok s cieľom stanoviť, či hospodárske transakcie, ktoré tieto orgány alebo podniky vykonávajú, poskytujú druhým stranám výhodu.</w:t>
      </w:r>
    </w:p>
    <w:p w14:paraId="3AAE818F" w14:textId="77777777" w:rsidR="00B650E5" w:rsidRPr="000E286B" w:rsidRDefault="00B650E5">
      <w:pPr>
        <w:autoSpaceDE w:val="0"/>
        <w:autoSpaceDN w:val="0"/>
        <w:adjustRightInd w:val="0"/>
        <w:spacing w:before="120" w:after="120"/>
        <w:ind w:left="851"/>
        <w:jc w:val="both"/>
      </w:pPr>
      <w:r w:rsidRPr="000E286B">
        <w:t>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neziskovosť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 výhodnejšieho postavenia.</w:t>
      </w:r>
    </w:p>
    <w:p w14:paraId="53AD2576" w14:textId="77777777" w:rsidR="00B650E5" w:rsidRPr="000E286B" w:rsidRDefault="00B650E5">
      <w:pPr>
        <w:autoSpaceDE w:val="0"/>
        <w:autoSpaceDN w:val="0"/>
        <w:adjustRightInd w:val="0"/>
        <w:spacing w:before="120" w:after="120"/>
        <w:ind w:left="851"/>
        <w:jc w:val="both"/>
      </w:pPr>
      <w:r w:rsidRPr="000E286B">
        <w:t>Na účely testu subjektu v trhovom hospodárstve sa zohľadňujú len prínosy a záväzky súvisiace s postavením štátu ako hospodárskeho subjektu – vylučujú sa teda tie aspekty, ktoré súvisia s 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14:paraId="348309E4" w14:textId="77777777" w:rsidR="00B650E5" w:rsidRPr="000E286B" w:rsidRDefault="00B650E5">
      <w:pPr>
        <w:autoSpaceDE w:val="0"/>
        <w:autoSpaceDN w:val="0"/>
        <w:adjustRightInd w:val="0"/>
        <w:spacing w:before="120" w:after="120"/>
        <w:ind w:left="851"/>
        <w:jc w:val="both"/>
      </w:pPr>
      <w:r w:rsidRPr="000E286B">
        <w:t xml:space="preserve">Súlad zásahu štátu s trhovými podmienkami sa musí posudzovať </w:t>
      </w:r>
      <w:r w:rsidRPr="000E286B">
        <w:rPr>
          <w:i/>
          <w:iCs/>
        </w:rPr>
        <w:t xml:space="preserve">ex ante </w:t>
      </w:r>
      <w:r w:rsidRPr="000E286B">
        <w:t xml:space="preserve">s ohľadom                      na informácie dostupné v čase rozhodovania o zásahu. Každý obozretný subjekt v trhovom hospodárstve by spravidla uskutočnil vlastné </w:t>
      </w:r>
      <w:r w:rsidRPr="000E286B">
        <w:rPr>
          <w:i/>
          <w:iCs/>
        </w:rPr>
        <w:t xml:space="preserve">ex ante </w:t>
      </w:r>
      <w:r w:rsidRPr="000E286B">
        <w:t>posúdenie stratégie a finančného výhľadu projektu (napr. vo forme podnikateľského plánu).</w:t>
      </w:r>
    </w:p>
    <w:p w14:paraId="221F4A7E" w14:textId="77777777" w:rsidR="00B650E5" w:rsidRDefault="00B650E5">
      <w:pPr>
        <w:pStyle w:val="Odsekzoznamu"/>
        <w:numPr>
          <w:ilvl w:val="0"/>
          <w:numId w:val="270"/>
        </w:numPr>
        <w:spacing w:before="120" w:after="120"/>
        <w:ind w:left="851" w:hanging="425"/>
        <w:contextualSpacing w:val="0"/>
        <w:jc w:val="both"/>
      </w:pPr>
      <w:r>
        <w:t>selektívnosť poskytnutej pomoci</w:t>
      </w:r>
    </w:p>
    <w:p w14:paraId="2579955F" w14:textId="77777777" w:rsidR="00B650E5" w:rsidRDefault="00B650E5">
      <w:pPr>
        <w:spacing w:before="120" w:after="120"/>
        <w:ind w:left="851"/>
        <w:jc w:val="both"/>
      </w:pPr>
      <w:r>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14:paraId="44642FEF" w14:textId="77777777" w:rsidR="00B650E5" w:rsidRDefault="00B650E5">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de facto ohraničený faktormi, ktoré obmedzujú ich praktický účinok. Veľký počet oprávnených podnikov (ktorý môže dokonca 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14:paraId="528FB62B" w14:textId="77777777" w:rsidR="00B650E5" w:rsidRDefault="00B650E5">
      <w:pPr>
        <w:spacing w:before="120" w:after="120"/>
        <w:ind w:left="851"/>
        <w:jc w:val="both"/>
      </w:pPr>
      <w:r>
        <w:lastRenderedPageBreak/>
        <w:t>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de facto alebo de iure.</w:t>
      </w:r>
    </w:p>
    <w:p w14:paraId="6E4C815C" w14:textId="77777777" w:rsidR="00B650E5" w:rsidRDefault="00B650E5">
      <w:pPr>
        <w:pStyle w:val="Odsekzoznamu"/>
        <w:numPr>
          <w:ilvl w:val="0"/>
          <w:numId w:val="270"/>
        </w:numPr>
        <w:spacing w:before="120" w:after="120"/>
        <w:ind w:left="851" w:hanging="425"/>
        <w:contextualSpacing w:val="0"/>
        <w:jc w:val="both"/>
      </w:pPr>
      <w:r>
        <w:t>narušenie hospodárskej súťaže alebo hrozba narušenia hospodárskej súťaže a vplyv na vnútorný obchod medzi členskými štátmi</w:t>
      </w:r>
    </w:p>
    <w:p w14:paraId="080B9C4A" w14:textId="77777777" w:rsidR="00B650E5" w:rsidRDefault="00B650E5">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14:paraId="40776BB8" w14:textId="77777777" w:rsidR="00B650E5" w:rsidRDefault="00B650E5">
      <w:pPr>
        <w:spacing w:before="120" w:after="120"/>
        <w:ind w:left="851"/>
        <w:jc w:val="both"/>
      </w:pPr>
      <w:r>
        <w:t xml:space="preserve">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 právom EÚ) a nesúťaží s podobnými (liberalizovanými) službami a keď ii) poskytovateľ služby nemôže pôsobiť (v dôsledku regulačných alebo zákonných obmedzení) na žiadnom inom liberalizovanom (geografickom alebo tovarovom) trhu. </w:t>
      </w:r>
    </w:p>
    <w:p w14:paraId="406C4B75" w14:textId="77777777" w:rsidR="00B650E5" w:rsidRDefault="00B650E5">
      <w:pPr>
        <w:spacing w:before="120" w:after="120"/>
        <w:ind w:left="851"/>
        <w:jc w:val="both"/>
      </w:pPr>
      <w:r>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 výdavkov, ktoré by inak musel vynaložiť v rámci svojho každodenného podnikania. V 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14:paraId="1597AAA3" w14:textId="77777777" w:rsidR="00B650E5" w:rsidRDefault="00B650E5">
      <w:pPr>
        <w:autoSpaceDE w:val="0"/>
        <w:autoSpaceDN w:val="0"/>
        <w:adjustRightInd w:val="0"/>
        <w:spacing w:before="120" w:after="120"/>
        <w:ind w:left="851"/>
        <w:jc w:val="both"/>
        <w:rPr>
          <w:iCs/>
        </w:rPr>
      </w:pPr>
      <w:r>
        <w:t>Výhoda poskytnutá podniku pôsobiacemu na trhu, ktorý je otvorený hospodárskej súťaži, sa spravidla bude považovať za opatrenie narúšajúce hospodársku súťaž, ktoré zároveň môže 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 rámci Spoločenstva, tento obchod sa musí</w:t>
      </w:r>
      <w:r>
        <w:t xml:space="preserve"> </w:t>
      </w:r>
      <w:r>
        <w:rPr>
          <w:iCs/>
        </w:rPr>
        <w:t>považovať za ovplyvnený pomocou“.</w:t>
      </w:r>
    </w:p>
    <w:p w14:paraId="7679EE9A" w14:textId="77777777" w:rsidR="00B650E5" w:rsidRDefault="00B650E5">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14:paraId="3EC37D69" w14:textId="77777777" w:rsidR="00B650E5" w:rsidRDefault="00B650E5">
      <w:pPr>
        <w:autoSpaceDE w:val="0"/>
        <w:autoSpaceDN w:val="0"/>
        <w:adjustRightInd w:val="0"/>
        <w:spacing w:before="120" w:after="120"/>
        <w:ind w:left="851"/>
        <w:jc w:val="both"/>
      </w:pPr>
      <w:r>
        <w:t>Dokonca i dotácia z verejných zdrojov poskytnutá podniku, ktorý poskytuje len miestne alebo regionálne služby a neposkytuje žiadne služby mimo svojho štátu pôvodu, môže mať vplyv na obchod medzi členskými štátmi, ak by tieto služby mohli poskytovať aj podniky z iných členských štátov (i vzhľadom na právo usadiť sa) a táto možnosť nie je len hypotetická.</w:t>
      </w:r>
    </w:p>
    <w:p w14:paraId="6CAEFB89" w14:textId="77777777" w:rsidR="00B650E5" w:rsidRDefault="00B650E5">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14:paraId="0FF4A12C" w14:textId="77777777" w:rsidR="00B650E5" w:rsidRDefault="00B650E5">
      <w:pPr>
        <w:spacing w:before="120" w:after="120"/>
        <w:ind w:left="851"/>
        <w:jc w:val="both"/>
        <w:rPr>
          <w:i/>
        </w:rPr>
      </w:pPr>
      <w:r>
        <w:lastRenderedPageBreak/>
        <w:t>Z hľadiska judikatúry ESD</w:t>
      </w:r>
      <w:r>
        <w:rPr>
          <w:vertAlign w:val="superscript"/>
        </w:rPr>
        <w:footnoteReference w:id="142"/>
      </w:r>
      <w:r>
        <w:t xml:space="preserve"> neexistuje hranica alebo percento pod úrovňou ktorého možno tvrdiť, že obchod medzi štátmi nie je ovplyvnený. V skutočnosti významom relatívne malá pomoc a relatívne malý podnik – príjemca nevylučujú a priori možnosť, že obchod medzi členskými štátmi bude ovplyvnený. Pridelenie pomoci určitému podniku môže totiž viesť k udržaniu alebo zvýšeniu poskytovania služieb alebo dodávania tovarov týmto podnikom, pričom možnosť poskytovať služby alebo dodávať tovary na trhu dotknutého členského štátu sa tým pre podniky z iných členských štátov zmenší.</w:t>
      </w:r>
    </w:p>
    <w:p w14:paraId="36D7C5C3" w14:textId="77777777" w:rsidR="00B650E5" w:rsidRDefault="00B650E5">
      <w:pPr>
        <w:pStyle w:val="SRK3"/>
      </w:pPr>
      <w:bookmarkStart w:id="538" w:name="_Toc453234090"/>
      <w:bookmarkStart w:id="539" w:name="_Toc495649447"/>
      <w:r>
        <w:t>3.6.2 Služby všeobecného hospodárskeho záujmu</w:t>
      </w:r>
      <w:bookmarkEnd w:id="538"/>
      <w:bookmarkEnd w:id="539"/>
      <w:r>
        <w:t xml:space="preserve"> </w:t>
      </w:r>
    </w:p>
    <w:p w14:paraId="0ECAAD33" w14:textId="77777777" w:rsidR="00B650E5" w:rsidRDefault="00B650E5">
      <w:pPr>
        <w:pStyle w:val="Odsekzoznamu"/>
        <w:numPr>
          <w:ilvl w:val="0"/>
          <w:numId w:val="273"/>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14:paraId="10632B76" w14:textId="77777777" w:rsidR="00B650E5" w:rsidRDefault="00B650E5">
      <w:pPr>
        <w:pStyle w:val="Odsekzoznamu"/>
        <w:numPr>
          <w:ilvl w:val="0"/>
          <w:numId w:val="273"/>
        </w:numPr>
        <w:spacing w:before="120" w:after="120"/>
        <w:ind w:left="426" w:hanging="426"/>
        <w:contextualSpacing w:val="0"/>
        <w:jc w:val="both"/>
      </w:pPr>
      <w:r>
        <w:t>Pojem služby všeobecného hospodárskeho záujmu sa neustále vyvíja a závisí okrem iného od 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14:paraId="47870E9B" w14:textId="77777777" w:rsidR="00B650E5" w:rsidRDefault="00B650E5">
      <w:pPr>
        <w:pStyle w:val="Odsekzoznamu"/>
        <w:numPr>
          <w:ilvl w:val="0"/>
          <w:numId w:val="273"/>
        </w:numPr>
        <w:spacing w:before="120" w:after="120"/>
        <w:ind w:left="426" w:hanging="426"/>
        <w:contextualSpacing w:val="0"/>
        <w:jc w:val="both"/>
      </w:pPr>
      <w:r>
        <w:t>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Altmark, alebo v zmysle článku 106 ods. 2 Zmluvy o fungovaní EÚ.</w:t>
      </w:r>
    </w:p>
    <w:p w14:paraId="234827C1" w14:textId="77777777" w:rsidR="00B650E5" w:rsidRDefault="00B650E5">
      <w:pPr>
        <w:pStyle w:val="Odsekzoznamu"/>
        <w:numPr>
          <w:ilvl w:val="0"/>
          <w:numId w:val="273"/>
        </w:numPr>
        <w:spacing w:before="120" w:after="120"/>
        <w:ind w:left="426" w:hanging="426"/>
        <w:contextualSpacing w:val="0"/>
        <w:jc w:val="both"/>
      </w:pPr>
      <w:r>
        <w:t>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 pôsobnosti EÚ alebo sú založené iba na obmedzenej alebo delenej pôsobnosti Spoločenstva, zostáva v zásade v pôsobnosti členských štátov. Určenie rozsahu pojmu SVHZ patrí hlavne do pôsobnosti členských štátov. Všeobecným výrazom tohto rozdelenia pôsobnosti je okrem toho 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14:paraId="2229C99E" w14:textId="77777777" w:rsidR="00B650E5" w:rsidRDefault="00B650E5">
      <w:pPr>
        <w:pStyle w:val="Odsekzoznamu"/>
        <w:numPr>
          <w:ilvl w:val="0"/>
          <w:numId w:val="273"/>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nad výkonom diskrečnej právomoci členského štátu pri určení SVHZ, sa obmedzuje na zistenie existencie zjavne nesprávneho posúdenia. </w:t>
      </w:r>
    </w:p>
    <w:p w14:paraId="38287636" w14:textId="77777777" w:rsidR="00B650E5" w:rsidRDefault="00B650E5">
      <w:pPr>
        <w:pStyle w:val="Odsekzoznamu"/>
        <w:numPr>
          <w:ilvl w:val="0"/>
          <w:numId w:val="273"/>
        </w:numPr>
        <w:spacing w:before="120" w:after="120"/>
        <w:ind w:left="426" w:hanging="426"/>
        <w:contextualSpacing w:val="0"/>
        <w:jc w:val="both"/>
      </w:pPr>
      <w:r>
        <w:t xml:space="preserve">ESD vo svojom rozsudku vo veci Altmark poskytol bližšie objasnenie podmienok, za ktorých náhrada za SVHZ nepredstavuje štátnu pomoc, </w:t>
      </w:r>
      <w:r w:rsidR="00C93F30">
        <w:t xml:space="preserve">t. j. </w:t>
      </w:r>
      <w:r>
        <w:t xml:space="preserve"> ide o kompenzáciu predstavujúcu  protihodnotu za služby poskytnuté podnikmi, ktorým bola pomoc poskytnutá na realizáciu SVHZ (v danom prípade podniky  nemajú finančnú výhodu, </w:t>
      </w:r>
      <w:r w:rsidR="00C93F30">
        <w:t>keďže</w:t>
      </w:r>
      <w:r>
        <w:t xml:space="preserve"> intervencia nemá účinok privodenia výhodnejšieho súťažného postavenia vo vzťahu ku konkurenčným podnikom – takáto intervencia </w:t>
      </w:r>
      <w:r>
        <w:lastRenderedPageBreak/>
        <w:t>nespadá do pôsobnosti článku 107 ods. 1 Zmluvy). Táto kompenzácia nie je pokladaná za štátnu pomoc, ak sú splnené nasledovné podmienky:</w:t>
      </w:r>
    </w:p>
    <w:p w14:paraId="034BB7DC" w14:textId="77777777" w:rsidR="00B650E5" w:rsidRDefault="00B650E5">
      <w:pPr>
        <w:pStyle w:val="Odsekzoznamu"/>
        <w:numPr>
          <w:ilvl w:val="0"/>
          <w:numId w:val="272"/>
        </w:numPr>
        <w:spacing w:before="120" w:after="120"/>
        <w:ind w:left="851" w:hanging="425"/>
        <w:contextualSpacing w:val="0"/>
        <w:jc w:val="both"/>
      </w:pPr>
      <w:r>
        <w:t>podnik, ktorému bola poskytnutá pomoc, bol poverený realizáciou záväzkov služby                       vo verejnom záujme a tieto záväzky boli jasne definované,</w:t>
      </w:r>
    </w:p>
    <w:p w14:paraId="0AD915EB" w14:textId="77777777" w:rsidR="00B650E5" w:rsidRDefault="00B650E5">
      <w:pPr>
        <w:pStyle w:val="Odsekzoznamu"/>
        <w:numPr>
          <w:ilvl w:val="0"/>
          <w:numId w:val="272"/>
        </w:numPr>
        <w:spacing w:before="120" w:after="120"/>
        <w:ind w:left="851" w:hanging="425"/>
        <w:contextualSpacing w:val="0"/>
        <w:jc w:val="both"/>
      </w:pPr>
      <w:r>
        <w:t>kritériá, na základe ktorých je vypočítaná kompenzácia, boli vopred určené objektívnym a transparentným spôsobom</w:t>
      </w:r>
      <w:r>
        <w:rPr>
          <w:rStyle w:val="Odkaznapoznmkupodiarou"/>
        </w:rPr>
        <w:footnoteReference w:id="143"/>
      </w:r>
      <w:r>
        <w:t>,</w:t>
      </w:r>
    </w:p>
    <w:p w14:paraId="452A852E" w14:textId="77777777" w:rsidR="00B650E5" w:rsidRDefault="00B650E5">
      <w:pPr>
        <w:pStyle w:val="Odsekzoznamu"/>
        <w:numPr>
          <w:ilvl w:val="0"/>
          <w:numId w:val="272"/>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w:t>
      </w:r>
      <w:r w:rsidR="00F64BDD">
        <w:t>,</w:t>
      </w:r>
      <w:r>
        <w:t xml:space="preserve"> ako aj primeraný zisk</w:t>
      </w:r>
      <w:r>
        <w:rPr>
          <w:rStyle w:val="Odkaznapoznmkupodiarou"/>
        </w:rPr>
        <w:footnoteReference w:id="144"/>
      </w:r>
      <w:r>
        <w:t>,</w:t>
      </w:r>
    </w:p>
    <w:p w14:paraId="0B441803" w14:textId="77777777" w:rsidR="00B650E5" w:rsidRDefault="00B650E5">
      <w:pPr>
        <w:pStyle w:val="Odsekzoznamu"/>
        <w:numPr>
          <w:ilvl w:val="0"/>
          <w:numId w:val="272"/>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 základe analýzy výdavkov, ktoré by stredne veľký podnik, dobre riadený a primerane vybavený prostriedkami vynaložil pri realizácii týchto záväzkov, zohľadniac pri tom súvisiace príjmy</w:t>
      </w:r>
      <w:r w:rsidR="00F64BDD">
        <w:t>,</w:t>
      </w:r>
      <w:r>
        <w:t xml:space="preserve"> ako aj primeraný zisk pri realizácii týchto záväzkov.</w:t>
      </w:r>
    </w:p>
    <w:p w14:paraId="4E59DB45" w14:textId="77777777" w:rsidR="00B650E5" w:rsidRDefault="00B650E5">
      <w:pPr>
        <w:pStyle w:val="Odsekzoznamu"/>
        <w:numPr>
          <w:ilvl w:val="0"/>
          <w:numId w:val="273"/>
        </w:numPr>
        <w:spacing w:before="120" w:after="120"/>
        <w:ind w:left="426" w:hanging="426"/>
        <w:contextualSpacing w:val="0"/>
        <w:jc w:val="both"/>
      </w:pPr>
      <w:r>
        <w:rPr>
          <w:b/>
        </w:rPr>
        <w:t>Rozhodnutie Komisie z 20.12.2011</w:t>
      </w:r>
      <w:r>
        <w:t xml:space="preserve"> o uplatňovaní článku 106 ods. 2 Zmluvy o fungovaní EÚ na 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14:paraId="683DB809" w14:textId="77777777" w:rsidR="00B650E5" w:rsidRDefault="00B650E5">
      <w:pPr>
        <w:pStyle w:val="Odsekzoznamu"/>
        <w:numPr>
          <w:ilvl w:val="0"/>
          <w:numId w:val="273"/>
        </w:numPr>
        <w:spacing w:before="120" w:after="120"/>
        <w:ind w:left="426" w:hanging="426"/>
        <w:contextualSpacing w:val="0"/>
        <w:jc w:val="both"/>
      </w:pPr>
      <w:r>
        <w:rPr>
          <w:b/>
        </w:rPr>
        <w:t xml:space="preserve">Nariadenie č. 360/2012 </w:t>
      </w:r>
      <w:r>
        <w:t>určuje, že celková suma pomoci de minimis udelená akémukoľvek podniku poskytujúcemu SVHZ nesmie prekročiť 500 000 EUR v priebehu troch fiškálnych rokov. Tento strop by sa mal uplatňovať bez ohľadu na formu pomoci de minimis, ako aj nezávisle od toho, či je pomoc poskytnutá členským štátom financovaná úplne alebo čiastočne zo zdrojov EÚ. Obdobie, ktoré sa má zohľadniť, sa určí podľa fiškálnych rokov, ktoré daný podnik používa v príslušnom členskom štáte.</w:t>
      </w:r>
    </w:p>
    <w:p w14:paraId="22CA2689" w14:textId="77777777" w:rsidR="00B650E5" w:rsidRDefault="00B650E5">
      <w:pPr>
        <w:pStyle w:val="Odsekzoznamu"/>
        <w:numPr>
          <w:ilvl w:val="0"/>
          <w:numId w:val="273"/>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14:paraId="40351383" w14:textId="77777777" w:rsidR="00B650E5" w:rsidRDefault="00B650E5">
      <w:pPr>
        <w:pStyle w:val="Odsekzoznamu"/>
        <w:numPr>
          <w:ilvl w:val="0"/>
          <w:numId w:val="273"/>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uplatňovania pravidiel štátnej pomoci na náhrady za SVHZ. Oznámenie sa zameriava na tie požiadavky týkajúce sa štátnej pomoci, ktoré sú pre náhrady za SVHZ najrelevantnejšie.</w:t>
      </w:r>
    </w:p>
    <w:p w14:paraId="4F3A55D7" w14:textId="77777777" w:rsidR="00B650E5" w:rsidRDefault="00B650E5">
      <w:pPr>
        <w:pStyle w:val="Odsekzoznamu"/>
        <w:numPr>
          <w:ilvl w:val="0"/>
          <w:numId w:val="273"/>
        </w:numPr>
        <w:spacing w:before="120" w:after="120"/>
        <w:ind w:left="426" w:hanging="426"/>
        <w:contextualSpacing w:val="0"/>
        <w:jc w:val="both"/>
      </w:pPr>
      <w:r>
        <w:t>Podnik, ktorý je príjemcom pomoci, by mal byť písomne poverený výkonom SVHZ, na ktorú sa pomoc poskytuje.</w:t>
      </w:r>
    </w:p>
    <w:p w14:paraId="0BFBFD5D" w14:textId="77777777" w:rsidR="00B650E5" w:rsidRDefault="00B650E5">
      <w:pPr>
        <w:pStyle w:val="SRK3"/>
      </w:pPr>
      <w:bookmarkStart w:id="540" w:name="_Toc453234091"/>
      <w:bookmarkStart w:id="541" w:name="_Toc495649448"/>
      <w:r>
        <w:lastRenderedPageBreak/>
        <w:t>3.6.3 Pomoc de minimis</w:t>
      </w:r>
      <w:bookmarkEnd w:id="540"/>
      <w:bookmarkEnd w:id="541"/>
      <w:r>
        <w:t xml:space="preserve">  </w:t>
      </w:r>
    </w:p>
    <w:p w14:paraId="5D338D9C" w14:textId="77777777" w:rsidR="00B650E5" w:rsidRDefault="00B650E5">
      <w:pPr>
        <w:pStyle w:val="Odsekzoznamu"/>
        <w:numPr>
          <w:ilvl w:val="0"/>
          <w:numId w:val="274"/>
        </w:numPr>
        <w:spacing w:before="120" w:after="120"/>
        <w:ind w:left="425" w:hanging="425"/>
        <w:contextualSpacing w:val="0"/>
        <w:jc w:val="both"/>
      </w:pPr>
      <w:r>
        <w:t>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pomoc de minimis môže predstavovať jednu z takýchto kategórií. Na základe uvedenej skutočnosti sa pomoc de minimis poskytnutá jedinému podniku počas určitého časového obdobia, ktorá neprevyšuje určitú stanovenú sumu, považuje za pomoc, ktorá nespĺňa všetky kritériá stanovené v článku 107 ods. 1 Zmluvy o fungovaní EÚ a nevzťahuje sa na ňu teda notifikačná povinnosť.</w:t>
      </w:r>
    </w:p>
    <w:p w14:paraId="1DCC75B0" w14:textId="77777777" w:rsidR="00B650E5" w:rsidRDefault="00B650E5">
      <w:pPr>
        <w:pStyle w:val="Odsekzoznamu"/>
        <w:numPr>
          <w:ilvl w:val="0"/>
          <w:numId w:val="274"/>
        </w:numPr>
        <w:spacing w:before="120" w:after="120"/>
        <w:ind w:left="425" w:hanging="425"/>
        <w:contextualSpacing w:val="0"/>
        <w:jc w:val="both"/>
      </w:pPr>
      <w:r>
        <w:t xml:space="preserve">Poskytovanie pomoci de minimis upravuje nariadenie č. 1407/2013. Podľa nariadenia č. 1407/2013 je možné poskytnúť jedinému podniku pomoc de minimis, ktorá nesmie presiahnuť sumu 200 000 EUR v priebehu obdobia troch fiškálnych rokov. Pomoc de minimis pre jediný podnik, ktorý vykonáva cestnú nákladnú dopravu v prenájme alebo za úhradu nesmie presiahnuť 100 000 EUR v priebehu obdobia troch fiškálnych rokov. </w:t>
      </w:r>
    </w:p>
    <w:p w14:paraId="47CB9683" w14:textId="77777777" w:rsidR="00B650E5" w:rsidRDefault="00B650E5">
      <w:pPr>
        <w:pStyle w:val="Odsekzoznamu"/>
        <w:numPr>
          <w:ilvl w:val="0"/>
          <w:numId w:val="274"/>
        </w:numPr>
        <w:spacing w:before="120" w:after="120"/>
        <w:ind w:left="425" w:hanging="425"/>
        <w:contextualSpacing w:val="0"/>
        <w:jc w:val="both"/>
      </w:pPr>
      <w:r>
        <w:t xml:space="preserve">ESD stanovil, že všetky subjekty, ktoré sú kontrolované (právne alebo </w:t>
      </w:r>
      <w:r>
        <w:rPr>
          <w:i/>
          <w:iCs/>
        </w:rPr>
        <w:t>de facto</w:t>
      </w:r>
      <w:r>
        <w:t>) tým istým subjektom, by sa mali pokladať za jediný podnik. Nariadenie č. 1407/2013 poskytuje zoznam jasných kritérií na určovanie toho, či sa dva alebo viaceré subjekty majú považovať za jediný podnik.</w:t>
      </w:r>
    </w:p>
    <w:p w14:paraId="6859F48E" w14:textId="77777777" w:rsidR="00B650E5" w:rsidRDefault="00B650E5">
      <w:pPr>
        <w:pStyle w:val="Odsekzoznamu"/>
        <w:numPr>
          <w:ilvl w:val="0"/>
          <w:numId w:val="274"/>
        </w:numPr>
        <w:spacing w:before="120" w:after="120"/>
        <w:ind w:left="425" w:hanging="425"/>
        <w:contextualSpacing w:val="0"/>
        <w:jc w:val="both"/>
      </w:pPr>
      <w:r>
        <w:t xml:space="preserve">Pre dodržanie stropu pomoci de minimis je pred poskytnutím novej pomoci de minimis potrebné získať v listinnej alebo elektronickej podobe vyhlásenie od príslušného podniku o akejkoľvek inej pomoci de minimis prijatej na základe tohto nariadenia alebo na základe iných predpisov o pomoci de minimis počas predchádzajúcich dvoch fiškálnych rokov a počas prebiehajúceho fiškálneho roka. Zároveň je potrebné dodržať aj ďalšie podmienky nariadenia č. 1407/2013, predovšetkým ustanovenia čl. 1 ods. 1 a 2 nariadenia č. 1407/2013, informovať podnik (prijímateľa) o predpokladanej výške pomoci vyjadrenej ako ekvivalent hrubého grantu a o tom, že ide o pomoc de minimis, pričom poskytovateľ výslovne uvedie odkaz na nariadenie č. 1407/2013, jeho názov a údaje o jeho uverejnení v Úradnom vestníku EÚ. </w:t>
      </w:r>
    </w:p>
    <w:p w14:paraId="5E07EB0A" w14:textId="77777777" w:rsidR="00B650E5" w:rsidRDefault="00B650E5">
      <w:pPr>
        <w:pStyle w:val="SRK3"/>
      </w:pPr>
      <w:bookmarkStart w:id="542" w:name="_Toc453234092"/>
      <w:bookmarkStart w:id="543" w:name="_Toc495649449"/>
      <w:r>
        <w:t>3.6.4 Test štátnej pomoci</w:t>
      </w:r>
      <w:bookmarkEnd w:id="542"/>
      <w:bookmarkEnd w:id="543"/>
      <w:r>
        <w:t xml:space="preserve">   </w:t>
      </w:r>
    </w:p>
    <w:p w14:paraId="70D0B758" w14:textId="77777777" w:rsidR="00B650E5" w:rsidRDefault="00B650E5">
      <w:pPr>
        <w:pStyle w:val="Odsekzoznamu"/>
        <w:numPr>
          <w:ilvl w:val="0"/>
          <w:numId w:val="275"/>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 činnosti nehospodárskeho charakteru.</w:t>
      </w:r>
    </w:p>
    <w:p w14:paraId="1216AD92" w14:textId="77777777" w:rsidR="00B650E5" w:rsidRDefault="00B650E5">
      <w:pPr>
        <w:pStyle w:val="Odsekzoznamu"/>
        <w:numPr>
          <w:ilvl w:val="0"/>
          <w:numId w:val="275"/>
        </w:numPr>
        <w:spacing w:before="120" w:after="120"/>
        <w:ind w:left="425" w:hanging="425"/>
        <w:contextualSpacing w:val="0"/>
        <w:jc w:val="both"/>
      </w:pPr>
      <w:r>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14:paraId="0B0D8499" w14:textId="77777777" w:rsidR="00B650E5" w:rsidRDefault="00B650E5">
      <w:pPr>
        <w:spacing w:before="120" w:after="120"/>
        <w:ind w:left="2832" w:firstLine="708"/>
      </w:pPr>
      <w:r>
        <w:lastRenderedPageBreak/>
        <w:t>Rozhodovací algoritmus</w:t>
      </w:r>
      <w:r>
        <w:rPr>
          <w:rStyle w:val="Odkaznapoznmkupodiarou"/>
        </w:rPr>
        <w:footnoteReference w:id="145"/>
      </w:r>
    </w:p>
    <w:p w14:paraId="20A48ACB" w14:textId="77777777" w:rsidR="00B650E5" w:rsidRDefault="0053588C">
      <w:pPr>
        <w:pStyle w:val="Odsekzoznamu"/>
        <w:spacing w:before="120" w:after="120"/>
        <w:contextualSpacing w:val="0"/>
      </w:pPr>
      <w:r>
        <w:rPr>
          <w:noProof/>
        </w:rPr>
        <mc:AlternateContent>
          <mc:Choice Requires="wpg">
            <w:drawing>
              <wp:anchor distT="0" distB="0" distL="114300" distR="114300" simplePos="0" relativeHeight="251670528" behindDoc="1" locked="0" layoutInCell="1" allowOverlap="1" wp14:anchorId="60BECFD5" wp14:editId="1337F646">
                <wp:simplePos x="0" y="0"/>
                <wp:positionH relativeFrom="column">
                  <wp:posOffset>-180975</wp:posOffset>
                </wp:positionH>
                <wp:positionV relativeFrom="paragraph">
                  <wp:posOffset>7620</wp:posOffset>
                </wp:positionV>
                <wp:extent cx="6363970" cy="4645660"/>
                <wp:effectExtent l="0" t="17145" r="17780" b="13970"/>
                <wp:wrapTight wrapText="bothSides">
                  <wp:wrapPolygon edited="0">
                    <wp:start x="9087" y="-44"/>
                    <wp:lineTo x="9087" y="664"/>
                    <wp:lineTo x="7308" y="2081"/>
                    <wp:lineTo x="6436" y="2480"/>
                    <wp:lineTo x="6145" y="2657"/>
                    <wp:lineTo x="4302" y="3053"/>
                    <wp:lineTo x="4170" y="3097"/>
                    <wp:lineTo x="4138" y="4204"/>
                    <wp:lineTo x="3623" y="5621"/>
                    <wp:lineTo x="-32" y="5621"/>
                    <wp:lineTo x="-32" y="7656"/>
                    <wp:lineTo x="2877" y="7747"/>
                    <wp:lineTo x="2360" y="9161"/>
                    <wp:lineTo x="2134" y="9383"/>
                    <wp:lineTo x="2069" y="9516"/>
                    <wp:lineTo x="2101" y="9870"/>
                    <wp:lineTo x="388" y="9959"/>
                    <wp:lineTo x="259" y="10003"/>
                    <wp:lineTo x="259" y="12084"/>
                    <wp:lineTo x="4073" y="12704"/>
                    <wp:lineTo x="4496" y="12704"/>
                    <wp:lineTo x="4011" y="14119"/>
                    <wp:lineTo x="3623" y="14694"/>
                    <wp:lineTo x="1843" y="15093"/>
                    <wp:lineTo x="1584" y="15181"/>
                    <wp:lineTo x="1584" y="17263"/>
                    <wp:lineTo x="9733" y="17661"/>
                    <wp:lineTo x="15326" y="17661"/>
                    <wp:lineTo x="15164" y="19076"/>
                    <wp:lineTo x="14065" y="19430"/>
                    <wp:lineTo x="13710" y="19563"/>
                    <wp:lineTo x="13710" y="21600"/>
                    <wp:lineTo x="21665" y="21600"/>
                    <wp:lineTo x="21665" y="19519"/>
                    <wp:lineTo x="20372" y="19120"/>
                    <wp:lineTo x="19531" y="19076"/>
                    <wp:lineTo x="19143" y="18370"/>
                    <wp:lineTo x="19143" y="17661"/>
                    <wp:lineTo x="20178" y="17661"/>
                    <wp:lineTo x="21665" y="17263"/>
                    <wp:lineTo x="21665" y="15137"/>
                    <wp:lineTo x="21535" y="15137"/>
                    <wp:lineTo x="19175" y="14783"/>
                    <wp:lineTo x="19046" y="14561"/>
                    <wp:lineTo x="18755" y="14119"/>
                    <wp:lineTo x="18238" y="12704"/>
                    <wp:lineTo x="18302" y="12084"/>
                    <wp:lineTo x="18399" y="9737"/>
                    <wp:lineTo x="15684" y="9161"/>
                    <wp:lineTo x="16751" y="9161"/>
                    <wp:lineTo x="20372" y="8630"/>
                    <wp:lineTo x="20404" y="6330"/>
                    <wp:lineTo x="18171" y="5621"/>
                    <wp:lineTo x="18690" y="5621"/>
                    <wp:lineTo x="20372" y="5090"/>
                    <wp:lineTo x="20436" y="3097"/>
                    <wp:lineTo x="20048" y="3009"/>
                    <wp:lineTo x="17783" y="2701"/>
                    <wp:lineTo x="17333" y="2524"/>
                    <wp:lineTo x="15843" y="2081"/>
                    <wp:lineTo x="14550" y="1506"/>
                    <wp:lineTo x="13031" y="664"/>
                    <wp:lineTo x="13031" y="-44"/>
                    <wp:lineTo x="9087" y="-44"/>
                  </wp:wrapPolygon>
                </wp:wrapTight>
                <wp:docPr id="24"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3970" cy="4645660"/>
                          <a:chOff x="0" y="0"/>
                          <a:chExt cx="63642" cy="53300"/>
                        </a:xfrm>
                      </wpg:grpSpPr>
                      <wps:wsp>
                        <wps:cNvPr id="25" name="Blok textu 11"/>
                        <wps:cNvSpPr txBox="1">
                          <a:spLocks noChangeArrowheads="1"/>
                        </wps:cNvSpPr>
                        <wps:spPr bwMode="auto">
                          <a:xfrm>
                            <a:off x="27016" y="0"/>
                            <a:ext cx="11191" cy="4708"/>
                          </a:xfrm>
                          <a:prstGeom prst="rect">
                            <a:avLst/>
                          </a:prstGeom>
                          <a:solidFill>
                            <a:srgbClr val="FFFFFF"/>
                          </a:solidFill>
                          <a:ln w="25400">
                            <a:solidFill>
                              <a:srgbClr val="4F81BD"/>
                            </a:solidFill>
                            <a:miter lim="800000"/>
                            <a:headEnd/>
                            <a:tailEnd/>
                          </a:ln>
                        </wps:spPr>
                        <wps:txbx>
                          <w:txbxContent>
                            <w:p w14:paraId="63B91995" w14:textId="77777777" w:rsidR="00DF4E07" w:rsidRDefault="00DF4E07">
                              <w:pPr>
                                <w:jc w:val="center"/>
                                <w:rPr>
                                  <w:sz w:val="16"/>
                                  <w:szCs w:val="16"/>
                                </w:rPr>
                              </w:pPr>
                              <w:r>
                                <w:rPr>
                                  <w:sz w:val="16"/>
                                  <w:szCs w:val="16"/>
                                </w:rPr>
                                <w:t>Činnosť</w:t>
                              </w:r>
                            </w:p>
                            <w:p w14:paraId="4F175926" w14:textId="77777777" w:rsidR="00DF4E07" w:rsidRDefault="00DF4E07">
                              <w:pPr>
                                <w:jc w:val="center"/>
                                <w:rPr>
                                  <w:sz w:val="16"/>
                                  <w:szCs w:val="16"/>
                                </w:rPr>
                              </w:pPr>
                            </w:p>
                          </w:txbxContent>
                        </wps:txbx>
                        <wps:bodyPr rot="0" vert="horz" wrap="square" lIns="91440" tIns="45720" rIns="91440" bIns="45720" anchor="b" anchorCtr="0" upright="1">
                          <a:noAutofit/>
                        </wps:bodyPr>
                      </wps:wsp>
                      <wps:wsp>
                        <wps:cNvPr id="26" name="Blok textu 12"/>
                        <wps:cNvSpPr txBox="1">
                          <a:spLocks noChangeArrowheads="1"/>
                        </wps:cNvSpPr>
                        <wps:spPr bwMode="auto">
                          <a:xfrm>
                            <a:off x="12587" y="7778"/>
                            <a:ext cx="11189" cy="4705"/>
                          </a:xfrm>
                          <a:prstGeom prst="rect">
                            <a:avLst/>
                          </a:prstGeom>
                          <a:solidFill>
                            <a:srgbClr val="FFFFFF"/>
                          </a:solidFill>
                          <a:ln w="25400">
                            <a:solidFill>
                              <a:srgbClr val="4F81BD"/>
                            </a:solidFill>
                            <a:miter lim="800000"/>
                            <a:headEnd/>
                            <a:tailEnd/>
                          </a:ln>
                        </wps:spPr>
                        <wps:txbx>
                          <w:txbxContent>
                            <w:p w14:paraId="6DB37571" w14:textId="77777777" w:rsidR="00DF4E07" w:rsidRDefault="00DF4E07">
                              <w:pPr>
                                <w:jc w:val="center"/>
                                <w:rPr>
                                  <w:sz w:val="16"/>
                                  <w:szCs w:val="16"/>
                                </w:rPr>
                              </w:pPr>
                              <w:r>
                                <w:rPr>
                                  <w:sz w:val="16"/>
                                  <w:szCs w:val="16"/>
                                </w:rPr>
                                <w:t>Hospodárska činnosť</w:t>
                              </w:r>
                            </w:p>
                            <w:p w14:paraId="18AD4FBD" w14:textId="77777777" w:rsidR="00DF4E07" w:rsidRDefault="00DF4E07">
                              <w:pPr>
                                <w:jc w:val="center"/>
                                <w:rPr>
                                  <w:sz w:val="16"/>
                                  <w:szCs w:val="16"/>
                                </w:rPr>
                              </w:pPr>
                            </w:p>
                          </w:txbxContent>
                        </wps:txbx>
                        <wps:bodyPr rot="0" vert="horz" wrap="square" lIns="91440" tIns="45720" rIns="91440" bIns="45720" anchor="b" anchorCtr="0" upright="1">
                          <a:noAutofit/>
                        </wps:bodyPr>
                      </wps:wsp>
                      <wps:wsp>
                        <wps:cNvPr id="27" name="Blok textu 13"/>
                        <wps:cNvSpPr txBox="1">
                          <a:spLocks noChangeArrowheads="1"/>
                        </wps:cNvSpPr>
                        <wps:spPr bwMode="auto">
                          <a:xfrm>
                            <a:off x="48213" y="7718"/>
                            <a:ext cx="11595" cy="4706"/>
                          </a:xfrm>
                          <a:prstGeom prst="rect">
                            <a:avLst/>
                          </a:prstGeom>
                          <a:solidFill>
                            <a:srgbClr val="FFFFFF"/>
                          </a:solidFill>
                          <a:ln w="25400">
                            <a:solidFill>
                              <a:srgbClr val="4F81BD"/>
                            </a:solidFill>
                            <a:miter lim="800000"/>
                            <a:headEnd/>
                            <a:tailEnd/>
                          </a:ln>
                        </wps:spPr>
                        <wps:txbx>
                          <w:txbxContent>
                            <w:p w14:paraId="5404083B" w14:textId="77777777" w:rsidR="00DF4E07" w:rsidRDefault="00DF4E07">
                              <w:pPr>
                                <w:jc w:val="center"/>
                                <w:rPr>
                                  <w:sz w:val="16"/>
                                  <w:szCs w:val="16"/>
                                </w:rPr>
                              </w:pPr>
                              <w:r>
                                <w:rPr>
                                  <w:sz w:val="16"/>
                                  <w:szCs w:val="16"/>
                                </w:rPr>
                                <w:t>Nehospodárska činnosť</w:t>
                              </w:r>
                            </w:p>
                          </w:txbxContent>
                        </wps:txbx>
                        <wps:bodyPr rot="0" vert="horz" wrap="square" lIns="91440" tIns="45720" rIns="91440" bIns="45720" anchor="b" anchorCtr="0" upright="1">
                          <a:noAutofit/>
                        </wps:bodyPr>
                      </wps:wsp>
                      <wps:wsp>
                        <wps:cNvPr id="28" name="Blok textu 14"/>
                        <wps:cNvSpPr txBox="1">
                          <a:spLocks noChangeArrowheads="1"/>
                        </wps:cNvSpPr>
                        <wps:spPr bwMode="auto">
                          <a:xfrm>
                            <a:off x="0" y="13953"/>
                            <a:ext cx="10915" cy="4909"/>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5564CD3" w14:textId="77777777" w:rsidR="00DF4E07" w:rsidRDefault="00DF4E07">
                              <w:pPr>
                                <w:jc w:val="center"/>
                                <w:rPr>
                                  <w:sz w:val="16"/>
                                  <w:szCs w:val="16"/>
                                </w:rPr>
                              </w:pPr>
                              <w:r>
                                <w:rPr>
                                  <w:sz w:val="16"/>
                                  <w:szCs w:val="16"/>
                                </w:rPr>
                                <w:t>Nesplnené kritéria definované čl. 107</w:t>
                              </w:r>
                            </w:p>
                          </w:txbxContent>
                        </wps:txbx>
                        <wps:bodyPr rot="0" vert="horz" wrap="square" lIns="91440" tIns="45720" rIns="91440" bIns="45720" anchor="b" anchorCtr="0" upright="1">
                          <a:noAutofit/>
                        </wps:bodyPr>
                      </wps:wsp>
                      <wps:wsp>
                        <wps:cNvPr id="29" name="Blok textu 15"/>
                        <wps:cNvSpPr txBox="1">
                          <a:spLocks noChangeArrowheads="1"/>
                        </wps:cNvSpPr>
                        <wps:spPr bwMode="auto">
                          <a:xfrm>
                            <a:off x="13716" y="18941"/>
                            <a:ext cx="10915" cy="5283"/>
                          </a:xfrm>
                          <a:prstGeom prst="rect">
                            <a:avLst/>
                          </a:prstGeom>
                          <a:solidFill>
                            <a:srgbClr val="FFFFFF"/>
                          </a:solidFill>
                          <a:ln w="25400">
                            <a:solidFill>
                              <a:srgbClr val="4F81BD"/>
                            </a:solidFill>
                            <a:miter lim="800000"/>
                            <a:headEnd/>
                            <a:tailEnd/>
                          </a:ln>
                        </wps:spPr>
                        <wps:txbx>
                          <w:txbxContent>
                            <w:p w14:paraId="3CF54E77" w14:textId="77777777" w:rsidR="00DF4E07" w:rsidRDefault="00DF4E07">
                              <w:pPr>
                                <w:jc w:val="center"/>
                                <w:rPr>
                                  <w:sz w:val="16"/>
                                  <w:szCs w:val="16"/>
                                </w:rPr>
                              </w:pPr>
                              <w:r>
                                <w:rPr>
                                  <w:sz w:val="16"/>
                                  <w:szCs w:val="16"/>
                                </w:rPr>
                                <w:t>Pomoc de minimis (podľa limitov a podmienok)</w:t>
                              </w:r>
                            </w:p>
                          </w:txbxContent>
                        </wps:txbx>
                        <wps:bodyPr rot="0" vert="horz" wrap="square" lIns="91440" tIns="45720" rIns="91440" bIns="45720" anchor="b" anchorCtr="0" upright="1">
                          <a:noAutofit/>
                        </wps:bodyPr>
                      </wps:wsp>
                      <wps:wsp>
                        <wps:cNvPr id="30" name="Blok textu 16"/>
                        <wps:cNvSpPr txBox="1">
                          <a:spLocks noChangeArrowheads="1"/>
                        </wps:cNvSpPr>
                        <wps:spPr bwMode="auto">
                          <a:xfrm>
                            <a:off x="25828" y="30341"/>
                            <a:ext cx="10916" cy="4909"/>
                          </a:xfrm>
                          <a:prstGeom prst="rect">
                            <a:avLst/>
                          </a:prstGeom>
                          <a:solidFill>
                            <a:srgbClr val="FFFFFF"/>
                          </a:solidFill>
                          <a:ln w="25400">
                            <a:solidFill>
                              <a:srgbClr val="4F81BD"/>
                            </a:solidFill>
                            <a:miter lim="800000"/>
                            <a:headEnd/>
                            <a:tailEnd/>
                          </a:ln>
                        </wps:spPr>
                        <wps:txbx>
                          <w:txbxContent>
                            <w:p w14:paraId="2D004DF8" w14:textId="77777777" w:rsidR="00DF4E07" w:rsidRDefault="00DF4E07">
                              <w:pPr>
                                <w:jc w:val="center"/>
                                <w:rPr>
                                  <w:sz w:val="16"/>
                                  <w:szCs w:val="16"/>
                                </w:rPr>
                              </w:pPr>
                              <w:r>
                                <w:rPr>
                                  <w:sz w:val="16"/>
                                  <w:szCs w:val="16"/>
                                </w:rPr>
                                <w:t>SVHZ</w:t>
                              </w:r>
                            </w:p>
                            <w:p w14:paraId="7FBBFBE1" w14:textId="77777777" w:rsidR="00DF4E07" w:rsidRDefault="00DF4E07">
                              <w:pPr>
                                <w:jc w:val="center"/>
                                <w:rPr>
                                  <w:sz w:val="16"/>
                                  <w:szCs w:val="16"/>
                                </w:rPr>
                              </w:pPr>
                            </w:p>
                          </w:txbxContent>
                        </wps:txbx>
                        <wps:bodyPr rot="0" vert="horz" wrap="square" lIns="91440" tIns="45720" rIns="91440" bIns="45720" anchor="b" anchorCtr="0" upright="1">
                          <a:noAutofit/>
                        </wps:bodyPr>
                      </wps:wsp>
                      <wps:wsp>
                        <wps:cNvPr id="31" name="Blok textu 17"/>
                        <wps:cNvSpPr txBox="1">
                          <a:spLocks noChangeArrowheads="1"/>
                        </wps:cNvSpPr>
                        <wps:spPr bwMode="auto">
                          <a:xfrm>
                            <a:off x="42929" y="24166"/>
                            <a:ext cx="10918" cy="5329"/>
                          </a:xfrm>
                          <a:prstGeom prst="rect">
                            <a:avLst/>
                          </a:prstGeom>
                          <a:solidFill>
                            <a:srgbClr val="FFFFFF"/>
                          </a:solidFill>
                          <a:ln w="25400">
                            <a:solidFill>
                              <a:srgbClr val="4F81BD"/>
                            </a:solidFill>
                            <a:miter lim="800000"/>
                            <a:headEnd/>
                            <a:tailEnd/>
                          </a:ln>
                        </wps:spPr>
                        <wps:txbx>
                          <w:txbxContent>
                            <w:p w14:paraId="43A1CD0F" w14:textId="77777777" w:rsidR="00DF4E07" w:rsidRDefault="00DF4E07">
                              <w:pPr>
                                <w:jc w:val="center"/>
                                <w:rPr>
                                  <w:sz w:val="16"/>
                                  <w:szCs w:val="16"/>
                                </w:rPr>
                              </w:pPr>
                              <w:r>
                                <w:rPr>
                                  <w:sz w:val="16"/>
                                  <w:szCs w:val="16"/>
                                </w:rPr>
                                <w:t>Štátna pomoc (splnené všetky kritériá)</w:t>
                              </w:r>
                            </w:p>
                          </w:txbxContent>
                        </wps:txbx>
                        <wps:bodyPr rot="0" vert="horz" wrap="square" lIns="91440" tIns="45720" rIns="91440" bIns="45720" anchor="b" anchorCtr="0" upright="1">
                          <a:noAutofit/>
                        </wps:bodyPr>
                      </wps:wsp>
                      <wps:wsp>
                        <wps:cNvPr id="32" name="Blok textu 18"/>
                        <wps:cNvSpPr txBox="1">
                          <a:spLocks noChangeArrowheads="1"/>
                        </wps:cNvSpPr>
                        <wps:spPr bwMode="auto">
                          <a:xfrm>
                            <a:off x="1068" y="24819"/>
                            <a:ext cx="10916" cy="4908"/>
                          </a:xfrm>
                          <a:prstGeom prst="rect">
                            <a:avLst/>
                          </a:prstGeom>
                          <a:solidFill>
                            <a:srgbClr val="FFFFFF"/>
                          </a:solidFill>
                          <a:ln w="25400">
                            <a:solidFill>
                              <a:srgbClr val="4F81BD"/>
                            </a:solidFill>
                            <a:miter lim="800000"/>
                            <a:headEnd/>
                            <a:tailEnd/>
                          </a:ln>
                        </wps:spPr>
                        <wps:txbx>
                          <w:txbxContent>
                            <w:p w14:paraId="2C262FA8" w14:textId="77777777" w:rsidR="00DF4E07" w:rsidRDefault="00DF4E07">
                              <w:pPr>
                                <w:jc w:val="center"/>
                                <w:rPr>
                                  <w:sz w:val="16"/>
                                  <w:szCs w:val="16"/>
                                </w:rPr>
                              </w:pPr>
                              <w:r>
                                <w:rPr>
                                  <w:sz w:val="16"/>
                                  <w:szCs w:val="16"/>
                                </w:rPr>
                                <w:t>Nie je štátna pomoc</w:t>
                              </w:r>
                            </w:p>
                            <w:p w14:paraId="4FFEF993" w14:textId="77777777" w:rsidR="00DF4E07" w:rsidRDefault="00DF4E07">
                              <w:pPr>
                                <w:jc w:val="center"/>
                                <w:rPr>
                                  <w:sz w:val="16"/>
                                  <w:szCs w:val="16"/>
                                </w:rPr>
                              </w:pPr>
                            </w:p>
                          </w:txbxContent>
                        </wps:txbx>
                        <wps:bodyPr rot="0" vert="horz" wrap="square" lIns="91440" tIns="45720" rIns="91440" bIns="45720" anchor="b" anchorCtr="0" upright="1">
                          <a:noAutofit/>
                        </wps:bodyPr>
                      </wps:wsp>
                      <wps:wsp>
                        <wps:cNvPr id="33" name="Rovná spojovacia šípka 19"/>
                        <wps:cNvCnPr>
                          <a:cxnSpLocks noChangeShapeType="1"/>
                        </wps:cNvCnPr>
                        <wps:spPr bwMode="auto">
                          <a:xfrm flipH="1">
                            <a:off x="6353" y="10153"/>
                            <a:ext cx="6278" cy="1467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4" name="Blok textu 20"/>
                        <wps:cNvSpPr txBox="1">
                          <a:spLocks noChangeArrowheads="1"/>
                        </wps:cNvSpPr>
                        <wps:spPr bwMode="auto">
                          <a:xfrm>
                            <a:off x="36744" y="14032"/>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B0E3916" w14:textId="77777777" w:rsidR="00DF4E07" w:rsidRDefault="00DF4E07">
                              <w:pPr>
                                <w:jc w:val="center"/>
                                <w:rPr>
                                  <w:sz w:val="16"/>
                                  <w:szCs w:val="16"/>
                                </w:rPr>
                              </w:pPr>
                              <w:r>
                                <w:rPr>
                                  <w:sz w:val="16"/>
                                  <w:szCs w:val="16"/>
                                </w:rPr>
                                <w:t>Splnené kritéria definované čl. 107</w:t>
                              </w:r>
                            </w:p>
                          </w:txbxContent>
                        </wps:txbx>
                        <wps:bodyPr rot="0" vert="horz" wrap="square" lIns="91440" tIns="45720" rIns="91440" bIns="45720" anchor="b" anchorCtr="0" upright="1">
                          <a:noAutofit/>
                        </wps:bodyPr>
                      </wps:wsp>
                      <wps:wsp>
                        <wps:cNvPr id="35" name="Rovná spojovacia šípka 21"/>
                        <wps:cNvCnPr>
                          <a:cxnSpLocks noChangeShapeType="1"/>
                        </wps:cNvCnPr>
                        <wps:spPr bwMode="auto">
                          <a:xfrm>
                            <a:off x="23810" y="10509"/>
                            <a:ext cx="24631" cy="1365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6" name="Rovná spojovacia šípka 22"/>
                        <wps:cNvCnPr>
                          <a:cxnSpLocks noChangeShapeType="1"/>
                        </wps:cNvCnPr>
                        <wps:spPr bwMode="auto">
                          <a:xfrm>
                            <a:off x="18763" y="12469"/>
                            <a:ext cx="68" cy="641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7" name="Rovná spojovacia šípka 23"/>
                        <wps:cNvCnPr>
                          <a:cxnSpLocks noChangeShapeType="1"/>
                        </wps:cNvCnPr>
                        <wps:spPr bwMode="auto">
                          <a:xfrm>
                            <a:off x="22860" y="12409"/>
                            <a:ext cx="7915" cy="17879"/>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8" name="Rovná spojovacia šípka 24"/>
                        <wps:cNvCnPr>
                          <a:cxnSpLocks noChangeShapeType="1"/>
                        </wps:cNvCnPr>
                        <wps:spPr bwMode="auto">
                          <a:xfrm flipH="1" flipV="1">
                            <a:off x="9025" y="29807"/>
                            <a:ext cx="16798" cy="379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9" name="Rovná spojovacia šípka 25"/>
                        <wps:cNvCnPr>
                          <a:cxnSpLocks noChangeShapeType="1"/>
                        </wps:cNvCnPr>
                        <wps:spPr bwMode="auto">
                          <a:xfrm flipH="1">
                            <a:off x="17931" y="2137"/>
                            <a:ext cx="9008" cy="552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0" name="Blok textu 26"/>
                        <wps:cNvSpPr txBox="1">
                          <a:spLocks noChangeArrowheads="1"/>
                        </wps:cNvSpPr>
                        <wps:spPr bwMode="auto">
                          <a:xfrm>
                            <a:off x="3028" y="29985"/>
                            <a:ext cx="10915"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D968ECA" w14:textId="77777777" w:rsidR="00DF4E07" w:rsidRDefault="00DF4E07">
                              <w:pPr>
                                <w:jc w:val="center"/>
                                <w:rPr>
                                  <w:sz w:val="16"/>
                                  <w:szCs w:val="16"/>
                                </w:rPr>
                              </w:pPr>
                              <w:r>
                                <w:rPr>
                                  <w:sz w:val="16"/>
                                  <w:szCs w:val="16"/>
                                </w:rPr>
                                <w:t>Splnené všetky kritéria Altmark</w:t>
                              </w:r>
                            </w:p>
                          </w:txbxContent>
                        </wps:txbx>
                        <wps:bodyPr rot="0" vert="horz" wrap="square" lIns="91440" tIns="45720" rIns="91440" bIns="45720" anchor="b" anchorCtr="0" upright="1">
                          <a:noAutofit/>
                        </wps:bodyPr>
                      </wps:wsp>
                      <wps:wsp>
                        <wps:cNvPr id="41" name="Rovná spojovacia šípka 27"/>
                        <wps:cNvCnPr>
                          <a:cxnSpLocks noChangeShapeType="1"/>
                        </wps:cNvCnPr>
                        <wps:spPr bwMode="auto">
                          <a:xfrm>
                            <a:off x="38119" y="2137"/>
                            <a:ext cx="14538" cy="5525"/>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2" name="Blok textu 28"/>
                        <wps:cNvSpPr txBox="1">
                          <a:spLocks noChangeArrowheads="1"/>
                        </wps:cNvSpPr>
                        <wps:spPr bwMode="auto">
                          <a:xfrm>
                            <a:off x="37525" y="30306"/>
                            <a:ext cx="10916"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BF6864A" w14:textId="77777777" w:rsidR="00DF4E07" w:rsidRDefault="00DF4E07">
                              <w:pP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3" name="Rovná spojovacia šípka 29"/>
                        <wps:cNvCnPr>
                          <a:cxnSpLocks noChangeShapeType="1"/>
                        </wps:cNvCnPr>
                        <wps:spPr bwMode="auto">
                          <a:xfrm flipV="1">
                            <a:off x="36754" y="27728"/>
                            <a:ext cx="6144" cy="539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4" name="Rovná spojovacia šípka 30"/>
                        <wps:cNvCnPr>
                          <a:cxnSpLocks noChangeShapeType="1"/>
                        </wps:cNvCnPr>
                        <wps:spPr bwMode="auto">
                          <a:xfrm flipH="1" flipV="1">
                            <a:off x="21256" y="24166"/>
                            <a:ext cx="6294" cy="6116"/>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5" name="Blok textu 31"/>
                        <wps:cNvSpPr txBox="1">
                          <a:spLocks noChangeArrowheads="1"/>
                        </wps:cNvSpPr>
                        <wps:spPr bwMode="auto">
                          <a:xfrm>
                            <a:off x="19178" y="24878"/>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EA1E044" w14:textId="77777777" w:rsidR="00DF4E07" w:rsidRDefault="00DF4E07">
                              <w:pPr>
                                <w:jc w:val="cente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6" name="Blok textu 1120"/>
                        <wps:cNvSpPr txBox="1">
                          <a:spLocks noChangeArrowheads="1"/>
                        </wps:cNvSpPr>
                        <wps:spPr bwMode="auto">
                          <a:xfrm>
                            <a:off x="48213" y="15675"/>
                            <a:ext cx="11595" cy="5525"/>
                          </a:xfrm>
                          <a:prstGeom prst="rect">
                            <a:avLst/>
                          </a:prstGeom>
                          <a:solidFill>
                            <a:srgbClr val="FFFFFF"/>
                          </a:solidFill>
                          <a:ln w="25400">
                            <a:solidFill>
                              <a:srgbClr val="4F81BD"/>
                            </a:solidFill>
                            <a:miter lim="800000"/>
                            <a:headEnd/>
                            <a:tailEnd/>
                          </a:ln>
                        </wps:spPr>
                        <wps:txbx>
                          <w:txbxContent>
                            <w:p w14:paraId="61E4953B" w14:textId="77777777" w:rsidR="00DF4E07" w:rsidRDefault="00DF4E07">
                              <w:pPr>
                                <w:jc w:val="center"/>
                                <w:rPr>
                                  <w:sz w:val="16"/>
                                  <w:szCs w:val="16"/>
                                </w:rPr>
                              </w:pPr>
                              <w:r>
                                <w:rPr>
                                  <w:sz w:val="16"/>
                                  <w:szCs w:val="16"/>
                                </w:rPr>
                                <w:t>Nevzťahujú sa pravidlá o štátnej pomoci</w:t>
                              </w:r>
                            </w:p>
                          </w:txbxContent>
                        </wps:txbx>
                        <wps:bodyPr rot="0" vert="horz" wrap="square" lIns="91440" tIns="45720" rIns="91440" bIns="45720" anchor="b" anchorCtr="0" upright="1">
                          <a:noAutofit/>
                        </wps:bodyPr>
                      </wps:wsp>
                      <wps:wsp>
                        <wps:cNvPr id="47" name="Rovná spojovacia šípka 1121"/>
                        <wps:cNvCnPr>
                          <a:cxnSpLocks noChangeShapeType="1"/>
                        </wps:cNvCnPr>
                        <wps:spPr bwMode="auto">
                          <a:xfrm>
                            <a:off x="53320" y="12469"/>
                            <a:ext cx="0" cy="320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8" name="Blok textu 1122"/>
                        <wps:cNvSpPr txBox="1">
                          <a:spLocks noChangeArrowheads="1"/>
                        </wps:cNvSpPr>
                        <wps:spPr bwMode="auto">
                          <a:xfrm>
                            <a:off x="24641" y="15734"/>
                            <a:ext cx="10915"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9027C30" w14:textId="77777777" w:rsidR="00DF4E07" w:rsidRDefault="00DF4E07">
                              <w:pPr>
                                <w:rPr>
                                  <w:sz w:val="16"/>
                                  <w:szCs w:val="16"/>
                                </w:rPr>
                              </w:pPr>
                              <w:r>
                                <w:rPr>
                                  <w:sz w:val="16"/>
                                  <w:szCs w:val="16"/>
                                </w:rPr>
                                <w:t>Služby osobitného charakteru</w:t>
                              </w:r>
                            </w:p>
                          </w:txbxContent>
                        </wps:txbx>
                        <wps:bodyPr rot="0" vert="horz" wrap="square" lIns="91440" tIns="45720" rIns="91440" bIns="45720" anchor="b" anchorCtr="0" upright="1">
                          <a:noAutofit/>
                        </wps:bodyPr>
                      </wps:wsp>
                      <wps:wsp>
                        <wps:cNvPr id="49" name="Blok textu 1123"/>
                        <wps:cNvSpPr txBox="1">
                          <a:spLocks noChangeArrowheads="1"/>
                        </wps:cNvSpPr>
                        <wps:spPr bwMode="auto">
                          <a:xfrm>
                            <a:off x="52726" y="37585"/>
                            <a:ext cx="10916" cy="4908"/>
                          </a:xfrm>
                          <a:prstGeom prst="rect">
                            <a:avLst/>
                          </a:prstGeom>
                          <a:solidFill>
                            <a:srgbClr val="FFFFFF"/>
                          </a:solidFill>
                          <a:ln w="25400">
                            <a:solidFill>
                              <a:srgbClr val="4F81BD"/>
                            </a:solidFill>
                            <a:miter lim="800000"/>
                            <a:headEnd/>
                            <a:tailEnd/>
                          </a:ln>
                        </wps:spPr>
                        <wps:txbx>
                          <w:txbxContent>
                            <w:p w14:paraId="49C29678" w14:textId="77777777" w:rsidR="00DF4E07" w:rsidRDefault="00DF4E07">
                              <w:pPr>
                                <w:jc w:val="center"/>
                                <w:rPr>
                                  <w:sz w:val="16"/>
                                  <w:szCs w:val="16"/>
                                </w:rPr>
                              </w:pPr>
                              <w:r>
                                <w:rPr>
                                  <w:sz w:val="16"/>
                                  <w:szCs w:val="16"/>
                                </w:rPr>
                                <w:t>Oslobodenie od notifikácie</w:t>
                              </w:r>
                            </w:p>
                          </w:txbxContent>
                        </wps:txbx>
                        <wps:bodyPr rot="0" vert="horz" wrap="square" lIns="91440" tIns="45720" rIns="91440" bIns="45720" anchor="ctr" anchorCtr="0" upright="1">
                          <a:noAutofit/>
                        </wps:bodyPr>
                      </wps:wsp>
                      <wps:wsp>
                        <wps:cNvPr id="50" name="Blok textu 1124"/>
                        <wps:cNvSpPr txBox="1">
                          <a:spLocks noChangeArrowheads="1"/>
                        </wps:cNvSpPr>
                        <wps:spPr bwMode="auto">
                          <a:xfrm>
                            <a:off x="40138" y="37644"/>
                            <a:ext cx="10916" cy="4909"/>
                          </a:xfrm>
                          <a:prstGeom prst="rect">
                            <a:avLst/>
                          </a:prstGeom>
                          <a:solidFill>
                            <a:srgbClr val="FFFFFF"/>
                          </a:solidFill>
                          <a:ln w="25400">
                            <a:solidFill>
                              <a:srgbClr val="4F81BD"/>
                            </a:solidFill>
                            <a:miter lim="800000"/>
                            <a:headEnd/>
                            <a:tailEnd/>
                          </a:ln>
                        </wps:spPr>
                        <wps:txbx>
                          <w:txbxContent>
                            <w:p w14:paraId="07BF009E" w14:textId="77777777" w:rsidR="00DF4E07" w:rsidRDefault="00DF4E07">
                              <w:pPr>
                                <w:jc w:val="center"/>
                                <w:rPr>
                                  <w:sz w:val="16"/>
                                  <w:szCs w:val="16"/>
                                </w:rPr>
                              </w:pPr>
                              <w:r>
                                <w:rPr>
                                  <w:sz w:val="16"/>
                                  <w:szCs w:val="16"/>
                                </w:rPr>
                                <w:t>Notifikácia pomoci</w:t>
                              </w:r>
                            </w:p>
                            <w:p w14:paraId="458763B9" w14:textId="77777777" w:rsidR="00DF4E07" w:rsidRDefault="00DF4E07">
                              <w:pPr>
                                <w:jc w:val="center"/>
                                <w:rPr>
                                  <w:sz w:val="16"/>
                                  <w:szCs w:val="16"/>
                                </w:rPr>
                              </w:pPr>
                            </w:p>
                          </w:txbxContent>
                        </wps:txbx>
                        <wps:bodyPr rot="0" vert="horz" wrap="square" lIns="91440" tIns="45720" rIns="91440" bIns="45720" anchor="b" anchorCtr="0" upright="1">
                          <a:noAutofit/>
                        </wps:bodyPr>
                      </wps:wsp>
                      <wps:wsp>
                        <wps:cNvPr id="51" name="Rovná spojovacia šípka 1125"/>
                        <wps:cNvCnPr>
                          <a:cxnSpLocks noChangeShapeType="1"/>
                        </wps:cNvCnPr>
                        <wps:spPr bwMode="auto">
                          <a:xfrm flipH="1">
                            <a:off x="48213" y="29688"/>
                            <a:ext cx="115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2" name="Rovná spojovacia šípka 1126"/>
                        <wps:cNvCnPr>
                          <a:cxnSpLocks noChangeShapeType="1"/>
                        </wps:cNvCnPr>
                        <wps:spPr bwMode="auto">
                          <a:xfrm>
                            <a:off x="52667" y="29688"/>
                            <a:ext cx="354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3" name="Blok textu 1127"/>
                        <wps:cNvSpPr txBox="1">
                          <a:spLocks noChangeArrowheads="1"/>
                        </wps:cNvSpPr>
                        <wps:spPr bwMode="auto">
                          <a:xfrm>
                            <a:off x="40672" y="48391"/>
                            <a:ext cx="10916" cy="4909"/>
                          </a:xfrm>
                          <a:prstGeom prst="rect">
                            <a:avLst/>
                          </a:prstGeom>
                          <a:solidFill>
                            <a:srgbClr val="FFFFFF"/>
                          </a:solidFill>
                          <a:ln w="25400">
                            <a:solidFill>
                              <a:srgbClr val="4F81BD"/>
                            </a:solidFill>
                            <a:miter lim="800000"/>
                            <a:headEnd/>
                            <a:tailEnd/>
                          </a:ln>
                        </wps:spPr>
                        <wps:txbx>
                          <w:txbxContent>
                            <w:p w14:paraId="6538B498" w14:textId="77777777" w:rsidR="00DF4E07" w:rsidRDefault="00DF4E07">
                              <w:pPr>
                                <w:jc w:val="center"/>
                                <w:rPr>
                                  <w:sz w:val="16"/>
                                  <w:szCs w:val="16"/>
                                </w:rPr>
                              </w:pPr>
                              <w:r>
                                <w:rPr>
                                  <w:sz w:val="16"/>
                                  <w:szCs w:val="16"/>
                                </w:rPr>
                                <w:t>Individuálna pomoc</w:t>
                              </w:r>
                            </w:p>
                            <w:p w14:paraId="4B7507C1" w14:textId="77777777" w:rsidR="00DF4E07" w:rsidRDefault="00DF4E07">
                              <w:pPr>
                                <w:jc w:val="center"/>
                                <w:rPr>
                                  <w:sz w:val="16"/>
                                  <w:szCs w:val="16"/>
                                </w:rPr>
                              </w:pPr>
                            </w:p>
                          </w:txbxContent>
                        </wps:txbx>
                        <wps:bodyPr rot="0" vert="horz" wrap="square" lIns="91440" tIns="45720" rIns="91440" bIns="45720" anchor="b" anchorCtr="0" upright="1">
                          <a:noAutofit/>
                        </wps:bodyPr>
                      </wps:wsp>
                      <wps:wsp>
                        <wps:cNvPr id="54" name="Blok textu 32"/>
                        <wps:cNvSpPr txBox="1">
                          <a:spLocks noChangeArrowheads="1"/>
                        </wps:cNvSpPr>
                        <wps:spPr bwMode="auto">
                          <a:xfrm>
                            <a:off x="53023" y="48391"/>
                            <a:ext cx="10619" cy="4909"/>
                          </a:xfrm>
                          <a:prstGeom prst="rect">
                            <a:avLst/>
                          </a:prstGeom>
                          <a:solidFill>
                            <a:srgbClr val="FFFFFF"/>
                          </a:solidFill>
                          <a:ln w="25400">
                            <a:solidFill>
                              <a:srgbClr val="4F81BD"/>
                            </a:solidFill>
                            <a:miter lim="800000"/>
                            <a:headEnd/>
                            <a:tailEnd/>
                          </a:ln>
                        </wps:spPr>
                        <wps:txbx>
                          <w:txbxContent>
                            <w:p w14:paraId="0C897CB8" w14:textId="77777777" w:rsidR="00DF4E07" w:rsidRDefault="00DF4E07">
                              <w:pPr>
                                <w:jc w:val="center"/>
                                <w:rPr>
                                  <w:sz w:val="16"/>
                                  <w:szCs w:val="16"/>
                                </w:rPr>
                              </w:pPr>
                              <w:r>
                                <w:rPr>
                                  <w:sz w:val="16"/>
                                  <w:szCs w:val="16"/>
                                </w:rPr>
                                <w:t>Schéma štátnej pomoci</w:t>
                              </w:r>
                            </w:p>
                          </w:txbxContent>
                        </wps:txbx>
                        <wps:bodyPr rot="0" vert="horz" wrap="square" lIns="91440" tIns="45720" rIns="91440" bIns="45720" anchor="b" anchorCtr="0" upright="1">
                          <a:noAutofit/>
                        </wps:bodyPr>
                      </wps:wsp>
                      <wps:wsp>
                        <wps:cNvPr id="55" name="Rovná spojovacia šípka 33"/>
                        <wps:cNvCnPr>
                          <a:cxnSpLocks noChangeShapeType="1"/>
                        </wps:cNvCnPr>
                        <wps:spPr bwMode="auto">
                          <a:xfrm>
                            <a:off x="45541" y="42513"/>
                            <a:ext cx="0" cy="5737"/>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6" name="Rovná spojovacia šípka 34"/>
                        <wps:cNvCnPr>
                          <a:cxnSpLocks noChangeShapeType="1"/>
                        </wps:cNvCnPr>
                        <wps:spPr bwMode="auto">
                          <a:xfrm>
                            <a:off x="45541" y="42513"/>
                            <a:ext cx="14256" cy="5728"/>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7" name="Rovná spojovacia šípka 35"/>
                        <wps:cNvCnPr>
                          <a:cxnSpLocks noChangeShapeType="1"/>
                        </wps:cNvCnPr>
                        <wps:spPr bwMode="auto">
                          <a:xfrm flipH="1">
                            <a:off x="48807" y="42513"/>
                            <a:ext cx="7365" cy="573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8" name="Rovná spojovacia šípka 36"/>
                        <wps:cNvCnPr>
                          <a:cxnSpLocks noChangeShapeType="1"/>
                        </wps:cNvCnPr>
                        <wps:spPr bwMode="auto">
                          <a:xfrm>
                            <a:off x="56170" y="42513"/>
                            <a:ext cx="0" cy="5728"/>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9" name="Blok textu 37"/>
                        <wps:cNvSpPr txBox="1">
                          <a:spLocks noChangeArrowheads="1"/>
                        </wps:cNvSpPr>
                        <wps:spPr bwMode="auto">
                          <a:xfrm>
                            <a:off x="4928" y="37585"/>
                            <a:ext cx="10915" cy="4908"/>
                          </a:xfrm>
                          <a:prstGeom prst="rect">
                            <a:avLst/>
                          </a:prstGeom>
                          <a:solidFill>
                            <a:srgbClr val="FFFFFF"/>
                          </a:solidFill>
                          <a:ln w="25400">
                            <a:solidFill>
                              <a:srgbClr val="4F81BD"/>
                            </a:solidFill>
                            <a:miter lim="800000"/>
                            <a:headEnd/>
                            <a:tailEnd/>
                          </a:ln>
                        </wps:spPr>
                        <wps:txbx>
                          <w:txbxContent>
                            <w:p w14:paraId="4FE4C23A" w14:textId="77777777" w:rsidR="00DF4E07" w:rsidRDefault="00DF4E07">
                              <w:pPr>
                                <w:jc w:val="center"/>
                                <w:rPr>
                                  <w:sz w:val="16"/>
                                  <w:szCs w:val="16"/>
                                </w:rPr>
                              </w:pPr>
                              <w:r>
                                <w:rPr>
                                  <w:sz w:val="16"/>
                                  <w:szCs w:val="16"/>
                                </w:rPr>
                                <w:t>Individuálna pomoc</w:t>
                              </w:r>
                            </w:p>
                            <w:p w14:paraId="15FC1087" w14:textId="77777777" w:rsidR="00DF4E07" w:rsidRDefault="00DF4E07">
                              <w:pPr>
                                <w:jc w:val="center"/>
                                <w:rPr>
                                  <w:sz w:val="16"/>
                                  <w:szCs w:val="16"/>
                                </w:rPr>
                              </w:pPr>
                            </w:p>
                          </w:txbxContent>
                        </wps:txbx>
                        <wps:bodyPr rot="0" vert="horz" wrap="square" lIns="91440" tIns="45720" rIns="91440" bIns="45720" anchor="b" anchorCtr="0" upright="1">
                          <a:noAutofit/>
                        </wps:bodyPr>
                      </wps:wsp>
                      <wps:wsp>
                        <wps:cNvPr id="60" name="Blok textu 38"/>
                        <wps:cNvSpPr txBox="1">
                          <a:spLocks noChangeArrowheads="1"/>
                        </wps:cNvSpPr>
                        <wps:spPr bwMode="auto">
                          <a:xfrm>
                            <a:off x="18406" y="37644"/>
                            <a:ext cx="10916" cy="4909"/>
                          </a:xfrm>
                          <a:prstGeom prst="rect">
                            <a:avLst/>
                          </a:prstGeom>
                          <a:solidFill>
                            <a:srgbClr val="FFFFFF"/>
                          </a:solidFill>
                          <a:ln w="25400">
                            <a:solidFill>
                              <a:srgbClr val="4F81BD"/>
                            </a:solidFill>
                            <a:miter lim="800000"/>
                            <a:headEnd/>
                            <a:tailEnd/>
                          </a:ln>
                        </wps:spPr>
                        <wps:txbx>
                          <w:txbxContent>
                            <w:p w14:paraId="23CD89DF" w14:textId="77777777" w:rsidR="00DF4E07" w:rsidRDefault="00DF4E07">
                              <w:pPr>
                                <w:jc w:val="center"/>
                                <w:rPr>
                                  <w:sz w:val="16"/>
                                  <w:szCs w:val="16"/>
                                </w:rPr>
                              </w:pPr>
                              <w:r>
                                <w:rPr>
                                  <w:sz w:val="16"/>
                                  <w:szCs w:val="16"/>
                                </w:rPr>
                                <w:t>Schéma pomoci de minimis</w:t>
                              </w:r>
                            </w:p>
                          </w:txbxContent>
                        </wps:txbx>
                        <wps:bodyPr rot="0" vert="horz" wrap="square" lIns="91440" tIns="45720" rIns="91440" bIns="45720" anchor="b" anchorCtr="0" upright="1">
                          <a:noAutofit/>
                        </wps:bodyPr>
                      </wps:wsp>
                      <wps:wsp>
                        <wps:cNvPr id="61" name="Rovná spojovacia šípka 39"/>
                        <wps:cNvCnPr>
                          <a:cxnSpLocks noChangeShapeType="1"/>
                        </wps:cNvCnPr>
                        <wps:spPr bwMode="auto">
                          <a:xfrm flipH="1">
                            <a:off x="10925" y="24225"/>
                            <a:ext cx="5654" cy="13419"/>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62" name="Rovná spojovacia šípka 40"/>
                        <wps:cNvCnPr>
                          <a:cxnSpLocks noChangeShapeType="1"/>
                        </wps:cNvCnPr>
                        <wps:spPr bwMode="auto">
                          <a:xfrm>
                            <a:off x="17931" y="24225"/>
                            <a:ext cx="8490" cy="13415"/>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0BECFD5" id="Skupina 10" o:spid="_x0000_s1040" style="position:absolute;left:0;text-align:left;margin-left:-14.25pt;margin-top:.6pt;width:501.1pt;height:365.8pt;z-index:-251645952"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">
                <v:shape id="Blok textu 11" o:spid="_x0000_s1041" type="#_x0000_t202" style="position:absolute;left:27016;width:11191;height:47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" strokecolor="#4f81bd" strokeweight="2pt">
                  <v:textbox>
                    <w:txbxContent>
                      <w:p w14:paraId="63B91995" w14:textId="77777777" w:rsidR="00DF4E07" w:rsidRDefault="00DF4E07">
                        <w:pPr>
                          <w:jc w:val="center"/>
                          <w:rPr>
                            <w:sz w:val="16"/>
                            <w:szCs w:val="16"/>
                          </w:rPr>
                        </w:pPr>
                        <w:r>
                          <w:rPr>
                            <w:sz w:val="16"/>
                            <w:szCs w:val="16"/>
                          </w:rPr>
                          <w:t>Činnosť</w:t>
                        </w:r>
                      </w:p>
                      <w:p w14:paraId="4F175926" w14:textId="77777777" w:rsidR="00DF4E07" w:rsidRDefault="00DF4E07">
                        <w:pPr>
                          <w:jc w:val="center"/>
                          <w:rPr>
                            <w:sz w:val="16"/>
                            <w:szCs w:val="16"/>
                          </w:rPr>
                        </w:pPr>
                      </w:p>
                    </w:txbxContent>
                  </v:textbox>
                </v:shape>
                <v:shape id="Blok textu 12" o:spid="_x0000_s1042" type="#_x0000_t202" style="position:absolute;left:12587;top:7778;width:11189;height:470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" strokecolor="#4f81bd" strokeweight="2pt">
                  <v:textbox>
                    <w:txbxContent>
                      <w:p w14:paraId="6DB37571" w14:textId="77777777" w:rsidR="00DF4E07" w:rsidRDefault="00DF4E07">
                        <w:pPr>
                          <w:jc w:val="center"/>
                          <w:rPr>
                            <w:sz w:val="16"/>
                            <w:szCs w:val="16"/>
                          </w:rPr>
                        </w:pPr>
                        <w:r>
                          <w:rPr>
                            <w:sz w:val="16"/>
                            <w:szCs w:val="16"/>
                          </w:rPr>
                          <w:t>Hospodárska činnosť</w:t>
                        </w:r>
                      </w:p>
                      <w:p w14:paraId="18AD4FBD" w14:textId="77777777" w:rsidR="00DF4E07" w:rsidRDefault="00DF4E07">
                        <w:pPr>
                          <w:jc w:val="center"/>
                          <w:rPr>
                            <w:sz w:val="16"/>
                            <w:szCs w:val="16"/>
                          </w:rPr>
                        </w:pPr>
                      </w:p>
                    </w:txbxContent>
                  </v:textbox>
                </v:shape>
                <v:shape id="Blok textu 13" o:spid="_x0000_s1043" type="#_x0000_t202" style="position:absolute;left:48213;top:7718;width:11595;height:4706;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" strokecolor="#4f81bd" strokeweight="2pt">
                  <v:textbox>
                    <w:txbxContent>
                      <w:p w14:paraId="5404083B" w14:textId="77777777" w:rsidR="00DF4E07" w:rsidRDefault="00DF4E07">
                        <w:pPr>
                          <w:jc w:val="center"/>
                          <w:rPr>
                            <w:sz w:val="16"/>
                            <w:szCs w:val="16"/>
                          </w:rPr>
                        </w:pPr>
                        <w:r>
                          <w:rPr>
                            <w:sz w:val="16"/>
                            <w:szCs w:val="16"/>
                          </w:rPr>
                          <w:t>Nehospodárska činnosť</w:t>
                        </w:r>
                      </w:p>
                    </w:txbxContent>
                  </v:textbox>
                </v:shape>
                <v:shape id="Blok textu 14" o:spid="_x0000_s1044" type="#_x0000_t202" style="position:absolute;top:13953;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" stroked="f" strokeweight="2pt">
                  <v:textbox>
                    <w:txbxContent>
                      <w:p w14:paraId="15564CD3" w14:textId="77777777" w:rsidR="00DF4E07" w:rsidRDefault="00DF4E07">
                        <w:pPr>
                          <w:jc w:val="center"/>
                          <w:rPr>
                            <w:sz w:val="16"/>
                            <w:szCs w:val="16"/>
                          </w:rPr>
                        </w:pPr>
                        <w:r>
                          <w:rPr>
                            <w:sz w:val="16"/>
                            <w:szCs w:val="16"/>
                          </w:rPr>
                          <w:t>Nesplnené kritéria definované čl. 107</w:t>
                        </w:r>
                      </w:p>
                    </w:txbxContent>
                  </v:textbox>
                </v:shape>
                <v:shape id="Blok textu 15" o:spid="_x0000_s1045" type="#_x0000_t202" style="position:absolute;left:13716;top:18941;width:10915;height:528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" strokecolor="#4f81bd" strokeweight="2pt">
                  <v:textbox>
                    <w:txbxContent>
                      <w:p w14:paraId="3CF54E77" w14:textId="77777777" w:rsidR="00DF4E07" w:rsidRDefault="00DF4E07">
                        <w:pPr>
                          <w:jc w:val="center"/>
                          <w:rPr>
                            <w:sz w:val="16"/>
                            <w:szCs w:val="16"/>
                          </w:rPr>
                        </w:pPr>
                        <w:r>
                          <w:rPr>
                            <w:sz w:val="16"/>
                            <w:szCs w:val="16"/>
                          </w:rPr>
                          <w:t>Pomoc de minimis (podľa limitov a podmienok)</w:t>
                        </w:r>
                      </w:p>
                    </w:txbxContent>
                  </v:textbox>
                </v:shape>
                <v:shape id="Blok textu 16" o:spid="_x0000_s1046" type="#_x0000_t202" style="position:absolute;left:25828;top:3034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" strokecolor="#4f81bd" strokeweight="2pt">
                  <v:textbox>
                    <w:txbxContent>
                      <w:p w14:paraId="2D004DF8" w14:textId="77777777" w:rsidR="00DF4E07" w:rsidRDefault="00DF4E07">
                        <w:pPr>
                          <w:jc w:val="center"/>
                          <w:rPr>
                            <w:sz w:val="16"/>
                            <w:szCs w:val="16"/>
                          </w:rPr>
                        </w:pPr>
                        <w:r>
                          <w:rPr>
                            <w:sz w:val="16"/>
                            <w:szCs w:val="16"/>
                          </w:rPr>
                          <w:t>SVHZ</w:t>
                        </w:r>
                      </w:p>
                      <w:p w14:paraId="7FBBFBE1" w14:textId="77777777" w:rsidR="00DF4E07" w:rsidRDefault="00DF4E07">
                        <w:pPr>
                          <w:jc w:val="center"/>
                          <w:rPr>
                            <w:sz w:val="16"/>
                            <w:szCs w:val="16"/>
                          </w:rPr>
                        </w:pPr>
                      </w:p>
                    </w:txbxContent>
                  </v:textbox>
                </v:shape>
                <v:shape id="Blok textu 17" o:spid="_x0000_s1047" type="#_x0000_t202" style="position:absolute;left:42929;top:24166;width:10918;height:532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" strokecolor="#4f81bd" strokeweight="2pt">
                  <v:textbox>
                    <w:txbxContent>
                      <w:p w14:paraId="43A1CD0F" w14:textId="77777777" w:rsidR="00DF4E07" w:rsidRDefault="00DF4E07">
                        <w:pPr>
                          <w:jc w:val="center"/>
                          <w:rPr>
                            <w:sz w:val="16"/>
                            <w:szCs w:val="16"/>
                          </w:rPr>
                        </w:pPr>
                        <w:r>
                          <w:rPr>
                            <w:sz w:val="16"/>
                            <w:szCs w:val="16"/>
                          </w:rPr>
                          <w:t>Štátna pomoc (splnené všetky kritériá)</w:t>
                        </w:r>
                      </w:p>
                    </w:txbxContent>
                  </v:textbox>
                </v:shape>
                <v:shape id="Blok textu 18" o:spid="_x0000_s1048" type="#_x0000_t202" style="position:absolute;left:1068;top:24819;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" strokecolor="#4f81bd" strokeweight="2pt">
                  <v:textbox>
                    <w:txbxContent>
                      <w:p w14:paraId="2C262FA8" w14:textId="77777777" w:rsidR="00DF4E07" w:rsidRDefault="00DF4E07">
                        <w:pPr>
                          <w:jc w:val="center"/>
                          <w:rPr>
                            <w:sz w:val="16"/>
                            <w:szCs w:val="16"/>
                          </w:rPr>
                        </w:pPr>
                        <w:r>
                          <w:rPr>
                            <w:sz w:val="16"/>
                            <w:szCs w:val="16"/>
                          </w:rPr>
                          <w:t>Nie je štátna pomoc</w:t>
                        </w:r>
                      </w:p>
                      <w:p w14:paraId="4FFEF993" w14:textId="77777777" w:rsidR="00DF4E07" w:rsidRDefault="00DF4E07">
                        <w:pPr>
                          <w:jc w:val="center"/>
                          <w:rP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49" type="#_x0000_t32" style="position:absolute;left:6353;top:10153;width:6278;height:1467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" strokecolor="#4579b8" strokeweight="2.25pt">
                  <v:stroke endarrow="open"/>
                </v:shape>
                <v:shape id="Blok textu 20" o:spid="_x0000_s1050" type="#_x0000_t202" style="position:absolute;left:36744;top:14032;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" filled="f" stroked="f" strokeweight="2pt">
                  <v:textbox>
                    <w:txbxContent>
                      <w:p w14:paraId="7B0E3916" w14:textId="77777777" w:rsidR="00DF4E07" w:rsidRDefault="00DF4E07">
                        <w:pPr>
                          <w:jc w:val="center"/>
                          <w:rPr>
                            <w:sz w:val="16"/>
                            <w:szCs w:val="16"/>
                          </w:rPr>
                        </w:pPr>
                        <w:r>
                          <w:rPr>
                            <w:sz w:val="16"/>
                            <w:szCs w:val="16"/>
                          </w:rPr>
                          <w:t>Splnené kritéria definované čl. 107</w:t>
                        </w:r>
                      </w:p>
                    </w:txbxContent>
                  </v:textbox>
                </v:shape>
                <v:shape id="Rovná spojovacia šípka 21" o:spid="_x0000_s1051" type="#_x0000_t32" style="position:absolute;left:23810;top:10509;width:24631;height:136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" strokecolor="#4579b8" strokeweight="2.25pt">
                  <v:stroke endarrow="open"/>
                </v:shape>
                <v:shape id="Rovná spojovacia šípka 22" o:spid="_x0000_s1052" type="#_x0000_t32" style="position:absolute;left:18763;top:12469;width:68;height:64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" strokecolor="#4579b8" strokeweight="2.25pt">
                  <v:stroke endarrow="open"/>
                </v:shape>
                <v:shape id="Rovná spojovacia šípka 23" o:spid="_x0000_s1053" type="#_x0000_t32" style="position:absolute;left:22860;top:12409;width:7915;height:178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Qs5wwAAANsAAAAPAAAAZHJzL2Rvd25yZXYueG1sRI/NasMw&#10;EITvhbyD2EJutdwE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na0LOcMAAADbAAAADwAA&#10;AAAAAAAAAAAAAAAHAgAAZHJzL2Rvd25yZXYueG1sUEsFBgAAAAADAAMAtwAAAPcCAAAAAA==&#10;" strokecolor="#4579b8" strokeweight="2.25pt">
                  <v:stroke endarrow="open"/>
                </v:shape>
                <v:shape id="Rovná spojovacia šípka 24" o:spid="_x0000_s1054" type="#_x0000_t32" style="position:absolute;left:9025;top:29807;width:16798;height:379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" strokecolor="#4579b8" strokeweight="2.25pt">
                  <v:stroke endarrow="open"/>
                </v:shape>
                <v:shape id="Rovná spojovacia šípka 25" o:spid="_x0000_s1055" type="#_x0000_t32" style="position:absolute;left:17931;top:2137;width:9008;height:552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" strokecolor="#4579b8" strokeweight="2.25pt">
                  <v:stroke endarrow="open"/>
                </v:shape>
                <v:shape id="Blok textu 26" o:spid="_x0000_s1056" type="#_x0000_t202" style="position:absolute;left:3028;top:299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" filled="f" stroked="f" strokeweight="2pt">
                  <v:textbox>
                    <w:txbxContent>
                      <w:p w14:paraId="7D968ECA" w14:textId="77777777" w:rsidR="00DF4E07" w:rsidRDefault="00DF4E07">
                        <w:pPr>
                          <w:jc w:val="center"/>
                          <w:rPr>
                            <w:sz w:val="16"/>
                            <w:szCs w:val="16"/>
                          </w:rPr>
                        </w:pPr>
                        <w:r>
                          <w:rPr>
                            <w:sz w:val="16"/>
                            <w:szCs w:val="16"/>
                          </w:rPr>
                          <w:t>Splnené všetky kritéria Altmark</w:t>
                        </w:r>
                      </w:p>
                    </w:txbxContent>
                  </v:textbox>
                </v:shape>
                <v:shape id="Rovná spojovacia šípka 27" o:spid="_x0000_s1057" type="#_x0000_t32" style="position:absolute;left:38119;top:2137;width:14538;height:55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" strokecolor="#4579b8" strokeweight="2.25pt">
                  <v:stroke endarrow="open"/>
                </v:shape>
                <v:shape id="Blok textu 28" o:spid="_x0000_s1058" type="#_x0000_t202" style="position:absolute;left:37525;top:30306;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" filled="f" stroked="f" strokeweight="2pt">
                  <v:textbox>
                    <w:txbxContent>
                      <w:p w14:paraId="1BF6864A" w14:textId="77777777" w:rsidR="00DF4E07" w:rsidRDefault="00DF4E07">
                        <w:pPr>
                          <w:rPr>
                            <w:sz w:val="16"/>
                            <w:szCs w:val="16"/>
                          </w:rPr>
                        </w:pPr>
                        <w:r>
                          <w:rPr>
                            <w:sz w:val="16"/>
                            <w:szCs w:val="16"/>
                          </w:rPr>
                          <w:t>Nesplnené kritéria Altmark</w:t>
                        </w:r>
                      </w:p>
                    </w:txbxContent>
                  </v:textbox>
                </v:shape>
                <v:shape id="Rovná spojovacia šípka 29" o:spid="_x0000_s1059" type="#_x0000_t32" style="position:absolute;left:36754;top:27728;width:6144;height:53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" strokecolor="#4579b8" strokeweight="2.25pt">
                  <v:stroke endarrow="open"/>
                </v:shape>
                <v:shape id="Rovná spojovacia šípka 30" o:spid="_x0000_s1060" type="#_x0000_t32" style="position:absolute;left:21256;top:24166;width:6294;height:611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" strokecolor="#4579b8" strokeweight="2.25pt">
                  <v:stroke endarrow="open"/>
                </v:shape>
                <v:shape id="Blok textu 31" o:spid="_x0000_s1061" type="#_x0000_t202" style="position:absolute;left:19178;top:24878;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" filled="f" stroked="f" strokeweight="2pt">
                  <v:textbox>
                    <w:txbxContent>
                      <w:p w14:paraId="6EA1E044" w14:textId="77777777" w:rsidR="00DF4E07" w:rsidRDefault="00DF4E07">
                        <w:pPr>
                          <w:jc w:val="center"/>
                          <w:rPr>
                            <w:sz w:val="16"/>
                            <w:szCs w:val="16"/>
                          </w:rPr>
                        </w:pPr>
                        <w:r>
                          <w:rPr>
                            <w:sz w:val="16"/>
                            <w:szCs w:val="16"/>
                          </w:rPr>
                          <w:t>Nesplnené kritéria Altmark</w:t>
                        </w:r>
                      </w:p>
                    </w:txbxContent>
                  </v:textbox>
                </v:shape>
                <v:shape id="Blok textu 1120" o:spid="_x0000_s1062" type="#_x0000_t202" style="position:absolute;left:48213;top:15675;width:11595;height:552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" strokecolor="#4f81bd" strokeweight="2pt">
                  <v:textbox>
                    <w:txbxContent>
                      <w:p w14:paraId="61E4953B" w14:textId="77777777" w:rsidR="00DF4E07" w:rsidRDefault="00DF4E07">
                        <w:pPr>
                          <w:jc w:val="center"/>
                          <w:rPr>
                            <w:sz w:val="16"/>
                            <w:szCs w:val="16"/>
                          </w:rPr>
                        </w:pPr>
                        <w:r>
                          <w:rPr>
                            <w:sz w:val="16"/>
                            <w:szCs w:val="16"/>
                          </w:rPr>
                          <w:t>Nevzťahujú sa pravidlá o štátnej pomoci</w:t>
                        </w:r>
                      </w:p>
                    </w:txbxContent>
                  </v:textbox>
                </v:shape>
                <v:shape id="Rovná spojovacia šípka 1121" o:spid="_x0000_s1063" type="#_x0000_t32" style="position:absolute;left:53320;top:12469;width:0;height:32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3hEwwAAANsAAAAPAAAAZHJzL2Rvd25yZXYueG1sRI/NasMw&#10;EITvhbyD2EJutdwQ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xat4RMMAAADbAAAADwAA&#10;AAAAAAAAAAAAAAAHAgAAZHJzL2Rvd25yZXYueG1sUEsFBgAAAAADAAMAtwAAAPcCAAAAAA==&#10;" strokecolor="#4579b8" strokeweight="2.25pt">
                  <v:stroke endarrow="open"/>
                </v:shape>
                <v:shape id="Blok textu 1122" o:spid="_x0000_s1064" type="#_x0000_t202" style="position:absolute;left:24641;top:15734;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" filled="f" stroked="f" strokeweight="2pt">
                  <v:textbox>
                    <w:txbxContent>
                      <w:p w14:paraId="79027C30" w14:textId="77777777" w:rsidR="00DF4E07" w:rsidRDefault="00DF4E07">
                        <w:pPr>
                          <w:rPr>
                            <w:sz w:val="16"/>
                            <w:szCs w:val="16"/>
                          </w:rPr>
                        </w:pPr>
                        <w:r>
                          <w:rPr>
                            <w:sz w:val="16"/>
                            <w:szCs w:val="16"/>
                          </w:rPr>
                          <w:t>Služby osobitného charakteru</w:t>
                        </w:r>
                      </w:p>
                    </w:txbxContent>
                  </v:textbox>
                </v:shape>
                <v:shape id="Blok textu 1123" o:spid="_x0000_s1065" type="#_x0000_t202" style="position:absolute;left:52726;top:37585;width:10916;height:4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" strokecolor="#4f81bd" strokeweight="2pt">
                  <v:textbox>
                    <w:txbxContent>
                      <w:p w14:paraId="49C29678" w14:textId="77777777" w:rsidR="00DF4E07" w:rsidRDefault="00DF4E07">
                        <w:pPr>
                          <w:jc w:val="center"/>
                          <w:rPr>
                            <w:sz w:val="16"/>
                            <w:szCs w:val="16"/>
                          </w:rPr>
                        </w:pPr>
                        <w:r>
                          <w:rPr>
                            <w:sz w:val="16"/>
                            <w:szCs w:val="16"/>
                          </w:rPr>
                          <w:t>Oslobodenie od notifikácie</w:t>
                        </w:r>
                      </w:p>
                    </w:txbxContent>
                  </v:textbox>
                </v:shape>
                <v:shape id="Blok textu 1124" o:spid="_x0000_s1066" type="#_x0000_t202" style="position:absolute;left:40138;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" strokecolor="#4f81bd" strokeweight="2pt">
                  <v:textbox>
                    <w:txbxContent>
                      <w:p w14:paraId="07BF009E" w14:textId="77777777" w:rsidR="00DF4E07" w:rsidRDefault="00DF4E07">
                        <w:pPr>
                          <w:jc w:val="center"/>
                          <w:rPr>
                            <w:sz w:val="16"/>
                            <w:szCs w:val="16"/>
                          </w:rPr>
                        </w:pPr>
                        <w:r>
                          <w:rPr>
                            <w:sz w:val="16"/>
                            <w:szCs w:val="16"/>
                          </w:rPr>
                          <w:t>Notifikácia pomoci</w:t>
                        </w:r>
                      </w:p>
                      <w:p w14:paraId="458763B9" w14:textId="77777777" w:rsidR="00DF4E07" w:rsidRDefault="00DF4E07">
                        <w:pPr>
                          <w:jc w:val="center"/>
                          <w:rPr>
                            <w:sz w:val="16"/>
                            <w:szCs w:val="16"/>
                          </w:rPr>
                        </w:pPr>
                      </w:p>
                    </w:txbxContent>
                  </v:textbox>
                </v:shape>
                <v:shape id="Rovná spojovacia šípka 1125" o:spid="_x0000_s1067" type="#_x0000_t32" style="position:absolute;left:48213;top:29688;width:1158;height:79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" strokecolor="#4579b8" strokeweight="2.25pt">
                  <v:stroke endarrow="open"/>
                </v:shape>
                <v:shape id="Rovná spojovacia šípka 1126" o:spid="_x0000_s1068" type="#_x0000_t32" style="position:absolute;left:52667;top:29688;width:3548;height:79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" strokecolor="#4579b8" strokeweight="2.25pt">
                  <v:stroke endarrow="open"/>
                </v:shape>
                <v:shape id="Blok textu 1127" o:spid="_x0000_s1069" type="#_x0000_t202" style="position:absolute;left:40672;top:4839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" strokecolor="#4f81bd" strokeweight="2pt">
                  <v:textbox>
                    <w:txbxContent>
                      <w:p w14:paraId="6538B498" w14:textId="77777777" w:rsidR="00DF4E07" w:rsidRDefault="00DF4E07">
                        <w:pPr>
                          <w:jc w:val="center"/>
                          <w:rPr>
                            <w:sz w:val="16"/>
                            <w:szCs w:val="16"/>
                          </w:rPr>
                        </w:pPr>
                        <w:r>
                          <w:rPr>
                            <w:sz w:val="16"/>
                            <w:szCs w:val="16"/>
                          </w:rPr>
                          <w:t>Individuálna pomoc</w:t>
                        </w:r>
                      </w:p>
                      <w:p w14:paraId="4B7507C1" w14:textId="77777777" w:rsidR="00DF4E07" w:rsidRDefault="00DF4E07">
                        <w:pPr>
                          <w:jc w:val="center"/>
                          <w:rPr>
                            <w:sz w:val="16"/>
                            <w:szCs w:val="16"/>
                          </w:rPr>
                        </w:pPr>
                      </w:p>
                    </w:txbxContent>
                  </v:textbox>
                </v:shape>
                <v:shape id="Blok textu 32" o:spid="_x0000_s1070" type="#_x0000_t202" style="position:absolute;left:53023;top:48391;width:10619;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" strokecolor="#4f81bd" strokeweight="2pt">
                  <v:textbox>
                    <w:txbxContent>
                      <w:p w14:paraId="0C897CB8" w14:textId="77777777" w:rsidR="00DF4E07" w:rsidRDefault="00DF4E07">
                        <w:pPr>
                          <w:jc w:val="center"/>
                          <w:rPr>
                            <w:sz w:val="16"/>
                            <w:szCs w:val="16"/>
                          </w:rPr>
                        </w:pPr>
                        <w:r>
                          <w:rPr>
                            <w:sz w:val="16"/>
                            <w:szCs w:val="16"/>
                          </w:rPr>
                          <w:t>Schéma štátnej pomoci</w:t>
                        </w:r>
                      </w:p>
                    </w:txbxContent>
                  </v:textbox>
                </v:shape>
                <v:shape id="Rovná spojovacia šípka 33" o:spid="_x0000_s1071" type="#_x0000_t32" style="position:absolute;left:45541;top:42513;width:0;height:57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" strokecolor="#4579b8" strokeweight="2.25pt">
                  <v:stroke dashstyle="dash" endarrow="open"/>
                </v:shape>
                <v:shape id="Rovná spojovacia šípka 34" o:spid="_x0000_s1072" type="#_x0000_t32" style="position:absolute;left:45541;top:42513;width:14256;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" strokecolor="#4579b8" strokeweight="2.25pt">
                  <v:stroke dashstyle="dash" endarrow="open"/>
                </v:shape>
                <v:shape id="Rovná spojovacia šípka 35" o:spid="_x0000_s1073" type="#_x0000_t32" style="position:absolute;left:48807;top:42513;width:7365;height:573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" strokecolor="#4579b8" strokeweight="2.25pt">
                  <v:stroke endarrow="open"/>
                </v:shape>
                <v:shape id="Rovná spojovacia šípka 36" o:spid="_x0000_s1074" type="#_x0000_t32" style="position:absolute;left:56170;top:42513;width:0;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" strokecolor="#4579b8" strokeweight="2.25pt">
                  <v:stroke endarrow="open"/>
                </v:shape>
                <v:shape id="Blok textu 37" o:spid="_x0000_s1075" type="#_x0000_t202" style="position:absolute;left:4928;top:375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" strokecolor="#4f81bd" strokeweight="2pt">
                  <v:textbox>
                    <w:txbxContent>
                      <w:p w14:paraId="4FE4C23A" w14:textId="77777777" w:rsidR="00DF4E07" w:rsidRDefault="00DF4E07">
                        <w:pPr>
                          <w:jc w:val="center"/>
                          <w:rPr>
                            <w:sz w:val="16"/>
                            <w:szCs w:val="16"/>
                          </w:rPr>
                        </w:pPr>
                        <w:r>
                          <w:rPr>
                            <w:sz w:val="16"/>
                            <w:szCs w:val="16"/>
                          </w:rPr>
                          <w:t>Individuálna pomoc</w:t>
                        </w:r>
                      </w:p>
                      <w:p w14:paraId="15FC1087" w14:textId="77777777" w:rsidR="00DF4E07" w:rsidRDefault="00DF4E07">
                        <w:pPr>
                          <w:jc w:val="center"/>
                          <w:rPr>
                            <w:sz w:val="16"/>
                            <w:szCs w:val="16"/>
                          </w:rPr>
                        </w:pPr>
                      </w:p>
                    </w:txbxContent>
                  </v:textbox>
                </v:shape>
                <v:shape id="Blok textu 38" o:spid="_x0000_s1076" type="#_x0000_t202" style="position:absolute;left:18406;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" strokecolor="#4f81bd" strokeweight="2pt">
                  <v:textbox>
                    <w:txbxContent>
                      <w:p w14:paraId="23CD89DF" w14:textId="77777777" w:rsidR="00DF4E07" w:rsidRDefault="00DF4E07">
                        <w:pPr>
                          <w:jc w:val="center"/>
                          <w:rPr>
                            <w:sz w:val="16"/>
                            <w:szCs w:val="16"/>
                          </w:rPr>
                        </w:pPr>
                        <w:r>
                          <w:rPr>
                            <w:sz w:val="16"/>
                            <w:szCs w:val="16"/>
                          </w:rPr>
                          <w:t>Schéma pomoci de minimis</w:t>
                        </w:r>
                      </w:p>
                    </w:txbxContent>
                  </v:textbox>
                </v:shape>
                <v:shape id="Rovná spojovacia šípka 39" o:spid="_x0000_s1077" type="#_x0000_t32" style="position:absolute;left:10925;top:24225;width:5654;height:1341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" strokecolor="#4579b8" strokeweight="2.25pt">
                  <v:stroke dashstyle="dash" endarrow="open"/>
                </v:shape>
                <v:shape id="Rovná spojovacia šípka 40" o:spid="_x0000_s1078" type="#_x0000_t32" style="position:absolute;left:17931;top:24225;width:8490;height:134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" strokecolor="#4579b8" strokeweight="2.25pt">
                  <v:stroke dashstyle="dash" endarrow="open"/>
                </v:shape>
                <w10:wrap type="tight"/>
              </v:group>
            </w:pict>
          </mc:Fallback>
        </mc:AlternateContent>
      </w:r>
    </w:p>
    <w:p w14:paraId="636D63D6" w14:textId="77777777" w:rsidR="00B650E5" w:rsidRDefault="00B650E5">
      <w:pPr>
        <w:pStyle w:val="Odsekzoznamu"/>
        <w:spacing w:before="120" w:after="120"/>
        <w:contextualSpacing w:val="0"/>
      </w:pPr>
    </w:p>
    <w:p w14:paraId="769BFDA1" w14:textId="77777777" w:rsidR="00B650E5" w:rsidRDefault="00B650E5">
      <w:pPr>
        <w:pStyle w:val="Odsekzoznamu"/>
        <w:spacing w:before="120" w:after="120"/>
        <w:contextualSpacing w:val="0"/>
      </w:pPr>
    </w:p>
    <w:p w14:paraId="595DF11D" w14:textId="77777777" w:rsidR="00B650E5" w:rsidRDefault="00B650E5">
      <w:pPr>
        <w:pStyle w:val="Odsekzoznamu"/>
        <w:spacing w:before="120" w:after="120"/>
        <w:contextualSpacing w:val="0"/>
      </w:pPr>
    </w:p>
    <w:p w14:paraId="03F7C778" w14:textId="77777777" w:rsidR="00B650E5" w:rsidRDefault="00B650E5">
      <w:pPr>
        <w:pStyle w:val="Odsekzoznamu"/>
        <w:spacing w:before="120" w:after="120"/>
        <w:contextualSpacing w:val="0"/>
      </w:pPr>
    </w:p>
    <w:p w14:paraId="53AC0994" w14:textId="77777777" w:rsidR="00B650E5" w:rsidRDefault="00B650E5">
      <w:pPr>
        <w:pStyle w:val="Odsekzoznamu"/>
        <w:spacing w:before="120" w:after="120"/>
        <w:contextualSpacing w:val="0"/>
      </w:pPr>
    </w:p>
    <w:p w14:paraId="09F85B72" w14:textId="77777777" w:rsidR="00B650E5" w:rsidRDefault="00B650E5">
      <w:pPr>
        <w:pStyle w:val="Odsekzoznamu"/>
        <w:spacing w:before="120" w:after="120"/>
        <w:contextualSpacing w:val="0"/>
      </w:pPr>
    </w:p>
    <w:p w14:paraId="17D8CE60" w14:textId="77777777" w:rsidR="00B650E5" w:rsidRDefault="00B650E5">
      <w:pPr>
        <w:pStyle w:val="Odsekzoznamu"/>
        <w:spacing w:before="120" w:after="120"/>
        <w:contextualSpacing w:val="0"/>
      </w:pPr>
    </w:p>
    <w:p w14:paraId="737207EC" w14:textId="77777777" w:rsidR="00B650E5" w:rsidRDefault="00B650E5">
      <w:pPr>
        <w:pStyle w:val="Odsekzoznamu"/>
        <w:spacing w:before="120" w:after="120"/>
        <w:contextualSpacing w:val="0"/>
      </w:pPr>
    </w:p>
    <w:p w14:paraId="78A6DAC6" w14:textId="77777777" w:rsidR="00B650E5" w:rsidRDefault="00B650E5">
      <w:pPr>
        <w:pStyle w:val="Odsekzoznamu"/>
        <w:spacing w:before="120" w:after="120"/>
        <w:contextualSpacing w:val="0"/>
      </w:pPr>
    </w:p>
    <w:p w14:paraId="3423C974" w14:textId="77777777" w:rsidR="00B650E5" w:rsidRDefault="00B650E5">
      <w:pPr>
        <w:pStyle w:val="Odsekzoznamu"/>
        <w:spacing w:before="120" w:after="120"/>
        <w:contextualSpacing w:val="0"/>
      </w:pPr>
    </w:p>
    <w:p w14:paraId="5BF433CA" w14:textId="77777777" w:rsidR="00B650E5" w:rsidRDefault="00B650E5">
      <w:pPr>
        <w:pStyle w:val="Odsekzoznamu"/>
        <w:spacing w:before="120" w:after="120"/>
        <w:contextualSpacing w:val="0"/>
      </w:pPr>
    </w:p>
    <w:p w14:paraId="4273C59E" w14:textId="77777777" w:rsidR="00B650E5" w:rsidRDefault="00B650E5">
      <w:pPr>
        <w:pStyle w:val="Odsekzoznamu"/>
        <w:spacing w:before="120" w:after="120"/>
        <w:contextualSpacing w:val="0"/>
      </w:pPr>
    </w:p>
    <w:p w14:paraId="6E711430" w14:textId="77777777" w:rsidR="00B650E5" w:rsidRDefault="00B650E5">
      <w:pPr>
        <w:pStyle w:val="Odsekzoznamu"/>
        <w:spacing w:before="120" w:after="120"/>
        <w:contextualSpacing w:val="0"/>
      </w:pPr>
    </w:p>
    <w:p w14:paraId="032074D2" w14:textId="77777777" w:rsidR="00B650E5" w:rsidRDefault="00B650E5">
      <w:pPr>
        <w:pStyle w:val="Odsekzoznamu"/>
        <w:spacing w:before="120" w:after="120"/>
        <w:contextualSpacing w:val="0"/>
      </w:pPr>
    </w:p>
    <w:p w14:paraId="0F2E47AD" w14:textId="77777777" w:rsidR="00B650E5" w:rsidRDefault="00B650E5">
      <w:pPr>
        <w:pStyle w:val="Odsekzoznamu"/>
        <w:spacing w:before="120" w:after="120"/>
        <w:contextualSpacing w:val="0"/>
      </w:pPr>
    </w:p>
    <w:p w14:paraId="7D8071D7" w14:textId="77777777" w:rsidR="00B650E5" w:rsidRDefault="00B650E5">
      <w:pPr>
        <w:spacing w:before="120" w:after="120"/>
      </w:pPr>
    </w:p>
    <w:p w14:paraId="439C4C93" w14:textId="77777777" w:rsidR="00B650E5" w:rsidRDefault="00B650E5">
      <w:pPr>
        <w:spacing w:before="120" w:after="120"/>
      </w:pPr>
    </w:p>
    <w:p w14:paraId="5E328CD3"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Ak test štátnej pomoci</w:t>
      </w:r>
      <w:r>
        <w:rPr>
          <w:rStyle w:val="Odkaznapoznmkupodiarou"/>
          <w:color w:val="000000"/>
        </w:rPr>
        <w:footnoteReference w:id="146"/>
      </w:r>
      <w:r>
        <w:rPr>
          <w:color w:val="000000"/>
          <w:vertAlign w:val="superscript"/>
        </w:rPr>
        <w:t xml:space="preserve"> </w:t>
      </w:r>
      <w:r>
        <w:rPr>
          <w:color w:val="000000"/>
        </w:rPr>
        <w:t>(vzor</w:t>
      </w:r>
      <w:r>
        <w:rPr>
          <w:rStyle w:val="Odkaznapoznmkupodiarou"/>
          <w:color w:val="000000"/>
        </w:rPr>
        <w:footnoteReference w:id="147"/>
      </w:r>
      <w:r>
        <w:rPr>
          <w:color w:val="000000"/>
        </w:rPr>
        <w:t xml:space="preserve"> vydá CKO) preukáže, že aktivity (činnosti) spĺňajú kritéria štátnej pomoci, je potrebné túto skutočnosť zohľadniť vo výzvach uvedením podmienok pre danú štátnu pomoc/pomoc de minimis, ako aj vypracovať príslušnú schému štátnej pomoci alebo schému pomoci de minimis. </w:t>
      </w:r>
    </w:p>
    <w:p w14:paraId="54516A4B"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pomoc poskytnúť v súlade s nariadením č. 651/2014.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Pr>
          <w:rStyle w:val="Odkaznapoznmkupodiarou"/>
          <w:color w:val="000000"/>
        </w:rPr>
        <w:footnoteReference w:id="148"/>
      </w:r>
      <w:r>
        <w:rPr>
          <w:color w:val="000000"/>
        </w:rPr>
        <w:t>.</w:t>
      </w:r>
    </w:p>
    <w:p w14:paraId="5267B1D0"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 xml:space="preserve">Žiadosť o schválenie poskytnutia štátnej pomoci sa EK predkladá (notifikuje) prostredníctvom koordinátora pomoci v zmysle § 9 zákona o štátnej pomoci zákona o štátnej pomoci na príslušnom notifikačnom formulári v zmysle § 9 ods. 4 zákona o štátnej pomoci. </w:t>
      </w:r>
      <w:r w:rsidRPr="006D1259">
        <w:rPr>
          <w:color w:val="000000"/>
        </w:rPr>
        <w:t xml:space="preserve">Poskytovateľ </w:t>
      </w:r>
      <w:r w:rsidRPr="006D1259">
        <w:rPr>
          <w:color w:val="000000"/>
        </w:rPr>
        <w:lastRenderedPageBreak/>
        <w:t>štátnej pomoci je povinný predkladať notifikáciu koordinátorovi pomoci aj v elektronickej podobe.</w:t>
      </w:r>
    </w:p>
    <w:p w14:paraId="6F1D47FC"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 xml:space="preserve">Ak niektorá ad hoc oprávnená aktivita (činnosť), ktorá nebola ošetrená pri vypracovaní schém pomoci de minimis, predstavuje pomoc de minimis, je potrebné preskúmať, či je možné predmetnú oprávnenú aktivitu zaradiť pod existujúcu schému pomoci de minimis. Ak nie, pomoc de minimis nemusí byť notifikovaná EK, </w:t>
      </w:r>
      <w:r w:rsidR="00C93F30">
        <w:rPr>
          <w:color w:val="000000"/>
        </w:rPr>
        <w:t xml:space="preserve">t. j. </w:t>
      </w:r>
      <w:r>
        <w:rPr>
          <w:color w:val="000000"/>
        </w:rPr>
        <w:t xml:space="preserve"> je možné ju poskytnúť bez predchádzajúceho schválenia EK za predpokladu preukázania splnenia všetkých podmienok nariadenia č. 1407/2013. V prípade poskytnutia pomoci de minimis je poskytovateľ pomoci podľa § 13 zákona o štátnej pomoci povinný </w:t>
      </w:r>
      <w:r w:rsidRPr="00B22D62">
        <w:rPr>
          <w:color w:val="000000"/>
        </w:rPr>
        <w:t xml:space="preserve">do centrálneho registra zaznamenávať údaje 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zaznamenať do centrálneho registra do piatich pracovných dní odo dňa poskytnutia pomoci</w:t>
      </w:r>
      <w:r>
        <w:rPr>
          <w:color w:val="000000"/>
        </w:rPr>
        <w:t xml:space="preserve"> de minimis.</w:t>
      </w:r>
    </w:p>
    <w:p w14:paraId="515F7D11" w14:textId="77777777" w:rsidR="00B650E5" w:rsidRDefault="00B650E5">
      <w:pPr>
        <w:pStyle w:val="Odsekzoznamu"/>
        <w:numPr>
          <w:ilvl w:val="0"/>
          <w:numId w:val="275"/>
        </w:numPr>
        <w:spacing w:before="120" w:after="120"/>
        <w:ind w:left="425" w:hanging="425"/>
        <w:contextualSpacing w:val="0"/>
        <w:jc w:val="both"/>
      </w:pPr>
      <w:r>
        <w:t>V prípade SVHZ, ak sú splnené všetky kritériá rozsudku vo veci Altmark, náhrada za SVHZ nepredstavuje štátnu pomoc. Ak aspoň jedna z podmienok rozsudku vo veci Altmark nie je splnená a ostatné kritéria štátnej pomoci naopak splnené sú, náhrada za SVHZ môže byť štátnou pomocou alebo pomocou de minimis.</w:t>
      </w:r>
    </w:p>
    <w:p w14:paraId="574DCC04" w14:textId="77777777" w:rsidR="00B650E5" w:rsidRDefault="00B650E5">
      <w:pPr>
        <w:pStyle w:val="Odsekzoznamu"/>
        <w:numPr>
          <w:ilvl w:val="0"/>
          <w:numId w:val="275"/>
        </w:numPr>
        <w:spacing w:before="120" w:after="120"/>
        <w:ind w:left="425" w:hanging="425"/>
        <w:contextualSpacing w:val="0"/>
        <w:jc w:val="both"/>
      </w:pPr>
      <w:r>
        <w:t xml:space="preserve">Ak je štátnou pomocou, je potrebné posúdiť, či spĺňa </w:t>
      </w:r>
      <w:r>
        <w:rPr>
          <w:u w:val="single"/>
        </w:rPr>
        <w:t>podmienky rozhodnutia Komisie</w:t>
      </w:r>
      <w:r>
        <w:t>:</w:t>
      </w:r>
    </w:p>
    <w:p w14:paraId="5E98A34C" w14:textId="77777777" w:rsidR="00B650E5" w:rsidRDefault="00B650E5">
      <w:pPr>
        <w:pStyle w:val="Odsekzoznamu"/>
        <w:numPr>
          <w:ilvl w:val="0"/>
          <w:numId w:val="350"/>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14:paraId="20BD7F64" w14:textId="77777777" w:rsidR="00B650E5" w:rsidRDefault="00B650E5">
      <w:pPr>
        <w:pStyle w:val="Odsekzoznamu"/>
        <w:numPr>
          <w:ilvl w:val="0"/>
          <w:numId w:val="350"/>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o schválenie poskytnutia štátnej pomoci sa EK predkladá (notifikuje) podľa zákona o štátnej pomoci prostredníctvom koordinátora pomoci na príslušnom notifikačnom formulári </w:t>
      </w:r>
      <w:r>
        <w:rPr>
          <w:color w:val="000000"/>
        </w:rPr>
        <w:t>v zmysle § 9 ods. 4 zákona o štátnej pomoci</w:t>
      </w:r>
      <w:r>
        <w:t>.</w:t>
      </w:r>
    </w:p>
    <w:p w14:paraId="20CCDE92" w14:textId="768CF04E" w:rsidR="00B650E5" w:rsidRDefault="00B650E5">
      <w:pPr>
        <w:pStyle w:val="Odsekzoznamu"/>
        <w:numPr>
          <w:ilvl w:val="0"/>
          <w:numId w:val="275"/>
        </w:numPr>
        <w:spacing w:before="120" w:after="120"/>
        <w:ind w:left="426" w:hanging="426"/>
        <w:contextualSpacing w:val="0"/>
        <w:jc w:val="both"/>
      </w:pPr>
      <w:r>
        <w:t xml:space="preserve">Ak náhrada za SVHZ predstavuje poskytnutie pomoci de minimis podľa nariadenia č. 360/2012, pomoc nemusí byť notifikovaná EK, </w:t>
      </w:r>
      <w:r w:rsidR="00C93F30">
        <w:t xml:space="preserve">t. j. </w:t>
      </w:r>
      <w:r>
        <w:t xml:space="preserve">je možné ju poskytnúť bez predchádzajúceho schválenia EK za predpokladu preukázania splnenia všetkých podmienok nariadenia. V prípade poskytnutia pomoci de minimis je poskytovateľ pomoci podľa § </w:t>
      </w:r>
      <w:r>
        <w:rPr>
          <w:color w:val="000000"/>
        </w:rPr>
        <w:t xml:space="preserve">13 zákona o štátnej pomoci povinný </w:t>
      </w:r>
      <w:r w:rsidRPr="00B22D62">
        <w:rPr>
          <w:color w:val="000000"/>
        </w:rPr>
        <w:t>do</w:t>
      </w:r>
      <w:r w:rsidR="008520E6">
        <w:rPr>
          <w:color w:val="000000"/>
        </w:rPr>
        <w:t> </w:t>
      </w:r>
      <w:r w:rsidRPr="00B22D62">
        <w:rPr>
          <w:color w:val="000000"/>
        </w:rPr>
        <w:t xml:space="preserve">centrálneho registra zaznamenávať údaje o poskytnutej pomoci </w:t>
      </w:r>
      <w:r>
        <w:rPr>
          <w:color w:val="000000"/>
        </w:rPr>
        <w:t xml:space="preserve">de minimis </w:t>
      </w:r>
      <w:r w:rsidRPr="00B22D62">
        <w:rPr>
          <w:color w:val="000000"/>
        </w:rPr>
        <w:t>a údaje o</w:t>
      </w:r>
      <w:r w:rsidR="008520E6">
        <w:rPr>
          <w:color w:val="000000"/>
        </w:rPr>
        <w:t> </w:t>
      </w:r>
      <w:r w:rsidRPr="00B22D62">
        <w:rPr>
          <w:color w:val="000000"/>
        </w:rPr>
        <w:t>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w:t>
      </w:r>
      <w:r w:rsidR="008520E6">
        <w:rPr>
          <w:color w:val="000000"/>
        </w:rPr>
        <w:t> </w:t>
      </w:r>
      <w:r>
        <w:rPr>
          <w:color w:val="000000"/>
        </w:rPr>
        <w:t>minimis</w:t>
      </w:r>
      <w:r w:rsidRPr="00B22D62">
        <w:rPr>
          <w:color w:val="000000"/>
        </w:rPr>
        <w:t xml:space="preserve"> zaznamenať do</w:t>
      </w:r>
      <w:r w:rsidR="008520E6">
        <w:rPr>
          <w:color w:val="000000"/>
        </w:rPr>
        <w:t> </w:t>
      </w:r>
      <w:r w:rsidRPr="00B22D62">
        <w:rPr>
          <w:color w:val="000000"/>
        </w:rPr>
        <w:t>centrálneho registra do piatich pracovných dní odo dňa poskytnutia pomoci</w:t>
      </w:r>
      <w:r>
        <w:rPr>
          <w:color w:val="000000"/>
        </w:rPr>
        <w:t xml:space="preserve"> de minimis</w:t>
      </w:r>
      <w:r>
        <w:t xml:space="preserve">.  </w:t>
      </w:r>
    </w:p>
    <w:p w14:paraId="6E834633" w14:textId="77777777" w:rsidR="00B650E5" w:rsidRDefault="00B650E5">
      <w:pPr>
        <w:spacing w:after="200" w:line="276" w:lineRule="auto"/>
      </w:pPr>
      <w:r>
        <w:br w:type="page"/>
      </w:r>
    </w:p>
    <w:p w14:paraId="3D291773" w14:textId="77777777" w:rsidR="00B650E5" w:rsidRDefault="00B650E5">
      <w:pPr>
        <w:pStyle w:val="SRK2"/>
        <w:rPr>
          <w:rStyle w:val="Nadpis1Char"/>
          <w:sz w:val="36"/>
          <w:szCs w:val="26"/>
        </w:rPr>
      </w:pPr>
      <w:bookmarkStart w:id="544" w:name="_Toc453234093"/>
      <w:bookmarkStart w:id="545" w:name="_Toc495649450"/>
      <w:bookmarkStart w:id="546" w:name="kapitola_37"/>
      <w:bookmarkStart w:id="547" w:name="_Toc378947540"/>
      <w:bookmarkEnd w:id="535"/>
      <w:r>
        <w:rPr>
          <w:rStyle w:val="Nadpis1Char"/>
          <w:sz w:val="36"/>
          <w:szCs w:val="26"/>
        </w:rPr>
        <w:lastRenderedPageBreak/>
        <w:t xml:space="preserve">3.7 </w:t>
      </w:r>
      <w:bookmarkStart w:id="548" w:name="_Toc378947535"/>
      <w:r>
        <w:rPr>
          <w:rStyle w:val="Nadpis1Char"/>
          <w:sz w:val="36"/>
          <w:szCs w:val="26"/>
        </w:rPr>
        <w:t>Implementácia programov Európskej územnej spolupráce</w:t>
      </w:r>
      <w:bookmarkEnd w:id="544"/>
      <w:bookmarkEnd w:id="545"/>
      <w:bookmarkEnd w:id="548"/>
    </w:p>
    <w:bookmarkEnd w:id="546"/>
    <w:p w14:paraId="6C75799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71C71F8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14:paraId="7F1241F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7A7936D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14:paraId="173979B3"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14:paraId="12FE864C"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14:paraId="4972C2E9"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14:paraId="52AC526A"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14:paraId="37E28A52" w14:textId="77777777" w:rsidR="00B650E5" w:rsidRDefault="00B650E5">
      <w:pPr>
        <w:numPr>
          <w:ilvl w:val="0"/>
          <w:numId w:val="165"/>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14:paraId="08E12F27" w14:textId="77777777" w:rsidR="00B650E5" w:rsidRDefault="00B650E5">
      <w:pPr>
        <w:numPr>
          <w:ilvl w:val="0"/>
          <w:numId w:val="165"/>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14:paraId="41DAA9F5" w14:textId="77777777" w:rsidR="00B650E5" w:rsidRDefault="00B650E5">
      <w:pPr>
        <w:numPr>
          <w:ilvl w:val="0"/>
          <w:numId w:val="165"/>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14:paraId="7CB6FE15"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14:paraId="133E62EB" w14:textId="77777777" w:rsidR="00B650E5" w:rsidRDefault="00B650E5">
      <w:pPr>
        <w:pStyle w:val="Odsekzoznamu"/>
        <w:numPr>
          <w:ilvl w:val="0"/>
          <w:numId w:val="164"/>
        </w:numPr>
        <w:ind w:left="426" w:hanging="426"/>
        <w:jc w:val="both"/>
      </w:pPr>
      <w:r w:rsidRPr="009078F6">
        <w:t>Ustanovenia Systému riadenia EŠIF a dokumentov vydávaných na základe Systému riadenia EŠIF sa vzťahujú primerane na implementáciu tých programov EÚS, kde SR vystupuje ako RO (s výnimkou OP 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povinné dodržiavať. Špecifiká implementácie v rámci programov EÚS, ktoré objektívne neumožňujú aplikáciu postupov štandardne upravených v Systéme riadenia budú upravené v riadiacej dokumentácii jednotlivých programov. Jednotlivé orgány zodpovedné za implementáciu v rámci programov EÚS (vrátane OP INTERACT III 2014 – 2020)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 </w:t>
      </w:r>
    </w:p>
    <w:p w14:paraId="5B658B70" w14:textId="17EBDCB8" w:rsidR="00B650E5" w:rsidRDefault="00B650E5">
      <w:pPr>
        <w:pStyle w:val="Odsekzoznamu"/>
        <w:numPr>
          <w:ilvl w:val="0"/>
          <w:numId w:val="164"/>
        </w:numPr>
        <w:ind w:left="426" w:hanging="426"/>
        <w:jc w:val="both"/>
      </w:pPr>
      <w:r>
        <w:t xml:space="preserve">Vyhlasovanie výziev v rámci </w:t>
      </w:r>
      <w:r w:rsidR="00DE270A">
        <w:t xml:space="preserve">programov </w:t>
      </w:r>
      <w:r>
        <w:t xml:space="preserve">cezhraničnej spolupráce sa riadi ustanoveniami </w:t>
      </w:r>
      <w:hyperlink w:anchor="kapitola_311_ods_3" w:tooltip="ods. 3 až ods. 10 kapitoly 3.1.1" w:history="1">
        <w:r w:rsidRPr="00BC4026">
          <w:rPr>
            <w:rStyle w:val="Hypertextovprepojenie"/>
            <w:szCs w:val="22"/>
            <w:lang w:eastAsia="en-US"/>
          </w:rPr>
          <w:t xml:space="preserve">ods. 3 až ods. </w:t>
        </w:r>
        <w:r>
          <w:rPr>
            <w:rStyle w:val="Hypertextovprepojenie"/>
            <w:szCs w:val="22"/>
            <w:lang w:eastAsia="en-US"/>
          </w:rPr>
          <w:t>1</w:t>
        </w:r>
        <w:r w:rsidR="00E05864">
          <w:rPr>
            <w:rStyle w:val="Hypertextovprepojenie"/>
            <w:szCs w:val="22"/>
            <w:lang w:eastAsia="en-US"/>
          </w:rPr>
          <w:t>3</w:t>
        </w:r>
        <w:r w:rsidRPr="00BC4026">
          <w:rPr>
            <w:rStyle w:val="Hypertextovprepojenie"/>
            <w:szCs w:val="22"/>
            <w:lang w:eastAsia="en-US"/>
          </w:rPr>
          <w:t xml:space="preserve"> kapitoly 3.1.1</w:t>
        </w:r>
      </w:hyperlink>
      <w:r>
        <w:rPr>
          <w:szCs w:val="22"/>
          <w:lang w:eastAsia="en-US"/>
        </w:rPr>
        <w:t>.</w:t>
      </w:r>
    </w:p>
    <w:p w14:paraId="61A33F1F" w14:textId="77777777" w:rsidR="00B650E5" w:rsidRDefault="00B650E5">
      <w:pPr>
        <w:jc w:val="both"/>
      </w:pPr>
    </w:p>
    <w:p w14:paraId="4EB976A1" w14:textId="77777777" w:rsidR="00B650E5" w:rsidRDefault="00B650E5">
      <w:pPr>
        <w:jc w:val="both"/>
      </w:pPr>
    </w:p>
    <w:p w14:paraId="3C08EDAF" w14:textId="77777777" w:rsidR="00B650E5" w:rsidRDefault="00B650E5">
      <w:pPr>
        <w:jc w:val="both"/>
      </w:pPr>
    </w:p>
    <w:p w14:paraId="3D931B54" w14:textId="77777777" w:rsidR="00B650E5" w:rsidRDefault="00B650E5">
      <w:pPr>
        <w:jc w:val="both"/>
      </w:pPr>
    </w:p>
    <w:p w14:paraId="4F8C4DAA" w14:textId="77777777" w:rsidR="00B650E5" w:rsidRDefault="00B650E5">
      <w:pPr>
        <w:jc w:val="both"/>
      </w:pPr>
    </w:p>
    <w:p w14:paraId="548C5F07" w14:textId="77777777" w:rsidR="00B650E5" w:rsidRDefault="00B650E5">
      <w:pPr>
        <w:spacing w:before="120" w:after="120"/>
        <w:jc w:val="both"/>
        <w:rPr>
          <w:b/>
          <w:bCs/>
          <w:sz w:val="20"/>
          <w:szCs w:val="20"/>
        </w:rPr>
      </w:pPr>
      <w:bookmarkStart w:id="549" w:name="kapitola_37_tabulka_organov_EÚS"/>
      <w:r>
        <w:rPr>
          <w:b/>
          <w:bCs/>
          <w:sz w:val="20"/>
          <w:szCs w:val="20"/>
        </w:rPr>
        <w:lastRenderedPageBreak/>
        <w:t>Orgány zodpovedné za prípravu a implementáciu jednotlivých programov v rámci cieľa EÚS v programovom období 2014 – 2020 v podmienkach SR</w:t>
      </w:r>
    </w:p>
    <w:bookmarkEnd w:id="549"/>
    <w:p w14:paraId="28267B71" w14:textId="77777777" w:rsidR="00B650E5" w:rsidRDefault="00B650E5">
      <w:pPr>
        <w:spacing w:before="120" w:after="120"/>
        <w:jc w:val="both"/>
        <w:rPr>
          <w:b/>
          <w:bCs/>
          <w:sz w:val="20"/>
          <w:szCs w:val="20"/>
        </w:rPr>
      </w:pPr>
    </w:p>
    <w:tbl>
      <w:tblPr>
        <w:tblW w:w="0" w:type="auto"/>
        <w:jc w:val="center"/>
        <w:tblCellMar>
          <w:left w:w="0" w:type="dxa"/>
          <w:right w:w="0" w:type="dxa"/>
        </w:tblCellMar>
        <w:tblLook w:val="00A0" w:firstRow="1" w:lastRow="0" w:firstColumn="1" w:lastColumn="0" w:noHBand="0" w:noVBand="0"/>
      </w:tblPr>
      <w:tblGrid>
        <w:gridCol w:w="670"/>
        <w:gridCol w:w="5103"/>
        <w:gridCol w:w="3402"/>
      </w:tblGrid>
      <w:tr w:rsidR="00B650E5" w14:paraId="26C185A3"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75A671B" w14:textId="77777777" w:rsidR="00B650E5" w:rsidRDefault="00B650E5">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2325479" w14:textId="77777777" w:rsidR="00B650E5" w:rsidRDefault="00B650E5">
            <w:pPr>
              <w:spacing w:before="120" w:after="120"/>
              <w:jc w:val="center"/>
            </w:pPr>
            <w:r>
              <w:rPr>
                <w:b/>
                <w:bCs/>
              </w:rPr>
              <w:t>Operačný program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FDF5B62" w14:textId="77777777" w:rsidR="00B650E5" w:rsidRDefault="00B650E5">
            <w:pPr>
              <w:spacing w:before="120" w:after="120"/>
              <w:jc w:val="center"/>
            </w:pPr>
            <w:r>
              <w:rPr>
                <w:b/>
                <w:bCs/>
              </w:rPr>
              <w:t>Orgán zodpovedný</w:t>
            </w:r>
            <w:r>
              <w:br/>
            </w:r>
            <w:r>
              <w:rPr>
                <w:b/>
                <w:bCs/>
              </w:rPr>
              <w:t>za prípravu a implementáciu</w:t>
            </w:r>
          </w:p>
        </w:tc>
      </w:tr>
      <w:tr w:rsidR="00B650E5" w14:paraId="07A41056" w14:textId="77777777">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6930792E" w14:textId="77777777" w:rsidR="00B650E5" w:rsidRDefault="00B650E5">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03A5D80B" w14:textId="77777777" w:rsidR="00B650E5" w:rsidRDefault="00B650E5">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0C5DDAEB" w14:textId="77777777" w:rsidR="00B650E5" w:rsidRDefault="00B650E5">
            <w:pPr>
              <w:spacing w:before="120" w:after="120"/>
              <w:jc w:val="both"/>
            </w:pPr>
            <w:r>
              <w:t> </w:t>
            </w:r>
          </w:p>
        </w:tc>
      </w:tr>
      <w:tr w:rsidR="00B650E5" w14:paraId="719EAC3C"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13781A" w14:textId="77777777" w:rsidR="00B650E5" w:rsidRDefault="00B650E5">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1F35483" w14:textId="77777777" w:rsidR="00B650E5" w:rsidRDefault="00DE270A">
            <w:pPr>
              <w:spacing w:before="120" w:after="120"/>
            </w:pPr>
            <w:r>
              <w:t xml:space="preserve">Interreg V-A </w:t>
            </w:r>
            <w:r w:rsidR="00B650E5">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EFE01F9" w14:textId="77777777" w:rsidR="00B650E5" w:rsidRDefault="00B650E5">
            <w:pPr>
              <w:spacing w:before="120" w:after="120"/>
            </w:pPr>
            <w:r>
              <w:t>Ministerstvo pôdohospodárstva a rozvoja vidieka SR ako riadiaci orgán</w:t>
            </w:r>
          </w:p>
        </w:tc>
      </w:tr>
      <w:tr w:rsidR="00B650E5" w14:paraId="0CB8626D"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F426085" w14:textId="77777777" w:rsidR="00B650E5" w:rsidRDefault="00B650E5">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07DCFB7" w14:textId="77777777" w:rsidR="00B650E5" w:rsidRDefault="00DE270A">
            <w:pPr>
              <w:spacing w:before="120" w:after="120"/>
            </w:pPr>
            <w:r>
              <w:t xml:space="preserve">Interreg V-A </w:t>
            </w:r>
            <w:r w:rsidR="00B650E5">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59693FE" w14:textId="77777777" w:rsidR="00B650E5" w:rsidRDefault="00B650E5">
            <w:pPr>
              <w:spacing w:before="120" w:after="120"/>
            </w:pPr>
            <w:r>
              <w:t>Ministerstvo pôdohospodárstva a rozvoja vidieka SR ako riadiaci orgán</w:t>
            </w:r>
          </w:p>
        </w:tc>
      </w:tr>
      <w:tr w:rsidR="00B650E5" w14:paraId="10B388B1"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8A49956" w14:textId="77777777" w:rsidR="00B650E5" w:rsidRDefault="00B650E5">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D9B3262" w14:textId="77777777" w:rsidR="00B650E5" w:rsidRDefault="00DE270A">
            <w:pPr>
              <w:spacing w:before="120" w:after="120"/>
            </w:pPr>
            <w:r>
              <w:t xml:space="preserve">Interreg V-A </w:t>
            </w:r>
            <w:r w:rsidR="00B650E5">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5E8D801" w14:textId="77777777" w:rsidR="00B650E5" w:rsidRDefault="00B650E5">
            <w:pPr>
              <w:spacing w:before="120" w:after="120"/>
            </w:pPr>
            <w:r>
              <w:t>Ministerstvo pôdohospodárstva a rozvoja vidieka SR ako národný orgán</w:t>
            </w:r>
          </w:p>
        </w:tc>
      </w:tr>
      <w:tr w:rsidR="00B650E5" w14:paraId="2AEF7255"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28F981C" w14:textId="77777777" w:rsidR="00B650E5" w:rsidRDefault="00B650E5">
            <w:pPr>
              <w:spacing w:before="120" w:after="120"/>
              <w:jc w:val="center"/>
            </w:pPr>
            <w:r>
              <w:t>4.</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9CB51A5" w14:textId="03BCA2CE" w:rsidR="00B650E5" w:rsidRDefault="00DE270A">
            <w:pPr>
              <w:spacing w:before="120" w:after="120"/>
            </w:pPr>
            <w:r>
              <w:t xml:space="preserve">Interreg V-A </w:t>
            </w:r>
            <w:r w:rsidR="00B971D8">
              <w:t xml:space="preserve">Slovenská republika - </w:t>
            </w:r>
            <w:r w:rsidR="00B650E5">
              <w:t xml:space="preserve">Maďarsko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808213A" w14:textId="77777777" w:rsidR="00B650E5" w:rsidRDefault="00B650E5">
            <w:pPr>
              <w:spacing w:before="120" w:after="120"/>
            </w:pPr>
            <w:r>
              <w:t>Ministerstvo pôdohospodárstva a rozvoja vidieka SR ako národný orgán</w:t>
            </w:r>
          </w:p>
        </w:tc>
      </w:tr>
      <w:tr w:rsidR="00B650E5" w14:paraId="623EB8A6"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F01EC90" w14:textId="76BE73F4" w:rsidR="00B650E5" w:rsidRDefault="00B650E5">
            <w:pPr>
              <w:spacing w:before="120" w:after="120"/>
              <w:jc w:val="center"/>
            </w:pPr>
            <w:r>
              <w:t>5.</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7DD274E" w14:textId="77777777" w:rsidR="00B650E5" w:rsidRDefault="00B650E5">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A39B0C2" w14:textId="77777777" w:rsidR="00B650E5" w:rsidRDefault="00B650E5">
            <w:pPr>
              <w:spacing w:before="120" w:after="120"/>
            </w:pPr>
            <w:r>
              <w:t>Ministerstvo pôdohospodárstva a rozvoja vidieka SR ako národný orgán</w:t>
            </w:r>
          </w:p>
        </w:tc>
      </w:tr>
      <w:tr w:rsidR="00B650E5" w14:paraId="17DA5030" w14:textId="77777777">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1B3E9EA9"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C597184" w14:textId="77777777" w:rsidR="00B650E5" w:rsidRDefault="00B650E5">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1E64B0AB" w14:textId="77777777" w:rsidR="00B650E5" w:rsidRDefault="00B650E5">
            <w:pPr>
              <w:spacing w:before="120" w:after="120"/>
            </w:pPr>
            <w:r>
              <w:t> </w:t>
            </w:r>
          </w:p>
        </w:tc>
      </w:tr>
      <w:tr w:rsidR="00B650E5" w14:paraId="5BE56399"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D430087" w14:textId="77777777" w:rsidR="00B650E5" w:rsidRDefault="00B650E5">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E7812A1" w14:textId="77777777" w:rsidR="00B650E5" w:rsidRDefault="00B650E5">
            <w:pPr>
              <w:spacing w:before="120" w:after="120"/>
            </w:pPr>
            <w:r>
              <w:t>INTERREG</w:t>
            </w:r>
            <w:r w:rsidR="00226058">
              <w:t xml:space="preserve"> </w:t>
            </w:r>
            <w:r w:rsidR="00226058" w:rsidRPr="00226058">
              <w:t>EUROPE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F6FB7A7" w14:textId="77777777" w:rsidR="00B650E5" w:rsidRDefault="00B650E5">
            <w:pPr>
              <w:spacing w:before="120" w:after="120"/>
            </w:pPr>
            <w:r>
              <w:t>Ministerstvo hospodárstva SR ako národný kontaktný bod</w:t>
            </w:r>
          </w:p>
        </w:tc>
      </w:tr>
      <w:tr w:rsidR="00B650E5" w14:paraId="1B802DAF"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A2ACDEF" w14:textId="77777777" w:rsidR="00B650E5" w:rsidRDefault="00B650E5">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72B0C23" w14:textId="77777777" w:rsidR="00B650E5" w:rsidRDefault="00B650E5">
            <w:pPr>
              <w:spacing w:before="120" w:after="120"/>
            </w:pPr>
            <w:r>
              <w:t xml:space="preserve">ESPON </w:t>
            </w:r>
            <w:r w:rsidR="00226058">
              <w:t>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97D6B0A" w14:textId="42DBCDD8" w:rsidR="00B650E5" w:rsidRDefault="00B650E5" w:rsidP="00341477">
            <w:pPr>
              <w:spacing w:before="120" w:after="120"/>
            </w:pPr>
            <w:r>
              <w:t>Ministerstvo dopravy</w:t>
            </w:r>
            <w:r w:rsidR="00341477">
              <w:t xml:space="preserve"> a</w:t>
            </w:r>
            <w:r>
              <w:t xml:space="preserve"> výstavby SR ako národný koordinátor programu</w:t>
            </w:r>
          </w:p>
        </w:tc>
      </w:tr>
      <w:tr w:rsidR="00B650E5" w14:paraId="13E1F35A"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F655E41" w14:textId="77777777" w:rsidR="00B650E5" w:rsidRDefault="00B650E5">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EDDA8A0" w14:textId="77777777" w:rsidR="00B650E5" w:rsidRDefault="00B650E5">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89AC0C3" w14:textId="0574BBCD" w:rsidR="00B650E5" w:rsidRDefault="00B650E5">
            <w:pPr>
              <w:spacing w:before="120" w:after="120"/>
            </w:pPr>
            <w:r>
              <w:rPr>
                <w:color w:val="000000"/>
              </w:rPr>
              <w:t>Bratislavský samosprávny kraj ako RO a Ministerstvo hospodárstva SR ako národný kontaktný bod</w:t>
            </w:r>
          </w:p>
        </w:tc>
      </w:tr>
      <w:tr w:rsidR="00B650E5" w14:paraId="7E241DA2"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41767F" w14:textId="77777777" w:rsidR="00B650E5" w:rsidRDefault="00B650E5">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06BC5D3" w14:textId="77777777" w:rsidR="00B650E5" w:rsidRDefault="00B650E5">
            <w:pPr>
              <w:spacing w:before="120" w:after="120"/>
            </w:pPr>
            <w:r>
              <w:t xml:space="preserve">URBACT </w:t>
            </w:r>
            <w:r w:rsidR="00226058">
              <w:t>III</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190E168" w14:textId="68CDFF98" w:rsidR="00B650E5" w:rsidRDefault="00B650E5" w:rsidP="00341477">
            <w:pPr>
              <w:spacing w:before="120" w:after="120"/>
            </w:pPr>
            <w:r>
              <w:t>Ministerstvo dopravy</w:t>
            </w:r>
            <w:r w:rsidR="00341477">
              <w:t xml:space="preserve"> a</w:t>
            </w:r>
            <w:r>
              <w:t xml:space="preserve"> výstavby SR ako národný orgán</w:t>
            </w:r>
          </w:p>
        </w:tc>
      </w:tr>
      <w:tr w:rsidR="00B650E5" w14:paraId="2415477E" w14:textId="77777777">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A91BB4C"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53CB3EBB" w14:textId="77777777" w:rsidR="00B650E5" w:rsidRDefault="00B650E5">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373269E5" w14:textId="77777777" w:rsidR="00B650E5" w:rsidRDefault="00B650E5">
            <w:pPr>
              <w:spacing w:before="120" w:after="120"/>
            </w:pPr>
            <w:r>
              <w:t> </w:t>
            </w:r>
          </w:p>
        </w:tc>
      </w:tr>
      <w:tr w:rsidR="00B650E5" w14:paraId="7A4DF529"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F646352" w14:textId="77777777" w:rsidR="00B650E5" w:rsidRDefault="00B650E5">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943239F" w14:textId="77777777" w:rsidR="00B650E5" w:rsidRDefault="00B650E5">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FBA54A5" w14:textId="77777777" w:rsidR="00B650E5" w:rsidRDefault="00B650E5">
            <w:pPr>
              <w:spacing w:before="120" w:after="120"/>
            </w:pPr>
            <w:r>
              <w:t>Úrad vlády SR ako národný orgán a národný kontaktný</w:t>
            </w:r>
            <w:r w:rsidRPr="00786989">
              <w:t xml:space="preserve"> bod</w:t>
            </w:r>
          </w:p>
        </w:tc>
      </w:tr>
      <w:tr w:rsidR="00B650E5" w14:paraId="0C628482"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BC32114" w14:textId="77777777" w:rsidR="00B650E5" w:rsidRDefault="00B650E5">
            <w:pPr>
              <w:spacing w:before="120" w:after="120"/>
              <w:jc w:val="center"/>
            </w:pPr>
            <w:r>
              <w:lastRenderedPageBreak/>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7D8C76C" w14:textId="77777777" w:rsidR="00B650E5" w:rsidRDefault="00B650E5">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26734D4" w14:textId="77777777" w:rsidR="00B650E5" w:rsidRDefault="00B650E5">
            <w:pPr>
              <w:spacing w:before="120" w:after="120"/>
            </w:pPr>
            <w:r>
              <w:t>Úrad vlády SR ako národný orgán a národný kontaktný</w:t>
            </w:r>
            <w:r w:rsidRPr="00786989">
              <w:t xml:space="preserve"> bod</w:t>
            </w:r>
          </w:p>
        </w:tc>
      </w:tr>
    </w:tbl>
    <w:p w14:paraId="3A821A63" w14:textId="77777777" w:rsidR="00B650E5" w:rsidRDefault="00B650E5">
      <w:bookmarkStart w:id="550" w:name="_Toc228868300"/>
      <w:bookmarkEnd w:id="550"/>
    </w:p>
    <w:p w14:paraId="2C3B136B" w14:textId="77777777" w:rsidR="00B650E5" w:rsidRDefault="00B650E5">
      <w:pPr>
        <w:spacing w:after="200" w:line="276" w:lineRule="auto"/>
      </w:pPr>
      <w:r>
        <w:br w:type="page"/>
      </w:r>
    </w:p>
    <w:p w14:paraId="7164C656" w14:textId="77777777" w:rsidR="00B650E5" w:rsidRDefault="00B650E5">
      <w:pPr>
        <w:pStyle w:val="SRK1"/>
      </w:pPr>
      <w:bookmarkStart w:id="551" w:name="_Toc453234094"/>
      <w:bookmarkStart w:id="552" w:name="_Toc495649451"/>
      <w:r>
        <w:lastRenderedPageBreak/>
        <w:t>Časť 4</w:t>
      </w:r>
      <w:bookmarkEnd w:id="547"/>
      <w:r>
        <w:t xml:space="preserve"> </w:t>
      </w:r>
      <w:bookmarkStart w:id="553" w:name="_Toc378947541"/>
      <w:r>
        <w:t>Monitorovanie a hodnotenie EŠIF</w:t>
      </w:r>
      <w:bookmarkEnd w:id="551"/>
      <w:bookmarkEnd w:id="552"/>
      <w:bookmarkEnd w:id="553"/>
    </w:p>
    <w:p w14:paraId="714BADC4" w14:textId="77777777" w:rsidR="00B650E5" w:rsidRDefault="00B650E5">
      <w:pPr>
        <w:pStyle w:val="SRK2"/>
        <w:rPr>
          <w:rStyle w:val="Nadpis1Char"/>
          <w:bCs/>
          <w:sz w:val="36"/>
          <w:szCs w:val="26"/>
        </w:rPr>
      </w:pPr>
      <w:bookmarkStart w:id="554" w:name="_Toc378947542"/>
      <w:bookmarkStart w:id="555" w:name="_Toc453234095"/>
      <w:bookmarkStart w:id="556" w:name="_Toc495649452"/>
      <w:r>
        <w:rPr>
          <w:rStyle w:val="Nadpis1Char"/>
          <w:bCs/>
          <w:sz w:val="36"/>
          <w:szCs w:val="26"/>
        </w:rPr>
        <w:t>4.1 Monitorovanie EŠIF</w:t>
      </w:r>
      <w:bookmarkEnd w:id="554"/>
      <w:bookmarkEnd w:id="555"/>
      <w:bookmarkEnd w:id="556"/>
    </w:p>
    <w:p w14:paraId="7F5622E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2685C49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4-7, 27, 33-36, 47-56, 70, 72, 96, 101, 106-108, 110-116, 124-125, 142 všeobecného nariadenia</w:t>
      </w:r>
    </w:p>
    <w:p w14:paraId="74D2E7F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3-10 nariadenia o EFRR</w:t>
      </w:r>
    </w:p>
    <w:p w14:paraId="5A1A8B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10, 12, 19 nariadenia o ESF</w:t>
      </w:r>
    </w:p>
    <w:p w14:paraId="475F2AB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8, 66-77, 85 nariadenia o EPFRV</w:t>
      </w:r>
    </w:p>
    <w:p w14:paraId="28F79B1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107-114 nariadenia o ENRF </w:t>
      </w:r>
    </w:p>
    <w:p w14:paraId="3E05493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10-15 delegovaného nariadenia Komisie (EÚ) č. 240/2014</w:t>
      </w:r>
    </w:p>
    <w:p w14:paraId="6BD6EC5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14 nariadenia o EÚS</w:t>
      </w:r>
    </w:p>
    <w:p w14:paraId="2F34CCB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179F95D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6043A2B5" w14:textId="77777777" w:rsidR="00B650E5" w:rsidRDefault="00B650E5">
      <w:pPr>
        <w:pStyle w:val="Odsekzoznamu"/>
        <w:numPr>
          <w:ilvl w:val="6"/>
          <w:numId w:val="6"/>
        </w:numPr>
        <w:spacing w:before="120" w:after="120"/>
        <w:ind w:left="425" w:hanging="425"/>
        <w:contextualSpacing w:val="0"/>
        <w:jc w:val="both"/>
        <w:rPr>
          <w:lang w:eastAsia="en-US"/>
        </w:rPr>
      </w:pPr>
      <w:bookmarkStart w:id="557" w:name="_Toc378947544"/>
      <w:r>
        <w:rPr>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14:paraId="1DC5D88A"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pokroku v dosahovaní cieľov a plnení výkonnostného rámca sa vykonáva prostredníctvom merateľných ukazovateľov na všetkých úrovniach riadenia.</w:t>
      </w:r>
    </w:p>
    <w:p w14:paraId="4A10F75B"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poskytuje údaje v rámci implementácie EŠIF, a to hlavne v rámci oblastí plnenia cieľov, riadenia a koordinovania, rozhodovania, realizovania, prijímania a plnenia opatrení.</w:t>
      </w:r>
    </w:p>
    <w:p w14:paraId="07EE3401"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stavu, pokroku v plnení cieľov pri realizovaní OP v rámci EŠIF sa vykonáva na projektovej, programovej a národnej úrovni agregovaním údajov v nasledovných správach a informáciách:</w:t>
      </w:r>
    </w:p>
    <w:p w14:paraId="3B6FBC25" w14:textId="09493369" w:rsidR="00D57C7C" w:rsidRDefault="00B650E5">
      <w:pPr>
        <w:numPr>
          <w:ilvl w:val="0"/>
          <w:numId w:val="261"/>
        </w:numPr>
        <w:spacing w:before="120" w:after="120"/>
        <w:ind w:left="851" w:hanging="425"/>
        <w:jc w:val="both"/>
        <w:rPr>
          <w:lang w:eastAsia="en-US"/>
        </w:rPr>
      </w:pPr>
      <w:r>
        <w:rPr>
          <w:lang w:eastAsia="en-US"/>
        </w:rPr>
        <w:t>Informácia o stave implementácie EŠIF</w:t>
      </w:r>
      <w:r w:rsidR="00D57C7C">
        <w:rPr>
          <w:lang w:eastAsia="en-US"/>
        </w:rPr>
        <w:t>;</w:t>
      </w:r>
      <w:r>
        <w:rPr>
          <w:lang w:eastAsia="en-US"/>
        </w:rPr>
        <w:t xml:space="preserve"> </w:t>
      </w:r>
    </w:p>
    <w:p w14:paraId="4891B88C" w14:textId="77777777" w:rsidR="00B650E5" w:rsidRDefault="00B650E5">
      <w:pPr>
        <w:numPr>
          <w:ilvl w:val="0"/>
          <w:numId w:val="261"/>
        </w:numPr>
        <w:spacing w:before="120" w:after="120"/>
        <w:ind w:left="851" w:hanging="425"/>
        <w:jc w:val="both"/>
        <w:rPr>
          <w:lang w:eastAsia="en-US"/>
        </w:rPr>
      </w:pPr>
      <w:r>
        <w:rPr>
          <w:lang w:eastAsia="en-US"/>
        </w:rPr>
        <w:t>Správa o pokroku;</w:t>
      </w:r>
    </w:p>
    <w:p w14:paraId="1961BC49" w14:textId="77777777" w:rsidR="00B650E5" w:rsidRDefault="00B650E5">
      <w:pPr>
        <w:numPr>
          <w:ilvl w:val="0"/>
          <w:numId w:val="261"/>
        </w:numPr>
        <w:spacing w:before="120" w:after="120"/>
        <w:ind w:left="851" w:hanging="425"/>
        <w:jc w:val="both"/>
        <w:rPr>
          <w:lang w:eastAsia="en-US"/>
        </w:rPr>
      </w:pPr>
      <w:r>
        <w:rPr>
          <w:lang w:eastAsia="en-US"/>
        </w:rPr>
        <w:t>Výročná/záverečná správa o vykonávaní OP;</w:t>
      </w:r>
    </w:p>
    <w:p w14:paraId="558105CC" w14:textId="77777777" w:rsidR="00B650E5" w:rsidRDefault="00B650E5">
      <w:pPr>
        <w:numPr>
          <w:ilvl w:val="0"/>
          <w:numId w:val="261"/>
        </w:numPr>
        <w:spacing w:before="120" w:after="120"/>
        <w:ind w:left="851" w:hanging="425"/>
        <w:jc w:val="both"/>
        <w:rPr>
          <w:lang w:eastAsia="en-US"/>
        </w:rPr>
      </w:pPr>
      <w:r>
        <w:rPr>
          <w:lang w:eastAsia="en-US"/>
        </w:rPr>
        <w:t>Záväzný plán OP;</w:t>
      </w:r>
    </w:p>
    <w:p w14:paraId="51C855AD" w14:textId="77777777" w:rsidR="00B650E5" w:rsidRDefault="00B650E5">
      <w:pPr>
        <w:numPr>
          <w:ilvl w:val="0"/>
          <w:numId w:val="261"/>
        </w:numPr>
        <w:spacing w:before="120" w:after="120"/>
        <w:ind w:left="851" w:hanging="425"/>
        <w:jc w:val="both"/>
        <w:rPr>
          <w:lang w:eastAsia="en-US"/>
        </w:rPr>
      </w:pPr>
      <w:r>
        <w:rPr>
          <w:lang w:eastAsia="en-US"/>
        </w:rPr>
        <w:t>Informácia o realizovaní OP.</w:t>
      </w:r>
    </w:p>
    <w:p w14:paraId="0D8B9D46" w14:textId="381E99AF" w:rsidR="00B650E5" w:rsidRDefault="00B650E5">
      <w:pPr>
        <w:pStyle w:val="Odsekzoznamu"/>
        <w:numPr>
          <w:ilvl w:val="6"/>
          <w:numId w:val="6"/>
        </w:numPr>
        <w:spacing w:before="120" w:after="120"/>
        <w:ind w:left="425" w:hanging="425"/>
        <w:contextualSpacing w:val="0"/>
        <w:jc w:val="both"/>
        <w:rPr>
          <w:lang w:eastAsia="en-US"/>
        </w:rPr>
      </w:pPr>
      <w:r>
        <w:rPr>
          <w:lang w:eastAsia="en-US"/>
        </w:rPr>
        <w:t>Účelom týchto správ/informácií je poskytnúť informácie o aktuálnom dosiahnutom stave a predpokladanom vývoji implementácie EŠIF. Tieto správy popisujú, analyzujú a hodnotia implementáciu EŠIF za stanovené časové obdobie a slúžia ako podklad pre riadenie a koordináciu EŠIF.</w:t>
      </w:r>
    </w:p>
    <w:p w14:paraId="401D4E9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Výstupy monitorovania poskytujú relevantným subjektom informácie o implementácii EŠIF pre prijímanie rozhodnutí v oblasti riadenia.</w:t>
      </w:r>
    </w:p>
    <w:p w14:paraId="3F5CA742"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lastRenderedPageBreak/>
        <w:t>Povinnosť vypracovať uvedené správy/informácie vyplýva zo všeobecného nariadenia, PD, ako aj z rozhodnutia CKO s cieľom vytvoriť efektívny systém monitorovania EŠIF.</w:t>
      </w:r>
    </w:p>
    <w:p w14:paraId="608975DA" w14:textId="77777777" w:rsidR="00B650E5" w:rsidRDefault="00B650E5">
      <w:pPr>
        <w:pStyle w:val="SRK3"/>
      </w:pPr>
      <w:bookmarkStart w:id="558" w:name="_Toc390160798"/>
      <w:bookmarkStart w:id="559" w:name="_Toc391991994"/>
      <w:bookmarkStart w:id="560" w:name="_Toc453234096"/>
      <w:bookmarkStart w:id="561" w:name="_Toc495649453"/>
      <w:r>
        <w:t xml:space="preserve">4.1.1 Monitorovanie </w:t>
      </w:r>
      <w:bookmarkEnd w:id="558"/>
      <w:bookmarkEnd w:id="559"/>
      <w:r>
        <w:t>EŠIF</w:t>
      </w:r>
      <w:bookmarkEnd w:id="560"/>
      <w:bookmarkEnd w:id="561"/>
    </w:p>
    <w:p w14:paraId="147B1519"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Monitorovanie implementácie EŠIF sa začína dňom schválenia PD zo strany EK a je vykonávané CKO a NMV.</w:t>
      </w:r>
    </w:p>
    <w:p w14:paraId="50E51EF2" w14:textId="13F3527C" w:rsidR="00B650E5" w:rsidRDefault="00B650E5">
      <w:pPr>
        <w:pStyle w:val="Odsekzoznamu"/>
        <w:numPr>
          <w:ilvl w:val="0"/>
          <w:numId w:val="166"/>
        </w:numPr>
        <w:spacing w:before="120" w:after="120"/>
        <w:ind w:left="426" w:hanging="426"/>
        <w:contextualSpacing w:val="0"/>
        <w:jc w:val="both"/>
        <w:rPr>
          <w:lang w:eastAsia="en-US"/>
        </w:rPr>
      </w:pPr>
      <w:r>
        <w:rPr>
          <w:lang w:eastAsia="en-US"/>
        </w:rPr>
        <w:t>Predmetom monitorovania EŠIF je dôsledné a pravidelné sledovanie a sumarizácia informácií o</w:t>
      </w:r>
      <w:r w:rsidR="008520E6">
        <w:rPr>
          <w:lang w:eastAsia="en-US"/>
        </w:rPr>
        <w:t> </w:t>
      </w:r>
      <w:r>
        <w:rPr>
          <w:lang w:eastAsia="en-US"/>
        </w:rPr>
        <w:t>implementácii OP a následné vyhodnocovanie priebehu ich realizácie s využitím súboru merateľných ukazovateľov</w:t>
      </w:r>
      <w:r w:rsidR="00912275">
        <w:rPr>
          <w:lang w:eastAsia="en-US"/>
        </w:rPr>
        <w:t xml:space="preserve"> </w:t>
      </w:r>
      <w:r w:rsidR="00464039">
        <w:rPr>
          <w:lang w:eastAsia="en-US"/>
        </w:rPr>
        <w:t xml:space="preserve">a </w:t>
      </w:r>
      <w:r w:rsidR="00912275" w:rsidRPr="00997CB0">
        <w:rPr>
          <w:lang w:eastAsia="en-US"/>
        </w:rPr>
        <w:t>systémových reportov</w:t>
      </w:r>
      <w:r w:rsidR="003870B7" w:rsidRPr="00997CB0">
        <w:rPr>
          <w:lang w:eastAsia="en-US"/>
        </w:rPr>
        <w:t xml:space="preserve"> ITMS 2014+ (ide</w:t>
      </w:r>
      <w:r w:rsidR="00912275" w:rsidRPr="00997CB0">
        <w:rPr>
          <w:lang w:eastAsia="en-US"/>
        </w:rPr>
        <w:t xml:space="preserve"> najmä</w:t>
      </w:r>
      <w:r w:rsidR="003870B7" w:rsidRPr="00997CB0">
        <w:rPr>
          <w:lang w:eastAsia="en-US"/>
        </w:rPr>
        <w:t xml:space="preserve"> o</w:t>
      </w:r>
      <w:r w:rsidR="00912275" w:rsidRPr="00997CB0">
        <w:rPr>
          <w:lang w:eastAsia="en-US"/>
        </w:rPr>
        <w:t xml:space="preserve"> prehľad </w:t>
      </w:r>
      <w:r w:rsidR="003870B7" w:rsidRPr="00997CB0">
        <w:rPr>
          <w:lang w:eastAsia="en-US"/>
        </w:rPr>
        <w:t>výziev,</w:t>
      </w:r>
      <w:r w:rsidR="00912275" w:rsidRPr="00997CB0">
        <w:rPr>
          <w:lang w:eastAsia="en-US"/>
        </w:rPr>
        <w:t xml:space="preserve"> projektov, ŽoNFP, ŽoP a štandardn</w:t>
      </w:r>
      <w:r w:rsidR="003870B7" w:rsidRPr="00997CB0">
        <w:rPr>
          <w:lang w:eastAsia="en-US"/>
        </w:rPr>
        <w:t>ú</w:t>
      </w:r>
      <w:r w:rsidR="00912275" w:rsidRPr="00997CB0">
        <w:rPr>
          <w:lang w:eastAsia="en-US"/>
        </w:rPr>
        <w:t xml:space="preserve"> monitorovac</w:t>
      </w:r>
      <w:r w:rsidR="003870B7" w:rsidRPr="00997CB0">
        <w:rPr>
          <w:lang w:eastAsia="en-US"/>
        </w:rPr>
        <w:t>iu</w:t>
      </w:r>
      <w:r w:rsidR="00912275" w:rsidRPr="00997CB0">
        <w:rPr>
          <w:lang w:eastAsia="en-US"/>
        </w:rPr>
        <w:t xml:space="preserve"> tabuľk</w:t>
      </w:r>
      <w:r w:rsidR="003870B7" w:rsidRPr="00997CB0">
        <w:rPr>
          <w:lang w:eastAsia="en-US"/>
        </w:rPr>
        <w:t>u ako nástroj monitorovania základných fáz implementácie, v delení na prioritné osi OP)</w:t>
      </w:r>
      <w:r w:rsidRPr="0035413F">
        <w:rPr>
          <w:lang w:eastAsia="en-US"/>
        </w:rPr>
        <w:t>.</w:t>
      </w:r>
      <w:r>
        <w:rPr>
          <w:lang w:eastAsia="en-US"/>
        </w:rPr>
        <w:t xml:space="preserve"> Pozornosť monitorovania EŠIF sa sústreďuje aj na finančne náročné operácie (napr. veľké projekty) a operácie, ktoré si vyžadujú špecifický režim a administráciu (napr. globálne granty, finančné nástroje, integrované stratégie).</w:t>
      </w:r>
    </w:p>
    <w:p w14:paraId="00E112F8"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 xml:space="preserve">Monitorovanie implementácie OP je nevyhnutným nástrojom na: </w:t>
      </w:r>
    </w:p>
    <w:p w14:paraId="55A15A88" w14:textId="78B00FE6"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vypracovanie a predkladanie správ/informácií – poskytuje informácie pre potreby informovania EK, vlády SR, NMV a ďalších subjektov zapojených do implementácie EŠIF   o stave realizácie OP; </w:t>
      </w:r>
    </w:p>
    <w:p w14:paraId="2A1AF437"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riadenie – poskytuje informácie relevantným subjektom zodpovedným za rozhodovacie procesy a tvorbu návrhov nápravných opatrení; </w:t>
      </w:r>
    </w:p>
    <w:p w14:paraId="6717BAFE" w14:textId="155ED4E2"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hodnotenie – poskytuje informácie pre hodnotenie plnenia cieľov EŠIF, ako aj hodnotenie procesov riadenia OP; </w:t>
      </w:r>
    </w:p>
    <w:p w14:paraId="146D9A63"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metodickú činnosť – poskytuje informácie pre vypracovanie a aktualizáciu metodických predpisov určujúcich pravidlá pre realizovanie OP. </w:t>
      </w:r>
    </w:p>
    <w:p w14:paraId="4BC881F5" w14:textId="72198BFC" w:rsidR="00B650E5" w:rsidRDefault="00B650E5">
      <w:pPr>
        <w:pStyle w:val="Odsekzoznamu"/>
        <w:numPr>
          <w:ilvl w:val="0"/>
          <w:numId w:val="166"/>
        </w:numPr>
        <w:spacing w:before="120" w:after="120"/>
        <w:ind w:left="426" w:hanging="426"/>
        <w:contextualSpacing w:val="0"/>
        <w:jc w:val="both"/>
        <w:rPr>
          <w:lang w:eastAsia="en-US"/>
        </w:rPr>
      </w:pPr>
      <w:r>
        <w:rPr>
          <w:lang w:eastAsia="en-US"/>
        </w:rPr>
        <w:t xml:space="preserve">Pre zabezpečenie konzistentných, porovnateľných a aktuálnych kľúčových informácií                   o implementácii OP (vrátane informácií o implementácii projektov) na centrálnej úrovni, ako aj pre zabezpečenie transparentnosti, kontrolovateľnosti procesov implementácie EŠIF, sú RO povinné priebežne a bezodkladne evidovať požadované údaje v ITMS 2014+. </w:t>
      </w:r>
    </w:p>
    <w:p w14:paraId="662E8478" w14:textId="591C30FD" w:rsidR="00B650E5" w:rsidRDefault="00B650E5" w:rsidP="0045286B">
      <w:pPr>
        <w:pStyle w:val="SRK4"/>
      </w:pPr>
      <w:bookmarkStart w:id="562" w:name="_Toc391991995"/>
      <w:bookmarkStart w:id="563" w:name="_Toc453234097"/>
      <w:bookmarkStart w:id="564" w:name="_Toc495649454"/>
      <w:bookmarkStart w:id="565" w:name="kapitola_4111"/>
      <w:r>
        <w:t xml:space="preserve">4.1.1.1 </w:t>
      </w:r>
      <w:bookmarkEnd w:id="562"/>
      <w:bookmarkEnd w:id="563"/>
      <w:r w:rsidRPr="00C10E64">
        <w:rPr>
          <w:lang w:eastAsia="en-US"/>
        </w:rPr>
        <w:t xml:space="preserve"> </w:t>
      </w:r>
      <w:r>
        <w:rPr>
          <w:lang w:eastAsia="en-US"/>
        </w:rPr>
        <w:t>Informácia o stave implementácie EŠIF</w:t>
      </w:r>
      <w:bookmarkEnd w:id="564"/>
    </w:p>
    <w:bookmarkEnd w:id="565"/>
    <w:p w14:paraId="1A9A2E73" w14:textId="4E015AEF" w:rsidR="00B650E5" w:rsidRDefault="00B650E5">
      <w:pPr>
        <w:pStyle w:val="Odsekzoznamu"/>
        <w:numPr>
          <w:ilvl w:val="0"/>
          <w:numId w:val="167"/>
        </w:numPr>
        <w:spacing w:before="120" w:after="120"/>
        <w:ind w:left="426" w:hanging="426"/>
        <w:contextualSpacing w:val="0"/>
        <w:jc w:val="both"/>
        <w:rPr>
          <w:lang w:eastAsia="en-US"/>
        </w:rPr>
      </w:pPr>
      <w:r>
        <w:rPr>
          <w:lang w:eastAsia="en-US"/>
        </w:rPr>
        <w:t xml:space="preserve">CKO polročne, </w:t>
      </w:r>
      <w:r w:rsidR="00C93F30">
        <w:rPr>
          <w:lang w:eastAsia="en-US"/>
        </w:rPr>
        <w:t xml:space="preserve">t. j. </w:t>
      </w:r>
      <w:r>
        <w:rPr>
          <w:lang w:eastAsia="en-US"/>
        </w:rPr>
        <w:t>s údajmi k 30.6. a k 31.12. vypracuje Informáciu o stave implementácie EŠIF.</w:t>
      </w:r>
      <w:r w:rsidR="00011C3A">
        <w:rPr>
          <w:lang w:eastAsia="en-US"/>
        </w:rPr>
        <w:t xml:space="preserve"> </w:t>
      </w:r>
      <w:r w:rsidR="00011C3A" w:rsidRPr="00011C3A">
        <w:rPr>
          <w:lang w:eastAsia="en-US"/>
        </w:rPr>
        <w:t xml:space="preserve">CKO vypracuje </w:t>
      </w:r>
      <w:r w:rsidR="00011C3A">
        <w:rPr>
          <w:lang w:eastAsia="en-US"/>
        </w:rPr>
        <w:t>Informáciu o stave implementácie EŠIF</w:t>
      </w:r>
      <w:r w:rsidR="00011C3A" w:rsidRPr="00011C3A">
        <w:rPr>
          <w:lang w:eastAsia="en-US"/>
        </w:rPr>
        <w:t xml:space="preserve"> do 31.7. roku n s údajmi k 30.6. roku n  a do 31.1. </w:t>
      </w:r>
      <w:r w:rsidR="00011C3A">
        <w:rPr>
          <w:lang w:eastAsia="en-US"/>
        </w:rPr>
        <w:t xml:space="preserve">roku </w:t>
      </w:r>
      <w:r w:rsidR="00011C3A" w:rsidRPr="00011C3A">
        <w:rPr>
          <w:lang w:eastAsia="en-US"/>
        </w:rPr>
        <w:t>n+1 s údajmi k 31.12. roku n.</w:t>
      </w:r>
    </w:p>
    <w:p w14:paraId="5523E10D" w14:textId="2FA59E15" w:rsidR="00B650E5" w:rsidRDefault="00B650E5" w:rsidP="00997CB0">
      <w:pPr>
        <w:pStyle w:val="Odsekzoznamu"/>
        <w:numPr>
          <w:ilvl w:val="0"/>
          <w:numId w:val="167"/>
        </w:numPr>
        <w:spacing w:before="120" w:after="120"/>
        <w:ind w:left="426" w:hanging="426"/>
        <w:contextualSpacing w:val="0"/>
        <w:jc w:val="both"/>
      </w:pPr>
      <w:r>
        <w:rPr>
          <w:lang w:eastAsia="en-US"/>
        </w:rPr>
        <w:t>Informácia</w:t>
      </w:r>
      <w:r w:rsidR="00076317">
        <w:rPr>
          <w:lang w:eastAsia="en-US"/>
        </w:rPr>
        <w:t xml:space="preserve"> </w:t>
      </w:r>
      <w:r w:rsidR="001F129B">
        <w:rPr>
          <w:lang w:eastAsia="en-US"/>
        </w:rPr>
        <w:t xml:space="preserve">o stave implementácie EŠIF </w:t>
      </w:r>
      <w:r>
        <w:rPr>
          <w:lang w:eastAsia="en-US"/>
        </w:rPr>
        <w:t>poskytuje údaje najmä o jednotlivých etapách implementácie EŠIF ako celku a zároveň aj o stave implementácie jednotlivých programov.</w:t>
      </w:r>
      <w:bookmarkStart w:id="566" w:name="kapitola_4111_ods_3j_k"/>
    </w:p>
    <w:p w14:paraId="5C7DA0B7" w14:textId="44330B50" w:rsidR="00B650E5" w:rsidRDefault="00B650E5">
      <w:pPr>
        <w:pStyle w:val="Odsekzoznamu"/>
        <w:numPr>
          <w:ilvl w:val="0"/>
          <w:numId w:val="167"/>
        </w:numPr>
        <w:spacing w:before="120" w:after="120"/>
        <w:ind w:left="426" w:hanging="426"/>
        <w:contextualSpacing w:val="0"/>
        <w:jc w:val="both"/>
        <w:rPr>
          <w:lang w:eastAsia="en-US"/>
        </w:rPr>
      </w:pPr>
      <w:bookmarkStart w:id="567" w:name="kapitola_4111_ods_4"/>
      <w:bookmarkEnd w:id="566"/>
      <w:r>
        <w:rPr>
          <w:lang w:eastAsia="en-US"/>
        </w:rPr>
        <w:t xml:space="preserve">CKO pri príprave uvedenej </w:t>
      </w:r>
      <w:r w:rsidR="001F129B">
        <w:rPr>
          <w:lang w:eastAsia="en-US"/>
        </w:rPr>
        <w:t>I</w:t>
      </w:r>
      <w:r>
        <w:rPr>
          <w:lang w:eastAsia="en-US"/>
        </w:rPr>
        <w:t xml:space="preserve">nformácie </w:t>
      </w:r>
      <w:r w:rsidR="001F129B">
        <w:rPr>
          <w:lang w:eastAsia="en-US"/>
        </w:rPr>
        <w:t xml:space="preserve">o stave implementácie EŠIF </w:t>
      </w:r>
      <w:r>
        <w:rPr>
          <w:lang w:eastAsia="en-US"/>
        </w:rPr>
        <w:t>vychádza z mesačných Informáci</w:t>
      </w:r>
      <w:r w:rsidR="00D23AF3">
        <w:rPr>
          <w:lang w:eastAsia="en-US"/>
        </w:rPr>
        <w:t>í</w:t>
      </w:r>
      <w:r>
        <w:rPr>
          <w:lang w:eastAsia="en-US"/>
        </w:rPr>
        <w:t xml:space="preserve"> o realizovaní OP, z údajov z ITMS 2014+ a</w:t>
      </w:r>
      <w:r w:rsidR="00D23AF3">
        <w:rPr>
          <w:lang w:eastAsia="en-US"/>
        </w:rPr>
        <w:t xml:space="preserve"> v prípade potreby </w:t>
      </w:r>
      <w:r>
        <w:rPr>
          <w:lang w:eastAsia="en-US"/>
        </w:rPr>
        <w:t>z podkladov RO.</w:t>
      </w:r>
    </w:p>
    <w:p w14:paraId="5A8B6305" w14:textId="77777777" w:rsidR="00B650E5" w:rsidRDefault="00B650E5" w:rsidP="0045286B">
      <w:pPr>
        <w:pStyle w:val="SRK4"/>
      </w:pPr>
      <w:bookmarkStart w:id="568" w:name="_Toc453234098"/>
      <w:bookmarkStart w:id="569" w:name="_Toc495649455"/>
      <w:bookmarkStart w:id="570" w:name="_Toc391991996"/>
      <w:bookmarkEnd w:id="567"/>
      <w:r>
        <w:t>4.1.1.2 Monitorovanie výkonnostného rámca</w:t>
      </w:r>
      <w:bookmarkEnd w:id="568"/>
      <w:bookmarkEnd w:id="569"/>
      <w:r>
        <w:t xml:space="preserve">  </w:t>
      </w:r>
      <w:bookmarkEnd w:id="570"/>
    </w:p>
    <w:p w14:paraId="3062AF27" w14:textId="77777777" w:rsidR="00B650E5" w:rsidRDefault="00B650E5">
      <w:pPr>
        <w:pStyle w:val="Odsekzoznamu"/>
        <w:numPr>
          <w:ilvl w:val="0"/>
          <w:numId w:val="168"/>
        </w:numPr>
        <w:spacing w:before="120" w:after="120"/>
        <w:ind w:left="426" w:hanging="426"/>
        <w:contextualSpacing w:val="0"/>
        <w:jc w:val="both"/>
        <w:rPr>
          <w:lang w:eastAsia="en-US"/>
        </w:rPr>
      </w:pPr>
      <w:r>
        <w:rPr>
          <w:lang w:eastAsia="en-US"/>
        </w:rPr>
        <w:t>CKO monitoruje stav plnenia čiastkových cieľov ukazovateľov do 31.12.2018 a stav plnenia zámerov ukazovateľov od roku 2019 do 31.12.2023  predstavujúcich výkonnostný rámec OP EŠIF za každý kalendárny rok realizovania programového obdobia 2014 - 2020 od roku 2014 až do roku 2023.</w:t>
      </w:r>
    </w:p>
    <w:p w14:paraId="54E63A11" w14:textId="7545E436" w:rsidR="00761325" w:rsidRDefault="00B650E5" w:rsidP="00997CB0">
      <w:pPr>
        <w:pStyle w:val="Odsekzoznamu"/>
        <w:numPr>
          <w:ilvl w:val="0"/>
          <w:numId w:val="168"/>
        </w:numPr>
        <w:spacing w:before="120" w:after="120"/>
        <w:ind w:left="426" w:hanging="426"/>
        <w:contextualSpacing w:val="0"/>
        <w:jc w:val="both"/>
        <w:rPr>
          <w:lang w:eastAsia="en-US"/>
        </w:rPr>
      </w:pPr>
      <w:r w:rsidRPr="00D349F1">
        <w:rPr>
          <w:lang w:eastAsia="en-US"/>
        </w:rPr>
        <w:t xml:space="preserve">CKO vypracováva súhrnnú informáciu o stave plnenia čiastkových cieľov ukazovateľov </w:t>
      </w:r>
      <w:r w:rsidRPr="00D349F1">
        <w:rPr>
          <w:lang w:eastAsia="en-US"/>
        </w:rPr>
        <w:br/>
        <w:t>do 31.12.2018 a o stave plnenia zámerov ukazovateľov od roku 2019 do 31.12.2023 za každý kalendárny rok realizovania programového obdobia 2014 – 2020</w:t>
      </w:r>
      <w:r>
        <w:rPr>
          <w:lang w:eastAsia="en-US"/>
        </w:rPr>
        <w:t>.</w:t>
      </w:r>
      <w:r w:rsidRPr="001C6862">
        <w:rPr>
          <w:lang w:eastAsia="en-US"/>
        </w:rPr>
        <w:t xml:space="preserve"> </w:t>
      </w:r>
    </w:p>
    <w:p w14:paraId="21E8D169" w14:textId="77777777" w:rsidR="00B650E5" w:rsidRPr="003F670C" w:rsidRDefault="00B650E5" w:rsidP="00B5005C">
      <w:pPr>
        <w:pStyle w:val="SRK4"/>
      </w:pPr>
      <w:bookmarkStart w:id="571" w:name="_Toc391991997"/>
      <w:bookmarkStart w:id="572" w:name="_Toc453234099"/>
      <w:bookmarkStart w:id="573" w:name="_Toc495649456"/>
      <w:bookmarkStart w:id="574" w:name="kapitola_4113"/>
      <w:r>
        <w:lastRenderedPageBreak/>
        <w:t>4.1.1.3 Správa o pokroku</w:t>
      </w:r>
      <w:bookmarkEnd w:id="571"/>
      <w:bookmarkEnd w:id="572"/>
      <w:bookmarkEnd w:id="573"/>
      <w:r w:rsidRPr="00997CB0">
        <w:t xml:space="preserve"> </w:t>
      </w:r>
    </w:p>
    <w:bookmarkEnd w:id="574"/>
    <w:p w14:paraId="7BB66708"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predloží do 31.08.2017 EK správu o pokroku pri vykonávaní PD (ďalej len „správa o pokroku“) k 31.12.2016 a do 31.08.2019 správu o pokroku k 31.12.2018. </w:t>
      </w:r>
    </w:p>
    <w:p w14:paraId="1F9B9F76" w14:textId="59770B6F" w:rsidR="00B650E5" w:rsidRDefault="00B650E5">
      <w:pPr>
        <w:pStyle w:val="Odsekzoznamu"/>
        <w:numPr>
          <w:ilvl w:val="0"/>
          <w:numId w:val="169"/>
        </w:numPr>
        <w:spacing w:before="120" w:after="120"/>
        <w:ind w:left="426" w:hanging="426"/>
        <w:contextualSpacing w:val="0"/>
        <w:jc w:val="both"/>
        <w:rPr>
          <w:lang w:eastAsia="en-US"/>
        </w:rPr>
      </w:pPr>
      <w:r>
        <w:rPr>
          <w:lang w:eastAsia="en-US"/>
        </w:rPr>
        <w:t>Správu o pokroku vypracuje a predloží v elektronickej forme CKO v rozsahu a definovanej štruktúre prostredníctvom SFC2014. Zdrojom dát pre správu o pokroku je ITMS 2014+ a informačný systém Pôdohospodárskej platobnej agentúry a výročné správy o vykonávaní OP. Časový rozsah generovania dát a informácií pre spracovanie správy o pokroku musí byť nastavený tak, aby sa zosúladil a koordinoval zber dát platných k </w:t>
      </w:r>
      <w:r>
        <w:rPr>
          <w:lang w:eastAsia="en-US"/>
        </w:rPr>
        <w:br/>
        <w:t>31.12.2016, resp. k 31.12.2018</w:t>
      </w:r>
      <w:r w:rsidR="007324D5">
        <w:rPr>
          <w:lang w:eastAsia="en-US"/>
        </w:rPr>
        <w:t>,</w:t>
      </w:r>
      <w:r>
        <w:rPr>
          <w:lang w:eastAsia="en-US"/>
        </w:rPr>
        <w:t xml:space="preserve"> a to v rámci ITMS 2014+, IS PPA a ďalších externých zdrojov.</w:t>
      </w:r>
    </w:p>
    <w:p w14:paraId="30412798"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zodpovedá za vypracovanie a predloženie správy o pokroku, pričom príslušné RO sú zodpovedné za rozsah, kvalitu, aktuálnosť a správnosť dát vkladaných do ITMS 2014+ </w:t>
      </w:r>
      <w:r>
        <w:rPr>
          <w:lang w:eastAsia="en-US"/>
        </w:rPr>
        <w:br/>
        <w:t>a v prípade EPFRV do IS PPA.</w:t>
      </w:r>
    </w:p>
    <w:p w14:paraId="4E98AEC3" w14:textId="46FE97B6"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Informácie k obsahu správy o pokroku </w:t>
      </w:r>
      <w:r w:rsidR="001A2595">
        <w:rPr>
          <w:lang w:eastAsia="en-US"/>
        </w:rPr>
        <w:t xml:space="preserve">upravuje </w:t>
      </w:r>
      <w:r>
        <w:rPr>
          <w:lang w:eastAsia="en-US"/>
        </w:rPr>
        <w:t>CKO v metodickom pokyne</w:t>
      </w:r>
      <w:r>
        <w:rPr>
          <w:rStyle w:val="Odkaznapoznmkupodiarou"/>
          <w:lang w:eastAsia="en-US"/>
        </w:rPr>
        <w:footnoteReference w:id="149"/>
      </w:r>
      <w:r>
        <w:rPr>
          <w:lang w:eastAsia="en-US"/>
        </w:rPr>
        <w:t xml:space="preserve">. </w:t>
      </w:r>
    </w:p>
    <w:p w14:paraId="52753FB0"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 podmienky, že táto požiadavka nespôsobí neodôvodnené omeškanie a že EK odôvodní, prečo považuje úroveň kvality a spoľahlivosti za nedostatočné. CKO poskytne EK požadované informácie do troch mesiacov a v prípade potreby náležite upraví správu o pokroku.</w:t>
      </w:r>
    </w:p>
    <w:p w14:paraId="77191C66" w14:textId="77777777" w:rsidR="00B650E5" w:rsidRDefault="00B650E5" w:rsidP="0045286B">
      <w:pPr>
        <w:pStyle w:val="SRK4"/>
      </w:pPr>
      <w:bookmarkStart w:id="575" w:name="_Toc453234100"/>
      <w:bookmarkStart w:id="576" w:name="_Toc495649457"/>
      <w:bookmarkStart w:id="577" w:name="_Toc391991998"/>
      <w:bookmarkStart w:id="578" w:name="kapitola_4114"/>
      <w:r>
        <w:t>4.1.1.4 Informácia o stave administratívnych kapacít subjektov zapojených do implementácie, riadenia a kontroly EŠIF</w:t>
      </w:r>
      <w:bookmarkEnd w:id="575"/>
      <w:bookmarkEnd w:id="576"/>
      <w:r>
        <w:t xml:space="preserve"> </w:t>
      </w:r>
      <w:bookmarkEnd w:id="577"/>
    </w:p>
    <w:bookmarkEnd w:id="578"/>
    <w:p w14:paraId="1963709D" w14:textId="49B2DB31" w:rsidR="00B650E5" w:rsidRDefault="00B650E5">
      <w:pPr>
        <w:pStyle w:val="Odsekzoznamu"/>
        <w:numPr>
          <w:ilvl w:val="0"/>
          <w:numId w:val="170"/>
        </w:numPr>
        <w:spacing w:before="120" w:after="120"/>
        <w:ind w:left="425" w:hanging="425"/>
        <w:contextualSpacing w:val="0"/>
        <w:jc w:val="both"/>
        <w:rPr>
          <w:lang w:eastAsia="en-US"/>
        </w:rPr>
      </w:pPr>
      <w:r>
        <w:rPr>
          <w:lang w:eastAsia="en-US"/>
        </w:rPr>
        <w:t>ÚV SR vypracuje Informáciu o stave administratívnych kapacít subjektov zapojených do implementácie, riadenia a kontroly EŠIF</w:t>
      </w:r>
      <w:r>
        <w:t xml:space="preserve"> (ďalej len </w:t>
      </w:r>
      <w:r>
        <w:rPr>
          <w:lang w:eastAsia="en-US"/>
        </w:rPr>
        <w:t>„informácia o stave AK“) raz ročne za rok „n“.</w:t>
      </w:r>
    </w:p>
    <w:p w14:paraId="16E3FEBF" w14:textId="41454993" w:rsidR="00B650E5" w:rsidRDefault="00B650E5">
      <w:pPr>
        <w:pStyle w:val="Odsekzoznamu"/>
        <w:numPr>
          <w:ilvl w:val="0"/>
          <w:numId w:val="170"/>
        </w:numPr>
        <w:spacing w:before="120" w:after="120"/>
        <w:ind w:left="425" w:hanging="425"/>
        <w:contextualSpacing w:val="0"/>
        <w:jc w:val="both"/>
        <w:rPr>
          <w:lang w:eastAsia="en-US"/>
        </w:rPr>
      </w:pPr>
      <w:r>
        <w:rPr>
          <w:lang w:eastAsia="en-US"/>
        </w:rPr>
        <w:t xml:space="preserve">Informácia o stave AK obsahuje prehľad o administratívnom zabezpečení subjektov zapojených do implementácie, riadenia a kontroly a auditu EŠIF a plnenie úloh vyplývajúcich </w:t>
      </w:r>
      <w:r w:rsidRPr="00997CB0">
        <w:t>z Centrálneho plánu vzdelávania AK EŠIF na programové obdobie 2014 -</w:t>
      </w:r>
      <w:r w:rsidR="008520E6">
        <w:t xml:space="preserve"> </w:t>
      </w:r>
      <w:r w:rsidRPr="00997CB0">
        <w:t>2020, účinného 1.3.2017</w:t>
      </w:r>
      <w:r w:rsidRPr="00803C14">
        <w:rPr>
          <w:lang w:eastAsia="en-US"/>
        </w:rPr>
        <w:t xml:space="preserve"> </w:t>
      </w:r>
      <w:r>
        <w:rPr>
          <w:lang w:eastAsia="en-US"/>
        </w:rPr>
        <w:t xml:space="preserve">v súlade s ustanoveniami PD. </w:t>
      </w:r>
    </w:p>
    <w:p w14:paraId="43B09258" w14:textId="01732A33" w:rsidR="00B650E5" w:rsidRDefault="00460F21" w:rsidP="00997CB0">
      <w:pPr>
        <w:pStyle w:val="Odsekzoznamu"/>
        <w:numPr>
          <w:ilvl w:val="0"/>
          <w:numId w:val="170"/>
        </w:numPr>
        <w:spacing w:before="120" w:after="120"/>
        <w:ind w:left="426" w:hanging="426"/>
        <w:contextualSpacing w:val="0"/>
        <w:jc w:val="both"/>
        <w:rPr>
          <w:lang w:eastAsia="en-US"/>
        </w:rPr>
      </w:pPr>
      <w:r>
        <w:rPr>
          <w:lang w:eastAsia="en-US"/>
        </w:rPr>
        <w:t xml:space="preserve">Informácia o stave AK EŠIF je po schválení vedúcim </w:t>
      </w:r>
      <w:r w:rsidR="00B650E5">
        <w:rPr>
          <w:lang w:eastAsia="en-US"/>
        </w:rPr>
        <w:t>ÚV SR zverejn</w:t>
      </w:r>
      <w:r>
        <w:rPr>
          <w:lang w:eastAsia="en-US"/>
        </w:rPr>
        <w:t>ená</w:t>
      </w:r>
      <w:r w:rsidR="00B650E5">
        <w:rPr>
          <w:lang w:eastAsia="en-US"/>
        </w:rPr>
        <w:t xml:space="preserve"> na webovom sídle </w:t>
      </w:r>
      <w:hyperlink r:id="rId212" w:history="1">
        <w:r w:rsidRPr="00E83E90">
          <w:rPr>
            <w:rStyle w:val="Hypertextovprepojenie"/>
          </w:rPr>
          <w:t>www.partnerskadohoda.gov.sk</w:t>
        </w:r>
      </w:hyperlink>
      <w:r>
        <w:t xml:space="preserve"> a na webovom sídle gestora AK EŠIF </w:t>
      </w:r>
      <w:r w:rsidRPr="00460F21">
        <w:t>https://cpv.vlada.gov.sk/</w:t>
      </w:r>
      <w:r w:rsidR="00B650E5">
        <w:rPr>
          <w:lang w:eastAsia="en-US"/>
        </w:rPr>
        <w:t>.</w:t>
      </w:r>
    </w:p>
    <w:p w14:paraId="67EB1335" w14:textId="3ABEAD93" w:rsidR="00B650E5" w:rsidRDefault="00B650E5">
      <w:pPr>
        <w:pStyle w:val="Odsekzoznamu"/>
        <w:numPr>
          <w:ilvl w:val="0"/>
          <w:numId w:val="170"/>
        </w:numPr>
        <w:spacing w:before="120" w:after="120"/>
        <w:ind w:left="425" w:hanging="425"/>
        <w:contextualSpacing w:val="0"/>
        <w:jc w:val="both"/>
        <w:rPr>
          <w:lang w:eastAsia="en-US"/>
        </w:rPr>
      </w:pPr>
      <w:r>
        <w:rPr>
          <w:lang w:eastAsia="en-US"/>
        </w:rPr>
        <w:t>ÚOŠS v spolupráci so subjektmi zapojenými do implementácie, riadenia a kontroly EŠIF predložia ÚV SR údaje do informácie o stave AK</w:t>
      </w:r>
      <w:r w:rsidR="005E7791">
        <w:rPr>
          <w:lang w:eastAsia="en-US"/>
        </w:rPr>
        <w:t xml:space="preserve"> v termíne, stanovenom v metodickom pokyne</w:t>
      </w:r>
      <w:r>
        <w:rPr>
          <w:rStyle w:val="Odkaznapoznmkupodiarou"/>
          <w:lang w:eastAsia="en-US"/>
        </w:rPr>
        <w:footnoteReference w:id="150"/>
      </w:r>
      <w:r>
        <w:rPr>
          <w:lang w:eastAsia="en-US"/>
        </w:rPr>
        <w:t xml:space="preserve">. </w:t>
      </w:r>
    </w:p>
    <w:p w14:paraId="404CBEE8" w14:textId="77777777" w:rsidR="00B650E5" w:rsidRDefault="00B650E5" w:rsidP="0045286B">
      <w:pPr>
        <w:pStyle w:val="SRK4"/>
      </w:pPr>
      <w:bookmarkStart w:id="579" w:name="_Toc453234101"/>
      <w:bookmarkStart w:id="580" w:name="_Toc495649458"/>
      <w:r>
        <w:t>4.1.1.5 Monitorovanie plnenia akčných plánov na splnenie ex ante kondicionalít</w:t>
      </w:r>
      <w:bookmarkEnd w:id="579"/>
      <w:bookmarkEnd w:id="580"/>
      <w:r>
        <w:t xml:space="preserve">    </w:t>
      </w:r>
    </w:p>
    <w:p w14:paraId="5B449E46" w14:textId="4015A184" w:rsidR="00B650E5" w:rsidRPr="00625864" w:rsidRDefault="00B650E5" w:rsidP="00625864">
      <w:pPr>
        <w:pStyle w:val="Odsekzoznamu"/>
        <w:numPr>
          <w:ilvl w:val="0"/>
          <w:numId w:val="388"/>
        </w:numPr>
        <w:spacing w:before="120" w:after="120"/>
        <w:ind w:left="425" w:hanging="425"/>
        <w:contextualSpacing w:val="0"/>
        <w:jc w:val="both"/>
        <w:rPr>
          <w:lang w:eastAsia="en-US"/>
        </w:rPr>
      </w:pPr>
      <w:r w:rsidRPr="00625864">
        <w:rPr>
          <w:lang w:eastAsia="en-US"/>
        </w:rPr>
        <w:t>CKO monitoruje plnenie akčných plánov na splnenie ex ante kondicionalít, ktoré neboli splnené k termínu schválenia PD, respektíve OP</w:t>
      </w:r>
      <w:r>
        <w:rPr>
          <w:lang w:eastAsia="en-US"/>
        </w:rPr>
        <w:t xml:space="preserve"> až do doby schválenia zo strany EK.</w:t>
      </w:r>
    </w:p>
    <w:p w14:paraId="7278D505" w14:textId="77777777" w:rsidR="00B650E5" w:rsidRPr="00625864" w:rsidRDefault="00B650E5" w:rsidP="00625864">
      <w:pPr>
        <w:pStyle w:val="Odsekzoznamu"/>
        <w:numPr>
          <w:ilvl w:val="0"/>
          <w:numId w:val="388"/>
        </w:numPr>
        <w:spacing w:before="120" w:after="120"/>
        <w:ind w:left="425" w:hanging="425"/>
        <w:contextualSpacing w:val="0"/>
        <w:jc w:val="both"/>
        <w:rPr>
          <w:lang w:eastAsia="en-US"/>
        </w:rPr>
      </w:pPr>
      <w:r w:rsidRPr="00625864">
        <w:rPr>
          <w:lang w:eastAsia="en-US"/>
        </w:rPr>
        <w:t>Za plnenie akčných plánov na splnenie ex ante kondicionalít sú zodpovední určení gestori</w:t>
      </w:r>
      <w:r>
        <w:rPr>
          <w:rStyle w:val="Odkaznapoznmkupodiarou"/>
          <w:lang w:eastAsia="en-US"/>
        </w:rPr>
        <w:footnoteReference w:id="151"/>
      </w:r>
      <w:r w:rsidRPr="00625864">
        <w:rPr>
          <w:lang w:eastAsia="en-US"/>
        </w:rPr>
        <w:t>.</w:t>
      </w:r>
    </w:p>
    <w:p w14:paraId="209108BF" w14:textId="77777777" w:rsidR="00B650E5" w:rsidRPr="00625864" w:rsidRDefault="00B650E5" w:rsidP="000D20BF">
      <w:pPr>
        <w:pStyle w:val="Odsekzoznamu"/>
        <w:numPr>
          <w:ilvl w:val="0"/>
          <w:numId w:val="388"/>
        </w:numPr>
        <w:spacing w:before="120" w:after="120"/>
        <w:ind w:left="425" w:hanging="425"/>
        <w:contextualSpacing w:val="0"/>
        <w:jc w:val="both"/>
        <w:rPr>
          <w:lang w:eastAsia="en-US"/>
        </w:rPr>
      </w:pPr>
      <w:r w:rsidRPr="00625864">
        <w:rPr>
          <w:lang w:eastAsia="en-US"/>
        </w:rPr>
        <w:lastRenderedPageBreak/>
        <w:t xml:space="preserve">Gestori ex ante kondicionalít priebežne informujú CKO a EK o pokroku v plnení akčných plánov na splnenie ex ante kondicionalít v zmysle usmernenia CKO. </w:t>
      </w:r>
    </w:p>
    <w:p w14:paraId="77093876" w14:textId="77777777" w:rsidR="00B650E5" w:rsidRPr="00625864" w:rsidRDefault="00B650E5">
      <w:pPr>
        <w:pStyle w:val="Odsekzoznamu"/>
        <w:numPr>
          <w:ilvl w:val="0"/>
          <w:numId w:val="388"/>
        </w:numPr>
        <w:spacing w:before="120" w:after="120"/>
        <w:ind w:left="425" w:hanging="425"/>
        <w:contextualSpacing w:val="0"/>
        <w:jc w:val="both"/>
        <w:rPr>
          <w:lang w:eastAsia="en-US"/>
        </w:rPr>
      </w:pPr>
      <w:r w:rsidRPr="00625864">
        <w:rPr>
          <w:lang w:eastAsia="en-US"/>
        </w:rPr>
        <w:t>Gestori ex ante kondicionalít zasielajú CKO sumárny odpočet plnenia opatrení akčných plánov pre splnenie ex ante kondicionalít</w:t>
      </w:r>
      <w:r w:rsidR="006F3B93">
        <w:rPr>
          <w:lang w:eastAsia="en-US"/>
        </w:rPr>
        <w:t>,</w:t>
      </w:r>
      <w:r w:rsidRPr="00625864">
        <w:rPr>
          <w:lang w:eastAsia="en-US"/>
        </w:rPr>
        <w:t xml:space="preserve"> ako aj aktuálne znenie vyhodnotenia plnenia ex ante kondicionalít každoročne do 31.01. a 31.07. až do preukázania splnenia ex ante kondicionalít.</w:t>
      </w:r>
    </w:p>
    <w:p w14:paraId="0F9EB10C" w14:textId="77777777" w:rsidR="00B650E5" w:rsidRDefault="00B650E5" w:rsidP="00997CB0">
      <w:pPr>
        <w:pStyle w:val="SRK4"/>
      </w:pPr>
      <w:bookmarkStart w:id="581" w:name="_Toc495649459"/>
      <w:r>
        <w:t>4.1.1.6 Monitorovanie plnenia Záväzných plánov</w:t>
      </w:r>
      <w:bookmarkEnd w:id="581"/>
      <w:r>
        <w:t xml:space="preserve"> </w:t>
      </w:r>
    </w:p>
    <w:p w14:paraId="55FAC32B" w14:textId="77777777" w:rsidR="00B650E5" w:rsidRPr="00922ACA" w:rsidRDefault="00B650E5" w:rsidP="008430F2">
      <w:pPr>
        <w:pStyle w:val="Odsekzoznamu"/>
        <w:numPr>
          <w:ilvl w:val="0"/>
          <w:numId w:val="410"/>
        </w:numPr>
        <w:spacing w:before="120" w:after="120"/>
        <w:ind w:left="425" w:hanging="425"/>
        <w:contextualSpacing w:val="0"/>
        <w:jc w:val="both"/>
        <w:rPr>
          <w:lang w:eastAsia="en-US"/>
        </w:rPr>
      </w:pPr>
      <w:r w:rsidRPr="00922ACA">
        <w:rPr>
          <w:lang w:eastAsia="en-US"/>
        </w:rPr>
        <w:t>CKO po konzultácii s RO schváli záväzný plán OP na rok n do 31.03. roku n.</w:t>
      </w:r>
    </w:p>
    <w:p w14:paraId="101E301A"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priebežne monitoruje plnenie záväzných plánov jednotlivých OP.</w:t>
      </w:r>
    </w:p>
    <w:p w14:paraId="71280300"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každoročne vyhodnotí plnenie záväzných plánov jednotlivých OP.</w:t>
      </w:r>
    </w:p>
    <w:p w14:paraId="270801A0" w14:textId="77777777" w:rsidR="00B650E5" w:rsidRDefault="00B650E5">
      <w:pPr>
        <w:pStyle w:val="SRK3"/>
      </w:pPr>
      <w:bookmarkStart w:id="582" w:name="_Toc390160799"/>
      <w:bookmarkStart w:id="583" w:name="_Toc391991999"/>
      <w:bookmarkStart w:id="584" w:name="_Toc453234102"/>
      <w:bookmarkStart w:id="585" w:name="_Toc495649460"/>
      <w:r>
        <w:t>4.1.2 Monitorovanie na úrovni operačného programu</w:t>
      </w:r>
      <w:bookmarkEnd w:id="582"/>
      <w:bookmarkEnd w:id="583"/>
      <w:bookmarkEnd w:id="584"/>
      <w:bookmarkEnd w:id="585"/>
    </w:p>
    <w:p w14:paraId="79331CE1" w14:textId="77777777" w:rsidR="00B650E5" w:rsidRDefault="00B650E5" w:rsidP="0045286B">
      <w:pPr>
        <w:pStyle w:val="SRK4"/>
      </w:pPr>
      <w:bookmarkStart w:id="586" w:name="_Toc391992000"/>
      <w:bookmarkStart w:id="587" w:name="_Toc453234103"/>
      <w:bookmarkStart w:id="588" w:name="_Toc495649461"/>
      <w:r>
        <w:t>4.1.2.1 Výročné hodnotiace zasadnutie</w:t>
      </w:r>
      <w:bookmarkEnd w:id="586"/>
      <w:bookmarkEnd w:id="587"/>
      <w:bookmarkEnd w:id="588"/>
      <w:r>
        <w:t xml:space="preserve"> </w:t>
      </w:r>
    </w:p>
    <w:p w14:paraId="38E7E810"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EK a každého členského štátu organizuje EK každý rok od roku 2016 do roku 2023 vrátane, s cieľom preskúmať výkonnosť každého OP, pričom sa zoberú do úvahy výročné správy o vykonávaní OP a podľa potreby aj pripomienky a odporúčania EK. Členský štát a Komisia sa môžu dohodnúť, že nezorganizujú výročné hodnotiace zasadnutie týkajúce sa niektorého OP v iných rokoch než v rokoch 2017 a 2019.</w:t>
      </w:r>
    </w:p>
    <w:p w14:paraId="33BE7F43"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sa môže týkať viacerých OP. V rokoch 2017 a 2019 sa výročné hodnotiace zasadnutia budú týkať všetkých OP v členskom štáte a zohľadnia aj predložené správy o  pokroku.</w:t>
      </w:r>
    </w:p>
    <w:p w14:paraId="2E24F1D3"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Výročnému hodnotiacemu zasadnutiu predsedá EK alebo v prípade, keď EK požiada CKO, výročnému hodnotiacemu zasadnutiu predsedajú CKO a EK spolu.</w:t>
      </w:r>
    </w:p>
    <w:p w14:paraId="5A5E063D"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CKO zabezpečí, aby sa všetky pripomienky EK po zasadnutí riadne preskúmali, a to vzhľadom na otázky, ktoré výrazným spôsobom ovplyvňujú vykonávanie OP a v prípade potreby informuje EK do troch mesiacov o prijatí opatrení.</w:t>
      </w:r>
    </w:p>
    <w:p w14:paraId="64224326" w14:textId="77777777" w:rsidR="00B650E5" w:rsidRDefault="00B650E5" w:rsidP="0045286B">
      <w:pPr>
        <w:pStyle w:val="SRK4"/>
      </w:pPr>
      <w:bookmarkStart w:id="589" w:name="_Toc391992001"/>
      <w:bookmarkStart w:id="590" w:name="_Toc453234104"/>
      <w:bookmarkStart w:id="591" w:name="_Toc495649462"/>
      <w:r>
        <w:t>4.1.2.2 Výročná správa/záverečná správa o vykonávaní operačného programu</w:t>
      </w:r>
      <w:bookmarkEnd w:id="589"/>
      <w:bookmarkEnd w:id="590"/>
      <w:bookmarkEnd w:id="591"/>
      <w:r>
        <w:t xml:space="preserve"> </w:t>
      </w:r>
    </w:p>
    <w:p w14:paraId="1E22E917" w14:textId="77777777" w:rsidR="00B650E5" w:rsidRDefault="00B650E5">
      <w:pPr>
        <w:pStyle w:val="Odsekzoznamu"/>
        <w:numPr>
          <w:ilvl w:val="3"/>
          <w:numId w:val="9"/>
        </w:numPr>
        <w:spacing w:before="120" w:after="120"/>
        <w:ind w:left="425" w:hanging="425"/>
        <w:contextualSpacing w:val="0"/>
        <w:jc w:val="both"/>
        <w:rPr>
          <w:lang w:eastAsia="en-US"/>
        </w:rPr>
      </w:pPr>
      <w:r>
        <w:rPr>
          <w:lang w:eastAsia="en-US"/>
        </w:rPr>
        <w:t>RO vypracuje výročnú/záverečnú správu o vykonávaní OP (ďalej len „výročná/záverečná správa“)</w:t>
      </w:r>
      <w:r>
        <w:rPr>
          <w:rStyle w:val="Odkaznapoznmkupodiarou"/>
          <w:lang w:eastAsia="en-US"/>
        </w:rPr>
        <w:footnoteReference w:id="152"/>
      </w:r>
      <w:r>
        <w:rPr>
          <w:lang w:eastAsia="en-US"/>
        </w:rPr>
        <w:t xml:space="preserve">. </w:t>
      </w:r>
    </w:p>
    <w:p w14:paraId="3C54E641" w14:textId="34E10DA3" w:rsidR="00B650E5" w:rsidRDefault="00B650E5">
      <w:pPr>
        <w:pStyle w:val="Odsekzoznamu"/>
        <w:numPr>
          <w:ilvl w:val="3"/>
          <w:numId w:val="9"/>
        </w:numPr>
        <w:spacing w:before="120" w:after="120"/>
        <w:ind w:left="425" w:hanging="425"/>
        <w:contextualSpacing w:val="0"/>
        <w:jc w:val="both"/>
        <w:rPr>
          <w:lang w:eastAsia="en-US"/>
        </w:rPr>
      </w:pPr>
      <w:r>
        <w:t>Výročná/záverečná správa hodnotí pokrok v implementácii OP na základe finančných údajov, hodnôt merateľných ukazovateľov, kvalitatívnej analýzy stavu implementácie vo vzťahu k</w:t>
      </w:r>
      <w:r w:rsidR="00AC25A3">
        <w:t> </w:t>
      </w:r>
      <w:r>
        <w:t xml:space="preserve">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finančné nástroje, zaradí do obsahu výročnej/záverečnej správy aj správu o vykonávaní finančných nástrojov. </w:t>
      </w:r>
    </w:p>
    <w:p w14:paraId="20122FB8" w14:textId="77777777" w:rsidR="00B650E5" w:rsidRDefault="00B650E5">
      <w:pPr>
        <w:pStyle w:val="Odsekzoznamu"/>
        <w:numPr>
          <w:ilvl w:val="3"/>
          <w:numId w:val="9"/>
        </w:numPr>
        <w:spacing w:before="120" w:after="120"/>
        <w:ind w:left="425" w:hanging="425"/>
        <w:contextualSpacing w:val="0"/>
        <w:jc w:val="both"/>
        <w:rPr>
          <w:lang w:eastAsia="en-US"/>
        </w:rPr>
      </w:pPr>
      <w:r>
        <w:t>Údaje poskytované vo výročnej/záverečnej správe sa týkajú hodnôt ukazovateľov plne vykonaných operácií, a ak je to so zreteľom na štádium vykonávania možné, aj vybraných operácií, v prípade podpory z ESF budú vykazované údaje aj za neukončené operácie.</w:t>
      </w:r>
    </w:p>
    <w:p w14:paraId="74BD7318" w14:textId="77777777" w:rsidR="00B650E5" w:rsidRDefault="00B650E5">
      <w:pPr>
        <w:pStyle w:val="Odsekzoznamu"/>
        <w:numPr>
          <w:ilvl w:val="3"/>
          <w:numId w:val="9"/>
        </w:numPr>
        <w:spacing w:before="120" w:after="120"/>
        <w:ind w:left="425" w:hanging="425"/>
        <w:contextualSpacing w:val="0"/>
        <w:jc w:val="both"/>
        <w:rPr>
          <w:i/>
        </w:rPr>
      </w:pPr>
      <w:r>
        <w:t>Výročná/záverečná správa obsahuje:</w:t>
      </w:r>
    </w:p>
    <w:p w14:paraId="22F543FA"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lastRenderedPageBreak/>
        <w:t xml:space="preserve">finančné údaje; </w:t>
      </w:r>
    </w:p>
    <w:p w14:paraId="363D82CC"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spoločné a špecifické ukazovatele výstupov; </w:t>
      </w:r>
    </w:p>
    <w:p w14:paraId="70CF8FB1"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cieľové hodnoty ukazovateľov výsledkov, vrátane prípadných zmien;</w:t>
      </w:r>
    </w:p>
    <w:p w14:paraId="65C8735B"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čiastkové ciele stanovené vo výkonnostnom rámci (počnúc výročnou správou za rok 2016);</w:t>
      </w:r>
    </w:p>
    <w:p w14:paraId="55FE6637"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súhrn zistení všetkých hodnotení OP, ktoré sa stali dostupnými v predchádzajúcom rozpočtovom roku;</w:t>
      </w:r>
    </w:p>
    <w:p w14:paraId="1BA424FF"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problémy, ktoré ovplyvňujú výkonnosť OP a prijaté opatrenia;</w:t>
      </w:r>
    </w:p>
    <w:p w14:paraId="032C1C63"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opatrenia, ktoré boli prijaté s cieľom splniť ex ante kondicionality;</w:t>
      </w:r>
    </w:p>
    <w:p w14:paraId="4E49BBF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pokroku dosiahnutom v rámci prípravy a realizácie veľkých projektov a SAP;</w:t>
      </w:r>
    </w:p>
    <w:p w14:paraId="7DBC9678"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finančných nástrojov;</w:t>
      </w:r>
    </w:p>
    <w:p w14:paraId="46E58316"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Iniciatívy na podporu zamestnanosti mladých ľudí.</w:t>
      </w:r>
    </w:p>
    <w:p w14:paraId="6DE2C8D1" w14:textId="77777777" w:rsidR="00B650E5" w:rsidRDefault="00B650E5">
      <w:pPr>
        <w:autoSpaceDE w:val="0"/>
        <w:autoSpaceDN w:val="0"/>
        <w:adjustRightInd w:val="0"/>
        <w:spacing w:before="120" w:after="120"/>
        <w:ind w:left="426"/>
        <w:jc w:val="both"/>
        <w:rPr>
          <w:color w:val="000000"/>
          <w:lang w:eastAsia="en-US"/>
        </w:rPr>
      </w:pPr>
      <w:r>
        <w:rPr>
          <w:color w:val="000000"/>
          <w:lang w:eastAsia="en-US"/>
        </w:rPr>
        <w:t>RO predkladá EK pre každú PO alebo jej časť elektronicky štruktúrované údaje na podloženie Iniciatívy na podporu zamestnanosti mladých. Počiatočným termínom na predkladanie údajov je apríl 2015. RO predkladá uvedené údaje v rovnakom termíne ako výročnú správu. S výnimkou informácie predkladanej v roku 2015 sú tieto štruktúrované údaje predkladané ako súčasť výročnej správy.</w:t>
      </w:r>
    </w:p>
    <w:p w14:paraId="303EF45C" w14:textId="77777777" w:rsidR="00B650E5" w:rsidRDefault="00B650E5">
      <w:pPr>
        <w:spacing w:before="120" w:after="120"/>
        <w:ind w:left="426"/>
        <w:jc w:val="both"/>
      </w:pPr>
      <w:r>
        <w:t xml:space="preserve">Obsah výročných správ sa mení aj v závislosti na roku predkladania výročnej správy. </w:t>
      </w:r>
    </w:p>
    <w:p w14:paraId="7A313FC4" w14:textId="77777777" w:rsidR="00B650E5" w:rsidRDefault="00B650E5">
      <w:pPr>
        <w:pStyle w:val="Odsekzoznamu"/>
        <w:numPr>
          <w:ilvl w:val="3"/>
          <w:numId w:val="9"/>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14:paraId="4E6833F2"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pri plnení plánu hodnotenia a následných opatrení prijatých vzhľadom na zistenia hodnotení;</w:t>
      </w:r>
    </w:p>
    <w:p w14:paraId="0E9D9A91"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 xml:space="preserve">výsledky opatrení fondov na informovanie a publicitu realizovaných v rámci komunikačnej stratégie; </w:t>
      </w:r>
    </w:p>
    <w:p w14:paraId="4F3F635F"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zapojenie partnerov do vykonávania, monitorovania a hodnotenia OP;</w:t>
      </w:r>
    </w:p>
    <w:p w14:paraId="4DD42447"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v rámci prípravy a realizácie veľkých projektov a SAP.</w:t>
      </w:r>
    </w:p>
    <w:p w14:paraId="5E809FCB" w14:textId="77777777" w:rsidR="00B650E5" w:rsidRDefault="00B650E5">
      <w:pPr>
        <w:pStyle w:val="Odsekzoznamu"/>
        <w:numPr>
          <w:ilvl w:val="3"/>
          <w:numId w:val="9"/>
        </w:numPr>
        <w:spacing w:before="120" w:after="120"/>
        <w:ind w:left="425" w:hanging="425"/>
        <w:contextualSpacing w:val="0"/>
        <w:jc w:val="both"/>
      </w:pPr>
      <w:r>
        <w:t>Výročná správa predkladaná v roku 2017 obsahuje aj informácie o:</w:t>
      </w:r>
    </w:p>
    <w:p w14:paraId="077F0D16"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 xml:space="preserve">pokroku dosiahnutom pri dosahovaní cieľov OP, vrátane príspevku EŠIF      </w:t>
      </w:r>
      <w:r>
        <w:rPr>
          <w:color w:val="000000"/>
          <w:lang w:eastAsia="en-US"/>
        </w:rPr>
        <w:br/>
        <w:t>k zmenám hodnoty ukazovateľov výsledkov, ak o tom hodnotenia OP poskytujú dôkaz;</w:t>
      </w:r>
    </w:p>
    <w:p w14:paraId="3025AC68"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opatreniach prijatých na podporu HP rovnosti mužov a žien, nediskriminácie, ako aj udržateľného rozvoja;</w:t>
      </w:r>
    </w:p>
    <w:p w14:paraId="3053DA17"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úlohách partnerov v rámci vykonávania OP;</w:t>
      </w:r>
    </w:p>
    <w:p w14:paraId="1BE262B3"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podpore použitej na ciele súvisiace so zmenou klímy.</w:t>
      </w:r>
    </w:p>
    <w:p w14:paraId="56F1254C" w14:textId="77777777" w:rsidR="00B650E5" w:rsidRDefault="00B650E5">
      <w:pPr>
        <w:pStyle w:val="Odsekzoznamu"/>
        <w:numPr>
          <w:ilvl w:val="3"/>
          <w:numId w:val="9"/>
        </w:numPr>
        <w:spacing w:before="120" w:after="120"/>
        <w:ind w:left="425" w:hanging="425"/>
        <w:contextualSpacing w:val="0"/>
        <w:jc w:val="both"/>
      </w:pPr>
      <w:r>
        <w:t xml:space="preserve">Výročná správa predkladaná v roku 2019/záverečná správa obsahuje aj informácie o: </w:t>
      </w:r>
    </w:p>
    <w:p w14:paraId="7C30BE41" w14:textId="77777777" w:rsidR="00B650E5" w:rsidRDefault="00B650E5">
      <w:pPr>
        <w:numPr>
          <w:ilvl w:val="0"/>
          <w:numId w:val="182"/>
        </w:numPr>
        <w:autoSpaceDE w:val="0"/>
        <w:autoSpaceDN w:val="0"/>
        <w:adjustRightInd w:val="0"/>
        <w:spacing w:before="120" w:after="120"/>
        <w:ind w:left="851" w:hanging="425"/>
        <w:jc w:val="both"/>
        <w:rPr>
          <w:color w:val="000000"/>
          <w:lang w:eastAsia="en-US"/>
        </w:rPr>
      </w:pPr>
      <w:r>
        <w:rPr>
          <w:color w:val="000000"/>
          <w:lang w:eastAsia="en-US"/>
        </w:rPr>
        <w:t>plnení cieľov OP a jeho príspevku k napĺňaniu stratégie Európa 2020 a posúdenie pokroku pri plnení týchto cieľov.</w:t>
      </w:r>
    </w:p>
    <w:p w14:paraId="74FFC829" w14:textId="77777777" w:rsidR="00B650E5" w:rsidRDefault="00B650E5">
      <w:pPr>
        <w:pStyle w:val="Odsekzoznamu"/>
        <w:numPr>
          <w:ilvl w:val="3"/>
          <w:numId w:val="9"/>
        </w:numPr>
        <w:spacing w:before="120" w:after="120"/>
        <w:ind w:left="425" w:hanging="425"/>
        <w:contextualSpacing w:val="0"/>
        <w:jc w:val="both"/>
      </w:pPr>
      <w:r>
        <w:t>Výročné správy predložené v rokoch 2017 a 2019 môžu v závislosti od obsahu cieľov OP stanoviť informácie a posúdiť nasledujúce:</w:t>
      </w:r>
    </w:p>
    <w:p w14:paraId="13AEB32D"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lastRenderedPageBreak/>
        <w:t>pokrok dosiahnutý pri uplatnení integrovaného prístupu k územnému rozvoju vrátane rozvoja regiónov s nepriaznivými demografickými podmienkami a trvalými alebo prírodnými znevýhodneniami, UMR a CLLD podľa OP;</w:t>
      </w:r>
    </w:p>
    <w:p w14:paraId="301C7694"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opatrení na posilnenie kapacity orgánov členského štátu a prijímateľov na spravovanie a využívanie EŠIF;</w:t>
      </w:r>
    </w:p>
    <w:p w14:paraId="4EFDCC34"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všetkých medziregionálnych a nadnárodných opatrení;</w:t>
      </w:r>
    </w:p>
    <w:p w14:paraId="798FC8D2"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v príslušných prípadoch príspevok k stratégiám pre makroregióny; </w:t>
      </w:r>
    </w:p>
    <w:p w14:paraId="1C1809A4"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osobitné opatrenia prijaté s cieľom podporiť rovnosť mužov a žien a predchádzať diskriminácii, najmä zabezpečenie prístupu pre osoby so zdravotným postihnutím; </w:t>
      </w:r>
    </w:p>
    <w:p w14:paraId="61369B0A"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opatrenia prijaté na presadzovanie trvalo udržateľného rozvoja; </w:t>
      </w:r>
    </w:p>
    <w:p w14:paraId="06E6ACE5"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v príslušných prípadoch pokrok dosiahnutý pri vykonávaní opatrení v oblasti sociálnej inovácie;</w:t>
      </w:r>
    </w:p>
    <w:p w14:paraId="5A8393FF"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marginalizované komunity, osoby so zdravotným postihnutím, dlhodobo nezamestnaných a nezamestnaných mladých ľudí, prípadne vrátane použitých finančných prostriedkov.</w:t>
      </w:r>
    </w:p>
    <w:p w14:paraId="04D1906E" w14:textId="77777777" w:rsidR="00B650E5" w:rsidRDefault="00B650E5">
      <w:pPr>
        <w:pStyle w:val="Odsekzoznamu"/>
        <w:numPr>
          <w:ilvl w:val="3"/>
          <w:numId w:val="9"/>
        </w:numPr>
        <w:spacing w:before="120" w:after="120"/>
        <w:ind w:left="425" w:hanging="425"/>
        <w:contextualSpacing w:val="0"/>
        <w:jc w:val="both"/>
      </w:pPr>
      <w:r>
        <w:t xml:space="preserve">RO predkladá výročnú správu za rok n po schválení členmi MV cez systém SFC2014 EK </w:t>
      </w:r>
      <w:r>
        <w:br/>
        <w:t xml:space="preserve">do 31.05. roku n+1. Prvú správu predloží RO v roku 2016 a následne každý rok až do roku 2023 vrátane. Výročná správa predkladaná v roku 2016 sa týka rozpočtových rokov 2014 a 2015, ako aj obdobia od počiatočného dátumu oprávnenosti výdavkov do 31.12.2013. (v prípade výdavkov v rámci Iniciatívy na podporu zamestnanosti mladých, ktoré sú oprávnené </w:t>
      </w:r>
      <w:r>
        <w:br/>
        <w:t>od 01.09.2013).</w:t>
      </w:r>
    </w:p>
    <w:p w14:paraId="769E89EC" w14:textId="77777777" w:rsidR="00B650E5" w:rsidRDefault="00B650E5">
      <w:pPr>
        <w:pStyle w:val="Odsekzoznamu"/>
        <w:numPr>
          <w:ilvl w:val="3"/>
          <w:numId w:val="9"/>
        </w:numPr>
        <w:spacing w:before="120" w:after="120"/>
        <w:ind w:left="425" w:hanging="425"/>
        <w:contextualSpacing w:val="0"/>
        <w:jc w:val="both"/>
      </w:pPr>
      <w:r>
        <w:t xml:space="preserve">Pre správy predkladané v roku 2017 a 2019 platí termín predloženia do 30.06. roku n+1. </w:t>
      </w:r>
    </w:p>
    <w:p w14:paraId="3B1E2B41" w14:textId="77777777" w:rsidR="00B650E5" w:rsidRDefault="00B650E5">
      <w:pPr>
        <w:pStyle w:val="Odsekzoznamu"/>
        <w:numPr>
          <w:ilvl w:val="3"/>
          <w:numId w:val="9"/>
        </w:numPr>
        <w:spacing w:before="120" w:after="120"/>
        <w:ind w:left="425" w:hanging="425"/>
        <w:contextualSpacing w:val="0"/>
        <w:jc w:val="both"/>
      </w:pPr>
      <w:r>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14:paraId="0F6E34A8" w14:textId="5B6AAD8C" w:rsidR="00B650E5" w:rsidRDefault="00B650E5">
      <w:pPr>
        <w:pStyle w:val="Odsekzoznamu"/>
        <w:numPr>
          <w:ilvl w:val="3"/>
          <w:numId w:val="9"/>
        </w:numPr>
        <w:spacing w:before="120" w:after="120"/>
        <w:ind w:left="425" w:hanging="425"/>
        <w:contextualSpacing w:val="0"/>
        <w:jc w:val="both"/>
      </w:pPr>
      <w:r>
        <w:t>RO predkladá EK v prípade  fondov (</w:t>
      </w:r>
      <w:r w:rsidR="00C93F30">
        <w:t xml:space="preserve">t. j. </w:t>
      </w:r>
      <w:r>
        <w:t>EFRR, ESF a KF)  aj záverečnú správu po ukončení OP. V prípade EPFRV a ENRF predkladá RO iba výročnú správu do konca lehoty stanovenej v</w:t>
      </w:r>
      <w:r w:rsidR="00AC25A3">
        <w:t> </w:t>
      </w:r>
      <w:r>
        <w:t>nariadeniach týkajúcich sa jednotlivých fondov.</w:t>
      </w:r>
    </w:p>
    <w:p w14:paraId="11E6D4EB" w14:textId="77777777" w:rsidR="00B650E5" w:rsidRDefault="00B650E5">
      <w:pPr>
        <w:pStyle w:val="Odsekzoznamu"/>
        <w:numPr>
          <w:ilvl w:val="3"/>
          <w:numId w:val="9"/>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14:paraId="5F830493" w14:textId="77777777" w:rsidR="00B650E5" w:rsidRDefault="00B650E5">
      <w:pPr>
        <w:pStyle w:val="Odsekzoznamu"/>
        <w:numPr>
          <w:ilvl w:val="3"/>
          <w:numId w:val="9"/>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14:paraId="40536700" w14:textId="77777777" w:rsidR="00B650E5" w:rsidRDefault="00B650E5">
      <w:pPr>
        <w:pStyle w:val="Odsekzoznamu"/>
        <w:numPr>
          <w:ilvl w:val="3"/>
          <w:numId w:val="9"/>
        </w:numPr>
        <w:spacing w:before="120" w:after="120"/>
        <w:ind w:left="425" w:hanging="425"/>
        <w:contextualSpacing w:val="0"/>
        <w:jc w:val="both"/>
      </w:pPr>
      <w:r>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14:paraId="5AA33E8B" w14:textId="77777777" w:rsidR="00B650E5" w:rsidRDefault="00B650E5">
      <w:pPr>
        <w:pStyle w:val="Odsekzoznamu"/>
        <w:numPr>
          <w:ilvl w:val="3"/>
          <w:numId w:val="9"/>
        </w:numPr>
        <w:spacing w:before="120" w:after="120"/>
        <w:ind w:left="425" w:hanging="425"/>
        <w:contextualSpacing w:val="0"/>
        <w:jc w:val="both"/>
      </w:pPr>
      <w:r>
        <w:t>RO po prijatí prípadných pripomienok k výročnej/záverečnej správe zo strany EK bezodkladne informuje členov a pozorovateľov MV o týchto pripomienkach EK a aktuálnom stave schvaľovania výročnej/záverečnej správy a v súlade s predchádzajúcim odsekom ich v primeranom čase informuje o prijatých opatreniach.</w:t>
      </w:r>
    </w:p>
    <w:p w14:paraId="43A348A4" w14:textId="2690A948" w:rsidR="00B650E5" w:rsidRDefault="00B650E5">
      <w:pPr>
        <w:pStyle w:val="Odsekzoznamu"/>
        <w:numPr>
          <w:ilvl w:val="3"/>
          <w:numId w:val="9"/>
        </w:numPr>
        <w:spacing w:before="120" w:after="120"/>
        <w:ind w:left="425" w:hanging="425"/>
        <w:contextualSpacing w:val="0"/>
        <w:jc w:val="both"/>
      </w:pPr>
      <w:r>
        <w:lastRenderedPageBreak/>
        <w:t>Výročné a záverečné správy, ako aj zhrnutie ich obsahu pre občanov, sa zverejňujú na</w:t>
      </w:r>
      <w:r w:rsidR="00AC25A3">
        <w:t> </w:t>
      </w:r>
      <w:r>
        <w:t xml:space="preserve">príslušných webových sídlach jednotlivých RO.  </w:t>
      </w:r>
    </w:p>
    <w:p w14:paraId="6A2695DD" w14:textId="77777777" w:rsidR="00B650E5" w:rsidRDefault="00B650E5" w:rsidP="0045286B">
      <w:pPr>
        <w:pStyle w:val="SRK4"/>
        <w:rPr>
          <w:u w:val="single"/>
          <w:lang w:eastAsia="en-US"/>
        </w:rPr>
      </w:pPr>
      <w:bookmarkStart w:id="592" w:name="_Toc391992002"/>
      <w:bookmarkStart w:id="593" w:name="_Toc453234105"/>
      <w:bookmarkStart w:id="594" w:name="_Toc495649463"/>
      <w:r>
        <w:t>4.1.2.3 Monitorovanie výkonnostného rámca  na úrovni operačných programov</w:t>
      </w:r>
      <w:bookmarkEnd w:id="592"/>
      <w:bookmarkEnd w:id="593"/>
      <w:bookmarkEnd w:id="594"/>
    </w:p>
    <w:p w14:paraId="65503AC4" w14:textId="77777777" w:rsidR="00B650E5" w:rsidRDefault="00B650E5">
      <w:pPr>
        <w:pStyle w:val="Odsekzoznamu"/>
        <w:numPr>
          <w:ilvl w:val="0"/>
          <w:numId w:val="178"/>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14:paraId="51EB583B" w14:textId="77777777" w:rsidR="00B650E5" w:rsidRDefault="00B650E5">
      <w:pPr>
        <w:pStyle w:val="Odsekzoznamu"/>
        <w:numPr>
          <w:ilvl w:val="0"/>
          <w:numId w:val="178"/>
        </w:numPr>
        <w:spacing w:before="120" w:after="120"/>
        <w:ind w:left="426" w:hanging="426"/>
        <w:contextualSpacing w:val="0"/>
        <w:jc w:val="both"/>
      </w:pPr>
      <w:r>
        <w:t>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a vytvorí efektívny detekčný a nápravný mechanizmus na dosahovanie čiastkových cieľov a zámerov ukazovateľov.</w:t>
      </w:r>
    </w:p>
    <w:p w14:paraId="4CA49FE8" w14:textId="77777777" w:rsidR="00B650E5" w:rsidRDefault="00B650E5">
      <w:pPr>
        <w:pStyle w:val="Odsekzoznamu"/>
        <w:numPr>
          <w:ilvl w:val="0"/>
          <w:numId w:val="178"/>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w:t>
      </w:r>
      <w:r w:rsidRPr="00A262ED">
        <w:t xml:space="preserve">v rámci </w:t>
      </w:r>
      <w:r w:rsidRPr="000E286B">
        <w:t>odpočtu plnenia</w:t>
      </w:r>
      <w:r w:rsidRPr="00A262ED">
        <w:t xml:space="preserve"> záväzného plánu OP.</w:t>
      </w:r>
      <w:r>
        <w:t xml:space="preserve">   </w:t>
      </w:r>
    </w:p>
    <w:p w14:paraId="62976444" w14:textId="77777777" w:rsidR="00B650E5" w:rsidRDefault="00B650E5" w:rsidP="0045286B">
      <w:pPr>
        <w:pStyle w:val="SRK4"/>
      </w:pPr>
      <w:bookmarkStart w:id="595" w:name="_Toc391992003"/>
      <w:bookmarkStart w:id="596" w:name="_Toc453234106"/>
      <w:bookmarkStart w:id="597" w:name="_Toc495649464"/>
      <w:r>
        <w:t>4.1.2.4 Záväzný plán operačného programu</w:t>
      </w:r>
      <w:bookmarkEnd w:id="595"/>
      <w:bookmarkEnd w:id="596"/>
      <w:bookmarkEnd w:id="597"/>
      <w:r>
        <w:t xml:space="preserve"> </w:t>
      </w:r>
    </w:p>
    <w:p w14:paraId="64EE6E80" w14:textId="77777777" w:rsidR="00B650E5" w:rsidRDefault="00B650E5" w:rsidP="000E286B">
      <w:pPr>
        <w:pStyle w:val="Odsekzoznamu"/>
        <w:numPr>
          <w:ilvl w:val="0"/>
          <w:numId w:val="400"/>
        </w:numPr>
        <w:spacing w:before="120" w:after="120"/>
        <w:ind w:left="426" w:hanging="426"/>
        <w:contextualSpacing w:val="0"/>
        <w:jc w:val="both"/>
      </w:pPr>
      <w:r>
        <w:t>RO v zmysle nariadenia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t> </w:t>
      </w:r>
      <w:r w:rsidRPr="00BD5FD5">
        <w:t>informatizáciu</w:t>
      </w:r>
      <w:r>
        <w:t xml:space="preserve"> vypracuje a predloží CKO do 01.03. roku n záväzný plán operačného programu</w:t>
      </w:r>
      <w:r w:rsidRPr="00072EFF">
        <w:rPr>
          <w:rStyle w:val="Odkaznapoznmkupodiarou"/>
        </w:rPr>
        <w:footnoteReference w:id="153"/>
      </w:r>
      <w:r>
        <w:t xml:space="preserve"> na rok n (ďalej len „záväzný plán OP“). </w:t>
      </w:r>
    </w:p>
    <w:p w14:paraId="2A1210A0" w14:textId="77777777" w:rsidR="00B650E5" w:rsidRDefault="00B650E5" w:rsidP="000E286B">
      <w:pPr>
        <w:pStyle w:val="Odsekzoznamu"/>
        <w:numPr>
          <w:ilvl w:val="0"/>
          <w:numId w:val="400"/>
        </w:numPr>
        <w:spacing w:before="120" w:after="120"/>
        <w:ind w:left="426" w:hanging="426"/>
        <w:contextualSpacing w:val="0"/>
        <w:jc w:val="both"/>
        <w:rPr>
          <w:color w:val="000000"/>
          <w:lang w:eastAsia="en-US"/>
        </w:rPr>
      </w:pPr>
      <w:r>
        <w:t xml:space="preserve">Záväzný plán OP obsahuje časový harmonogram a finančný harmonogram poskytovania finančných prostriedkov určených pre OP a plán napĺňania cieľov OP. </w:t>
      </w:r>
    </w:p>
    <w:p w14:paraId="37C16781" w14:textId="23F4CC3E" w:rsidR="00B650E5" w:rsidRPr="00922ACA" w:rsidRDefault="003C3BC7" w:rsidP="000E286B">
      <w:pPr>
        <w:pStyle w:val="Odsekzoznamu"/>
        <w:numPr>
          <w:ilvl w:val="0"/>
          <w:numId w:val="400"/>
        </w:numPr>
        <w:spacing w:before="120" w:after="120"/>
        <w:ind w:left="426" w:hanging="426"/>
        <w:contextualSpacing w:val="0"/>
        <w:jc w:val="both"/>
      </w:pPr>
      <w:r w:rsidRPr="00DD26F7">
        <w:rPr>
          <w:lang w:eastAsia="cs-CZ"/>
        </w:rPr>
        <w:t xml:space="preserve">Podklady potrebné k odpočtu </w:t>
      </w:r>
      <w:r>
        <w:rPr>
          <w:lang w:eastAsia="cs-CZ"/>
        </w:rPr>
        <w:t>ZP</w:t>
      </w:r>
      <w:r w:rsidRPr="00DD26F7">
        <w:rPr>
          <w:lang w:eastAsia="cs-CZ"/>
        </w:rPr>
        <w:t xml:space="preserve"> získava CKO z informačného monitorovacieho systému podľa </w:t>
      </w:r>
      <w:r w:rsidR="006E0204">
        <w:rPr>
          <w:lang w:eastAsia="cs-CZ"/>
        </w:rPr>
        <w:t xml:space="preserve">  </w:t>
      </w:r>
      <w:r w:rsidRPr="00DD26F7">
        <w:rPr>
          <w:lang w:eastAsia="cs-CZ"/>
        </w:rPr>
        <w:t xml:space="preserve">§ 49 </w:t>
      </w:r>
      <w:r>
        <w:rPr>
          <w:lang w:eastAsia="cs-CZ"/>
        </w:rPr>
        <w:t>zákona o príspevku z EŠIF</w:t>
      </w:r>
      <w:r w:rsidRPr="00640753">
        <w:rPr>
          <w:rFonts w:eastAsia="Calibri"/>
          <w:color w:val="365F91"/>
        </w:rPr>
        <w:t>.</w:t>
      </w:r>
      <w:r>
        <w:rPr>
          <w:rFonts w:eastAsia="Calibri"/>
          <w:color w:val="365F91"/>
        </w:rPr>
        <w:t xml:space="preserve"> </w:t>
      </w:r>
      <w:r w:rsidRPr="009712D1">
        <w:rPr>
          <w:lang w:eastAsia="cs-CZ"/>
        </w:rPr>
        <w:t>Podklady</w:t>
      </w:r>
      <w:r>
        <w:rPr>
          <w:lang w:eastAsia="cs-CZ"/>
        </w:rPr>
        <w:t>,</w:t>
      </w:r>
      <w:r w:rsidRPr="009712D1">
        <w:rPr>
          <w:lang w:eastAsia="cs-CZ"/>
        </w:rPr>
        <w:t xml:space="preserve"> </w:t>
      </w:r>
      <w:r w:rsidRPr="00F6668A">
        <w:rPr>
          <w:lang w:eastAsia="cs-CZ"/>
        </w:rPr>
        <w:t>ktoré nie sú evidované</w:t>
      </w:r>
      <w:r w:rsidRPr="00877BC3">
        <w:rPr>
          <w:lang w:eastAsia="cs-CZ"/>
        </w:rPr>
        <w:t xml:space="preserve"> v</w:t>
      </w:r>
      <w:r w:rsidR="00AF5FEB">
        <w:rPr>
          <w:lang w:eastAsia="cs-CZ"/>
        </w:rPr>
        <w:t> </w:t>
      </w:r>
      <w:r>
        <w:rPr>
          <w:lang w:eastAsia="cs-CZ"/>
        </w:rPr>
        <w:t>ITMS</w:t>
      </w:r>
      <w:r w:rsidR="00AF5FEB">
        <w:rPr>
          <w:lang w:eastAsia="cs-CZ"/>
        </w:rPr>
        <w:t xml:space="preserve"> 2014+</w:t>
      </w:r>
      <w:r>
        <w:rPr>
          <w:lang w:eastAsia="cs-CZ"/>
        </w:rPr>
        <w:t xml:space="preserve"> </w:t>
      </w:r>
      <w:r w:rsidRPr="009712D1">
        <w:rPr>
          <w:lang w:eastAsia="cs-CZ"/>
        </w:rPr>
        <w:t xml:space="preserve">predkladá </w:t>
      </w:r>
      <w:r>
        <w:rPr>
          <w:lang w:eastAsia="cs-CZ"/>
        </w:rPr>
        <w:t>riadiaci orgán CKO</w:t>
      </w:r>
      <w:r w:rsidRPr="00922ACA">
        <w:t>:</w:t>
      </w:r>
    </w:p>
    <w:p w14:paraId="11AC9CC7" w14:textId="77777777" w:rsidR="00B650E5" w:rsidRPr="000E286B" w:rsidRDefault="003C3BC7" w:rsidP="000E286B">
      <w:pPr>
        <w:numPr>
          <w:ilvl w:val="0"/>
          <w:numId w:val="401"/>
        </w:numPr>
        <w:autoSpaceDE w:val="0"/>
        <w:autoSpaceDN w:val="0"/>
        <w:adjustRightInd w:val="0"/>
        <w:spacing w:before="120" w:after="120"/>
        <w:ind w:left="851" w:hanging="425"/>
        <w:jc w:val="both"/>
        <w:rPr>
          <w:color w:val="000000"/>
          <w:lang w:eastAsia="en-US"/>
        </w:rPr>
      </w:pPr>
      <w:r w:rsidRPr="00922ACA">
        <w:t>s údajmi k 30.06</w:t>
      </w:r>
      <w:r>
        <w:t xml:space="preserve">. roku n, </w:t>
      </w:r>
      <w:r w:rsidR="00B650E5" w:rsidRPr="000E286B">
        <w:rPr>
          <w:color w:val="000000"/>
          <w:lang w:eastAsia="en-US"/>
        </w:rPr>
        <w:t>do 15.0</w:t>
      </w:r>
      <w:r w:rsidR="00B650E5">
        <w:rPr>
          <w:color w:val="000000"/>
          <w:lang w:eastAsia="en-US"/>
        </w:rPr>
        <w:t>8</w:t>
      </w:r>
      <w:r w:rsidR="00B650E5" w:rsidRPr="000E286B">
        <w:rPr>
          <w:color w:val="000000"/>
          <w:lang w:eastAsia="en-US"/>
        </w:rPr>
        <w:t>. roku n</w:t>
      </w:r>
      <w:r w:rsidR="00B650E5" w:rsidRPr="00922ACA">
        <w:rPr>
          <w:color w:val="000000"/>
          <w:lang w:eastAsia="en-US"/>
        </w:rPr>
        <w:t>;</w:t>
      </w:r>
      <w:r w:rsidR="00B650E5" w:rsidRPr="000E286B">
        <w:rPr>
          <w:color w:val="000000"/>
          <w:lang w:eastAsia="en-US"/>
        </w:rPr>
        <w:t>  </w:t>
      </w:r>
    </w:p>
    <w:p w14:paraId="26073AC3" w14:textId="014C259E" w:rsidR="00B650E5" w:rsidRPr="00922ACA" w:rsidRDefault="003C3BC7" w:rsidP="000E286B">
      <w:pPr>
        <w:numPr>
          <w:ilvl w:val="0"/>
          <w:numId w:val="401"/>
        </w:numPr>
        <w:autoSpaceDE w:val="0"/>
        <w:autoSpaceDN w:val="0"/>
        <w:adjustRightInd w:val="0"/>
        <w:spacing w:before="120" w:after="120"/>
        <w:ind w:left="850" w:hanging="424"/>
        <w:jc w:val="both"/>
        <w:rPr>
          <w:color w:val="000000"/>
          <w:lang w:eastAsia="en-US"/>
        </w:rPr>
      </w:pPr>
      <w:r w:rsidRPr="00922ACA">
        <w:t>s údajmi k 3</w:t>
      </w:r>
      <w:r>
        <w:t>1</w:t>
      </w:r>
      <w:r w:rsidRPr="00922ACA">
        <w:t>.</w:t>
      </w:r>
      <w:r>
        <w:t xml:space="preserve">12. roku n, </w:t>
      </w:r>
      <w:r w:rsidR="00B650E5" w:rsidRPr="000E286B">
        <w:rPr>
          <w:color w:val="000000"/>
          <w:lang w:eastAsia="en-US"/>
        </w:rPr>
        <w:t>do 15.02</w:t>
      </w:r>
      <w:r w:rsidR="00AC25A3">
        <w:rPr>
          <w:color w:val="000000"/>
          <w:lang w:eastAsia="en-US"/>
        </w:rPr>
        <w:t>.</w:t>
      </w:r>
      <w:r w:rsidR="00B650E5" w:rsidRPr="000E286B">
        <w:rPr>
          <w:color w:val="000000"/>
          <w:lang w:eastAsia="en-US"/>
        </w:rPr>
        <w:t xml:space="preserve"> roku n+1.</w:t>
      </w:r>
    </w:p>
    <w:p w14:paraId="7E6614B7" w14:textId="77777777" w:rsidR="00B650E5" w:rsidRDefault="00B650E5" w:rsidP="0045286B">
      <w:pPr>
        <w:pStyle w:val="SRK4"/>
      </w:pPr>
      <w:bookmarkStart w:id="598" w:name="_Toc391992004"/>
      <w:bookmarkStart w:id="599" w:name="_Toc453234107"/>
      <w:bookmarkStart w:id="600" w:name="_Toc495649465"/>
      <w:r>
        <w:t>4.1.2.5 Informácia o realizovaní operačného programu</w:t>
      </w:r>
      <w:bookmarkEnd w:id="598"/>
      <w:bookmarkEnd w:id="599"/>
      <w:bookmarkEnd w:id="600"/>
      <w:r>
        <w:t xml:space="preserve"> </w:t>
      </w:r>
    </w:p>
    <w:p w14:paraId="2D35B46E" w14:textId="3E2E587E" w:rsidR="00B650E5" w:rsidRDefault="00B650E5">
      <w:pPr>
        <w:pStyle w:val="Odsekzoznamu"/>
        <w:numPr>
          <w:ilvl w:val="0"/>
          <w:numId w:val="186"/>
        </w:numPr>
        <w:spacing w:before="120" w:after="120"/>
        <w:ind w:left="425" w:hanging="425"/>
        <w:contextualSpacing w:val="0"/>
        <w:jc w:val="both"/>
      </w:pPr>
      <w:r>
        <w:t xml:space="preserve">RO predkladá CKO do 5. kalendárneho dňa nasledujúceho mesiaca Informáciu o realizovaní OP (ďalej len „informácia“) s údajmi </w:t>
      </w:r>
      <w:r w:rsidR="00226058">
        <w:t>v</w:t>
      </w:r>
      <w:r w:rsidR="00AC25A3">
        <w:t> </w:t>
      </w:r>
      <w:r w:rsidR="00226058">
        <w:t>rozsahu</w:t>
      </w:r>
      <w:r w:rsidR="00AC25A3">
        <w:t>,</w:t>
      </w:r>
      <w:r w:rsidR="00226058">
        <w:t xml:space="preserve"> stanovenom v metodickom pokyne</w:t>
      </w:r>
      <w:r w:rsidR="00226058">
        <w:rPr>
          <w:rStyle w:val="Odkaznapoznmkupodiarou"/>
        </w:rPr>
        <w:footnoteReference w:id="154"/>
      </w:r>
      <w:r>
        <w:t>.</w:t>
      </w:r>
    </w:p>
    <w:p w14:paraId="0057B4DC" w14:textId="77777777" w:rsidR="00B650E5" w:rsidRDefault="00B650E5">
      <w:pPr>
        <w:pStyle w:val="Odsekzoznamu"/>
        <w:numPr>
          <w:ilvl w:val="0"/>
          <w:numId w:val="186"/>
        </w:numPr>
        <w:spacing w:before="120" w:after="120"/>
        <w:ind w:left="425" w:hanging="425"/>
        <w:contextualSpacing w:val="0"/>
        <w:jc w:val="both"/>
      </w:pPr>
      <w:r>
        <w:t>Prvá informácia sa predkladá CKO za obdobie jedného kalendárneho mesiaca od schválenia príslušného OP EK.</w:t>
      </w:r>
    </w:p>
    <w:p w14:paraId="3FC207AE" w14:textId="77777777" w:rsidR="00B650E5" w:rsidRDefault="00B650E5">
      <w:pPr>
        <w:pStyle w:val="Odsekzoznamu"/>
        <w:numPr>
          <w:ilvl w:val="0"/>
          <w:numId w:val="186"/>
        </w:numPr>
        <w:spacing w:before="120" w:after="120"/>
        <w:ind w:left="425" w:hanging="425"/>
        <w:contextualSpacing w:val="0"/>
        <w:jc w:val="both"/>
      </w:pPr>
      <w:r>
        <w:t xml:space="preserve">Informácia predstavuje jeden zo základných výstupov pravidelného monitorovania  implementácie OP. Účelom tohto materiálu je poskytnúť základné informácie o aktuálnom stave implementácie príslušného OP. Materiál slúži ako podklad pre efektívne riadenie OP z centrálnej úrovne, prostredníctvom ktorého je možné eliminovať včasne identifikované problémy, ktoré by mohli mať negatívny dopad na plnenie finančných a vecných cieľov OP. </w:t>
      </w:r>
    </w:p>
    <w:p w14:paraId="11AD7B0D" w14:textId="77777777" w:rsidR="00B650E5" w:rsidRDefault="00B650E5">
      <w:pPr>
        <w:pStyle w:val="Odsekzoznamu"/>
        <w:numPr>
          <w:ilvl w:val="0"/>
          <w:numId w:val="186"/>
        </w:numPr>
        <w:spacing w:before="120" w:after="120"/>
        <w:ind w:left="425" w:hanging="425"/>
        <w:contextualSpacing w:val="0"/>
        <w:jc w:val="both"/>
      </w:pPr>
      <w:r>
        <w:t>Informácia o realizovaní OP obsahuje najmä:</w:t>
      </w:r>
    </w:p>
    <w:p w14:paraId="4756659C"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popis problémov v implementácii, ktoré sa vyskytli za sledované obdobie;</w:t>
      </w:r>
    </w:p>
    <w:p w14:paraId="5884DAE0"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lastRenderedPageBreak/>
        <w:t>prijaté opatrenia na odstránenie problémov/identifikovaných rizík;</w:t>
      </w:r>
    </w:p>
    <w:p w14:paraId="7BCDAEF8"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 xml:space="preserve">uskutočnené stretnutia a závery stretnutí RO a orgánov zapojených do implementácie EŠIF,  relevantných partnerov, zástupcov EK, JASPERS; </w:t>
      </w:r>
    </w:p>
    <w:p w14:paraId="1CBE5A01"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zahájenie, či ukončenie vládnych auditov, auditov EK a EDA.</w:t>
      </w:r>
    </w:p>
    <w:p w14:paraId="4D8FA038" w14:textId="77777777" w:rsidR="00B650E5" w:rsidRDefault="00B650E5" w:rsidP="0045286B">
      <w:pPr>
        <w:pStyle w:val="SRK4"/>
      </w:pPr>
      <w:bookmarkStart w:id="601" w:name="_Toc391992005"/>
      <w:bookmarkStart w:id="602" w:name="_Toc453234108"/>
      <w:bookmarkStart w:id="603" w:name="_Toc495649466"/>
      <w:r>
        <w:t xml:space="preserve">4.1.2.6 Kalendár </w:t>
      </w:r>
      <w:bookmarkEnd w:id="601"/>
      <w:r>
        <w:t>podujatí</w:t>
      </w:r>
      <w:bookmarkEnd w:id="602"/>
      <w:bookmarkEnd w:id="603"/>
      <w:r>
        <w:t xml:space="preserve"> </w:t>
      </w:r>
    </w:p>
    <w:p w14:paraId="1A02659A" w14:textId="77777777" w:rsidR="00B650E5" w:rsidRDefault="00B650E5">
      <w:pPr>
        <w:pStyle w:val="Odsekzoznamu"/>
        <w:numPr>
          <w:ilvl w:val="0"/>
          <w:numId w:val="187"/>
        </w:numPr>
        <w:spacing w:before="120" w:after="120"/>
        <w:ind w:left="426" w:hanging="426"/>
        <w:contextualSpacing w:val="0"/>
        <w:jc w:val="both"/>
      </w:pPr>
      <w:r>
        <w:t>Subjekty zodpovedné za implementáciu OP EŠIF zaznamenávajú v Kalendári podujatí informácie o plánovaných koordinačných stretnutiach medzi subjektmi zodpovednými za implementáciu OP EŠIF na národnej úrovni, resp. so zástupcami EK. Ide napr. o :</w:t>
      </w:r>
    </w:p>
    <w:p w14:paraId="690095F1"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MV a iné výbory,</w:t>
      </w:r>
    </w:p>
    <w:p w14:paraId="568525F3" w14:textId="77777777" w:rsidR="00226058"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koordinačné stretnutia</w:t>
      </w:r>
      <w:r w:rsidR="00226058">
        <w:rPr>
          <w:color w:val="000000"/>
          <w:lang w:eastAsia="en-US"/>
        </w:rPr>
        <w:t>,</w:t>
      </w:r>
    </w:p>
    <w:p w14:paraId="4D0DCE97" w14:textId="77777777" w:rsidR="00226058" w:rsidRDefault="00226058">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štvrťročné monitorovacie stretnutia s EK,</w:t>
      </w:r>
    </w:p>
    <w:p w14:paraId="25BB659A" w14:textId="77777777" w:rsidR="00B650E5" w:rsidRDefault="00D23AF3">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výročné stretnutia s EK</w:t>
      </w:r>
      <w:r w:rsidR="00B650E5">
        <w:rPr>
          <w:color w:val="000000"/>
          <w:lang w:eastAsia="en-US"/>
        </w:rPr>
        <w:t>.</w:t>
      </w:r>
    </w:p>
    <w:p w14:paraId="21358A42" w14:textId="77777777" w:rsidR="00B650E5" w:rsidRDefault="00B650E5">
      <w:pPr>
        <w:pStyle w:val="SRK3"/>
      </w:pPr>
      <w:bookmarkStart w:id="604" w:name="_Toc453234109"/>
      <w:bookmarkStart w:id="605" w:name="_Toc495649467"/>
      <w:r>
        <w:t>4.1.3  Monitorovanie programov cieľa Európska územná spolupráca</w:t>
      </w:r>
      <w:bookmarkEnd w:id="604"/>
      <w:bookmarkEnd w:id="605"/>
    </w:p>
    <w:p w14:paraId="1E05BA21" w14:textId="77777777" w:rsidR="00B650E5" w:rsidRDefault="00B650E5" w:rsidP="0045286B">
      <w:pPr>
        <w:pStyle w:val="SRK4"/>
      </w:pPr>
      <w:bookmarkStart w:id="606" w:name="_Toc453234110"/>
      <w:bookmarkStart w:id="607" w:name="_Toc495649468"/>
      <w:r>
        <w:t>4.1.3.1 Monitorovanie programov cieľa Európska územná spolupráca na úrovni partnerskej dohody</w:t>
      </w:r>
      <w:bookmarkEnd w:id="606"/>
      <w:bookmarkEnd w:id="607"/>
    </w:p>
    <w:p w14:paraId="5CC247A6" w14:textId="59D2B9F1"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v prípade potreby predkladajú CKO podklady do Informácie o stave implementácie EŠIF v zmysle </w:t>
      </w:r>
      <w:hyperlink w:anchor="kapitola_4111_ods_4" w:tooltip="kapitoly 4.1.1.1, ods. 4" w:history="1">
        <w:r>
          <w:rPr>
            <w:rStyle w:val="Hypertextovprepojenie"/>
            <w:lang w:eastAsia="en-US"/>
          </w:rPr>
          <w:t xml:space="preserve">kapitoly 4.1.1.1, ods. </w:t>
        </w:r>
        <w:r w:rsidR="00443541">
          <w:rPr>
            <w:rStyle w:val="Hypertextovprepojenie"/>
            <w:lang w:eastAsia="en-US"/>
          </w:rPr>
          <w:t>3</w:t>
        </w:r>
      </w:hyperlink>
      <w:r>
        <w:t xml:space="preserve">. RO vypracujú záväzný plán OP a predkladajú ho CKO spolu s jeho odpočtom v zmysle </w:t>
      </w:r>
      <w:hyperlink w:anchor="kapitola_4124" w:tooltip="kapitoly 4.1.2.4" w:history="1">
        <w:r>
          <w:rPr>
            <w:rStyle w:val="Hypertextovprepojenie"/>
          </w:rPr>
          <w:t>kapitoly 4.1.2.4</w:t>
        </w:r>
      </w:hyperlink>
      <w:r>
        <w:t>.</w:t>
      </w:r>
    </w:p>
    <w:p w14:paraId="244385F8"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14:paraId="4D774CB1" w14:textId="77777777" w:rsidR="00B650E5" w:rsidRDefault="00B650E5">
      <w:pPr>
        <w:pStyle w:val="Odsekzoznamu"/>
        <w:numPr>
          <w:ilvl w:val="0"/>
          <w:numId w:val="356"/>
        </w:numPr>
        <w:autoSpaceDE w:val="0"/>
        <w:autoSpaceDN w:val="0"/>
        <w:adjustRightInd w:val="0"/>
        <w:spacing w:before="120" w:after="120"/>
        <w:ind w:left="426" w:hanging="426"/>
        <w:jc w:val="both"/>
        <w:rPr>
          <w:color w:val="000000"/>
          <w:lang w:eastAsia="en-US"/>
        </w:rPr>
      </w:pPr>
      <w:r>
        <w:t xml:space="preserve">RO/národné orgány/kontaktné body programov EÚS zašlú výročnú/záverečnú správu o vykonávaní programu na vedomie CKO.   </w:t>
      </w:r>
    </w:p>
    <w:p w14:paraId="74C5F4B8" w14:textId="77777777" w:rsidR="00B650E5" w:rsidRDefault="00B650E5">
      <w:pPr>
        <w:pStyle w:val="Odsekzoznamu"/>
        <w:rPr>
          <w:color w:val="000000"/>
          <w:lang w:eastAsia="en-US"/>
        </w:rPr>
      </w:pPr>
    </w:p>
    <w:p w14:paraId="694A2F8D" w14:textId="77777777" w:rsidR="00B650E5" w:rsidRDefault="00B650E5" w:rsidP="0045286B">
      <w:pPr>
        <w:pStyle w:val="SRK4"/>
      </w:pPr>
      <w:bookmarkStart w:id="608" w:name="_Toc453234111"/>
      <w:bookmarkStart w:id="609" w:name="_Toc495649469"/>
      <w:r>
        <w:t>4.1.3.2 Monitorovanie programov Európska územná spolupráca na úrovni programu</w:t>
      </w:r>
      <w:bookmarkEnd w:id="608"/>
      <w:bookmarkEnd w:id="609"/>
      <w:r>
        <w:t xml:space="preserve">  </w:t>
      </w:r>
    </w:p>
    <w:p w14:paraId="5E0F260A" w14:textId="77777777" w:rsidR="00B650E5" w:rsidRDefault="00B650E5" w:rsidP="00DE5D89">
      <w:pPr>
        <w:pStyle w:val="Odsekzoznamu"/>
        <w:numPr>
          <w:ilvl w:val="0"/>
          <w:numId w:val="357"/>
        </w:numPr>
        <w:autoSpaceDE w:val="0"/>
        <w:autoSpaceDN w:val="0"/>
        <w:adjustRightInd w:val="0"/>
        <w:spacing w:before="120" w:after="120"/>
        <w:ind w:left="426" w:hanging="426"/>
        <w:jc w:val="both"/>
        <w:rPr>
          <w:color w:val="000000"/>
          <w:lang w:eastAsia="en-US"/>
        </w:rPr>
      </w:pPr>
      <w:r>
        <w:t xml:space="preserve">Monitorovanie jednotlivých programov EÚS sa riadi pravidlami v zmysle </w:t>
      </w:r>
      <w:hyperlink w:anchor="kapitola_37" w:tooltip="kapitoly 3.7" w:history="1">
        <w:r>
          <w:rPr>
            <w:rStyle w:val="Hypertextovprepojenie"/>
          </w:rPr>
          <w:t>kapitoly 3.7</w:t>
        </w:r>
      </w:hyperlink>
      <w:r>
        <w:t>.</w:t>
      </w:r>
    </w:p>
    <w:p w14:paraId="0633241B" w14:textId="77777777" w:rsidR="00B650E5" w:rsidRDefault="00B650E5">
      <w:pPr>
        <w:pStyle w:val="SRK2"/>
      </w:pPr>
      <w:bookmarkStart w:id="610" w:name="_Toc390099903"/>
      <w:bookmarkStart w:id="611" w:name="_Toc391992006"/>
      <w:bookmarkStart w:id="612" w:name="_Toc453234112"/>
      <w:bookmarkStart w:id="613" w:name="_Toc495649470"/>
      <w:bookmarkStart w:id="614" w:name="_Toc390187685"/>
      <w:r>
        <w:t>4.2 Hodnotenie EŠIF, OP</w:t>
      </w:r>
      <w:bookmarkEnd w:id="610"/>
      <w:bookmarkEnd w:id="611"/>
      <w:bookmarkEnd w:id="612"/>
      <w:bookmarkEnd w:id="613"/>
      <w:r>
        <w:t xml:space="preserve"> </w:t>
      </w:r>
    </w:p>
    <w:p w14:paraId="72FCC47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660942C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22 (4),52, 54, 55, 56, 57 a čl. 114 všeobecného nariadenia</w:t>
      </w:r>
    </w:p>
    <w:p w14:paraId="0C546FD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19 (6) nariadenia o ESF</w:t>
      </w:r>
    </w:p>
    <w:p w14:paraId="1E535BE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16 delegovaného nariadenia Komisie (EÚ) č. 240/2014</w:t>
      </w:r>
    </w:p>
    <w:p w14:paraId="7EF8993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115-118 nariadenia o ENRF </w:t>
      </w:r>
    </w:p>
    <w:p w14:paraId="221B6C1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110F5BC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15414A9F" w14:textId="77777777" w:rsidR="00B650E5" w:rsidRDefault="00B650E5">
      <w:pPr>
        <w:pStyle w:val="SRK3"/>
      </w:pPr>
      <w:bookmarkStart w:id="615" w:name="_Toc390099904"/>
      <w:bookmarkStart w:id="616" w:name="_Toc391992007"/>
      <w:bookmarkStart w:id="617" w:name="_Toc453234113"/>
      <w:bookmarkStart w:id="618" w:name="_Toc495649471"/>
      <w:r>
        <w:lastRenderedPageBreak/>
        <w:t>4.2.1 Všeobecná časť</w:t>
      </w:r>
      <w:bookmarkEnd w:id="615"/>
      <w:bookmarkEnd w:id="616"/>
      <w:bookmarkEnd w:id="617"/>
      <w:bookmarkEnd w:id="618"/>
    </w:p>
    <w:p w14:paraId="04D8815E" w14:textId="77777777" w:rsidR="00B650E5" w:rsidRDefault="00B650E5">
      <w:pPr>
        <w:numPr>
          <w:ilvl w:val="0"/>
          <w:numId w:val="207"/>
        </w:numPr>
        <w:autoSpaceDE w:val="0"/>
        <w:autoSpaceDN w:val="0"/>
        <w:adjustRightInd w:val="0"/>
        <w:spacing w:before="120" w:after="120"/>
        <w:ind w:left="425" w:hanging="425"/>
        <w:jc w:val="both"/>
      </w:pPr>
      <w:r>
        <w:t>Hodnotenie sa vykonáva podľa článku 54 až 57 a článku 114 všeobecného nariadenia.</w:t>
      </w:r>
    </w:p>
    <w:p w14:paraId="00E7B131" w14:textId="77777777" w:rsidR="00B650E5" w:rsidRDefault="00B650E5">
      <w:pPr>
        <w:numPr>
          <w:ilvl w:val="0"/>
          <w:numId w:val="207"/>
        </w:numPr>
        <w:autoSpaceDE w:val="0"/>
        <w:autoSpaceDN w:val="0"/>
        <w:adjustRightInd w:val="0"/>
        <w:spacing w:before="120" w:after="120"/>
        <w:ind w:left="425" w:hanging="425"/>
        <w:jc w:val="both"/>
        <w:rPr>
          <w:b/>
          <w:bCs/>
          <w:i/>
          <w:iCs/>
          <w:color w:val="000000"/>
        </w:rPr>
      </w:pPr>
      <w:r>
        <w:rPr>
          <w:color w:val="000000"/>
        </w:rPr>
        <w:t>Hodnotenie je kvalitatívnym nástrojom riadenia a prostriedkom prispievajúcim k zvýšeniu kvality, efektívnosti a účinnosti implementácie EŠIF  a naplneniu ich cieľov,  posilneniu  politiky súdržnosti,  spoločnej poľnohospodárskej politiky a integrovanej námornej politiky EÚ.</w:t>
      </w:r>
    </w:p>
    <w:p w14:paraId="53856790" w14:textId="77777777" w:rsidR="00B650E5" w:rsidRDefault="00B650E5">
      <w:pPr>
        <w:numPr>
          <w:ilvl w:val="0"/>
          <w:numId w:val="207"/>
        </w:numPr>
        <w:autoSpaceDE w:val="0"/>
        <w:autoSpaceDN w:val="0"/>
        <w:adjustRightInd w:val="0"/>
        <w:spacing w:before="120" w:after="120"/>
        <w:ind w:left="425" w:hanging="425"/>
        <w:jc w:val="both"/>
      </w:pPr>
      <w:r>
        <w:t>Účelom hodnotenia je zhodnotiť dopady EŠIF na dosahovanie cieľov stratégie Európa 2020 najmä v súvislosti s národnými prioritami a prioritami EÚ.</w:t>
      </w:r>
    </w:p>
    <w:p w14:paraId="3FE2D315" w14:textId="77777777" w:rsidR="00B650E5" w:rsidRDefault="00B650E5">
      <w:pPr>
        <w:numPr>
          <w:ilvl w:val="0"/>
          <w:numId w:val="207"/>
        </w:numPr>
        <w:autoSpaceDE w:val="0"/>
        <w:autoSpaceDN w:val="0"/>
        <w:adjustRightInd w:val="0"/>
        <w:spacing w:before="120" w:after="120"/>
        <w:ind w:left="425" w:hanging="425"/>
        <w:jc w:val="both"/>
      </w:pPr>
      <w:r>
        <w:t>Hlavným cieľom hodnotenia je zlepšiť kvalitu  programovania a implementácie EŠIF,  ako aj zhodnotiť ich relevantnosť, efektívnosť, účinnosť a dopad.</w:t>
      </w:r>
    </w:p>
    <w:p w14:paraId="7BC8B4C7" w14:textId="77777777" w:rsidR="00B650E5" w:rsidRDefault="00B650E5">
      <w:pPr>
        <w:numPr>
          <w:ilvl w:val="0"/>
          <w:numId w:val="207"/>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14:paraId="5DCC2290" w14:textId="77777777" w:rsidR="00B650E5" w:rsidRDefault="00B650E5">
      <w:pPr>
        <w:numPr>
          <w:ilvl w:val="0"/>
          <w:numId w:val="207"/>
        </w:numPr>
        <w:autoSpaceDE w:val="0"/>
        <w:autoSpaceDN w:val="0"/>
        <w:adjustRightInd w:val="0"/>
        <w:spacing w:before="120" w:after="120"/>
        <w:ind w:left="425" w:hanging="425"/>
        <w:jc w:val="both"/>
      </w:pPr>
      <w:r>
        <w:t xml:space="preserve">Základnými zdrojmi údajov pre vykonanie hodnotenia sú: </w:t>
      </w:r>
    </w:p>
    <w:p w14:paraId="7B56DA48" w14:textId="04343DC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údaje z ITMS 2014+; </w:t>
      </w:r>
    </w:p>
    <w:p w14:paraId="4E00F28B"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14:paraId="1565980A" w14:textId="6332ABFF"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správy o vykonávaní OP; </w:t>
      </w:r>
    </w:p>
    <w:p w14:paraId="75866D6E"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14:paraId="4120FED6"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 hoc prieskumy;</w:t>
      </w:r>
    </w:p>
    <w:p w14:paraId="29DD248C"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14:paraId="23CFC94E" w14:textId="77777777" w:rsidR="00B650E5" w:rsidRDefault="00B650E5">
      <w:pPr>
        <w:numPr>
          <w:ilvl w:val="0"/>
          <w:numId w:val="207"/>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14:paraId="756A82E2" w14:textId="77777777" w:rsidR="00B650E5" w:rsidRDefault="00B650E5">
      <w:pPr>
        <w:spacing w:before="120" w:after="120"/>
        <w:jc w:val="center"/>
      </w:pPr>
    </w:p>
    <w:p w14:paraId="122C183B" w14:textId="77777777" w:rsidR="00B650E5" w:rsidRDefault="00B650E5">
      <w:pPr>
        <w:spacing w:before="120" w:after="120"/>
        <w:jc w:val="center"/>
      </w:pPr>
    </w:p>
    <w:p w14:paraId="40AA5A4A" w14:textId="77777777" w:rsidR="00B650E5" w:rsidRDefault="00B650E5">
      <w:pPr>
        <w:spacing w:before="120" w:after="120"/>
        <w:jc w:val="center"/>
      </w:pPr>
    </w:p>
    <w:p w14:paraId="62568DF7" w14:textId="77777777" w:rsidR="00B650E5" w:rsidRDefault="00B650E5">
      <w:pPr>
        <w:spacing w:before="120" w:after="120"/>
        <w:jc w:val="center"/>
      </w:pPr>
    </w:p>
    <w:p w14:paraId="2D9128B4" w14:textId="77777777" w:rsidR="00B650E5" w:rsidRDefault="00B650E5">
      <w:pPr>
        <w:spacing w:before="120" w:after="120"/>
        <w:jc w:val="center"/>
      </w:pPr>
    </w:p>
    <w:p w14:paraId="34D3516A" w14:textId="77777777" w:rsidR="00B650E5" w:rsidRDefault="00B650E5">
      <w:pPr>
        <w:spacing w:before="120" w:after="120"/>
        <w:jc w:val="center"/>
      </w:pPr>
    </w:p>
    <w:p w14:paraId="29E7290C" w14:textId="77777777" w:rsidR="008430F2" w:rsidRDefault="008430F2">
      <w:pPr>
        <w:spacing w:before="120" w:after="120"/>
        <w:jc w:val="center"/>
      </w:pPr>
    </w:p>
    <w:p w14:paraId="241E8D86" w14:textId="77777777" w:rsidR="008430F2" w:rsidRDefault="008430F2">
      <w:pPr>
        <w:spacing w:before="120" w:after="120"/>
        <w:jc w:val="center"/>
      </w:pPr>
    </w:p>
    <w:p w14:paraId="43281131" w14:textId="77777777" w:rsidR="008430F2" w:rsidRDefault="008430F2">
      <w:pPr>
        <w:spacing w:before="120" w:after="120"/>
        <w:jc w:val="center"/>
      </w:pPr>
    </w:p>
    <w:p w14:paraId="73285186" w14:textId="77777777" w:rsidR="008430F2" w:rsidRDefault="008430F2">
      <w:pPr>
        <w:spacing w:before="120" w:after="120"/>
        <w:jc w:val="center"/>
      </w:pPr>
    </w:p>
    <w:p w14:paraId="6CCC81E1" w14:textId="77777777" w:rsidR="008430F2" w:rsidRDefault="008430F2">
      <w:pPr>
        <w:spacing w:before="120" w:after="120"/>
        <w:jc w:val="center"/>
      </w:pPr>
    </w:p>
    <w:p w14:paraId="7C9F8CD8" w14:textId="77777777" w:rsidR="008430F2" w:rsidRDefault="008430F2">
      <w:pPr>
        <w:spacing w:before="120" w:after="120"/>
        <w:jc w:val="center"/>
      </w:pPr>
    </w:p>
    <w:p w14:paraId="0FEB4145" w14:textId="77777777" w:rsidR="008430F2" w:rsidRDefault="008430F2">
      <w:pPr>
        <w:spacing w:before="120" w:after="120"/>
        <w:jc w:val="center"/>
      </w:pPr>
    </w:p>
    <w:p w14:paraId="4F339EDA" w14:textId="77777777" w:rsidR="008430F2" w:rsidRDefault="008430F2">
      <w:pPr>
        <w:spacing w:before="120" w:after="120"/>
        <w:jc w:val="center"/>
      </w:pPr>
    </w:p>
    <w:p w14:paraId="0A61E02C" w14:textId="77777777" w:rsidR="008430F2" w:rsidRDefault="008430F2">
      <w:pPr>
        <w:spacing w:before="120" w:after="120"/>
        <w:jc w:val="center"/>
      </w:pPr>
    </w:p>
    <w:p w14:paraId="67E1BCB1" w14:textId="77777777" w:rsidR="00B650E5" w:rsidRDefault="00B650E5">
      <w:pPr>
        <w:spacing w:before="120" w:after="120"/>
        <w:jc w:val="center"/>
      </w:pPr>
      <w:r>
        <w:lastRenderedPageBreak/>
        <w:t>Schéma č. 1</w:t>
      </w:r>
    </w:p>
    <w:p w14:paraId="5A10C1CB" w14:textId="77777777" w:rsidR="00B650E5" w:rsidRDefault="0053588C">
      <w:pPr>
        <w:spacing w:before="120" w:after="120"/>
        <w:jc w:val="center"/>
      </w:pPr>
      <w:r>
        <w:rPr>
          <w:noProof/>
        </w:rPr>
        <w:drawing>
          <wp:inline distT="0" distB="0" distL="0" distR="0" wp14:anchorId="64EF9160" wp14:editId="55A907AF">
            <wp:extent cx="4545965" cy="3157220"/>
            <wp:effectExtent l="19050" t="19050" r="26035" b="24130"/>
            <wp:docPr id="21" name="Obrázok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2"/>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4545965" cy="3157220"/>
                    </a:xfrm>
                    <a:prstGeom prst="rect">
                      <a:avLst/>
                    </a:prstGeom>
                    <a:noFill/>
                    <a:ln w="9525" cmpd="sng">
                      <a:solidFill>
                        <a:srgbClr val="000000"/>
                      </a:solidFill>
                      <a:miter lim="800000"/>
                      <a:headEnd/>
                      <a:tailEnd/>
                    </a:ln>
                    <a:effectLst/>
                  </pic:spPr>
                </pic:pic>
              </a:graphicData>
            </a:graphic>
          </wp:inline>
        </w:drawing>
      </w:r>
    </w:p>
    <w:p w14:paraId="4FE76D60" w14:textId="77777777" w:rsidR="00B650E5" w:rsidRDefault="00B650E5">
      <w:pPr>
        <w:spacing w:before="120" w:after="120"/>
        <w:jc w:val="center"/>
      </w:pPr>
    </w:p>
    <w:p w14:paraId="7C5BD38A" w14:textId="77777777" w:rsidR="00B650E5" w:rsidRDefault="00B650E5">
      <w:pPr>
        <w:spacing w:before="120" w:after="120"/>
        <w:jc w:val="center"/>
      </w:pPr>
      <w:r>
        <w:t>Schéma č. 2</w:t>
      </w:r>
    </w:p>
    <w:p w14:paraId="69CF42E7" w14:textId="77777777" w:rsidR="00B650E5" w:rsidRDefault="0053588C">
      <w:pPr>
        <w:spacing w:before="120" w:after="120"/>
        <w:jc w:val="center"/>
      </w:pPr>
      <w:r>
        <w:rPr>
          <w:b/>
          <w:noProof/>
          <w:sz w:val="20"/>
          <w:szCs w:val="20"/>
        </w:rPr>
        <w:drawing>
          <wp:inline distT="0" distB="0" distL="0" distR="0" wp14:anchorId="5098AF6C" wp14:editId="0C8E9CD3">
            <wp:extent cx="4287520" cy="2880995"/>
            <wp:effectExtent l="19050" t="19050" r="17780" b="14605"/>
            <wp:docPr id="22" name="Picture 3">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
                    </pic:cNvPr>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4287520" cy="2880995"/>
                    </a:xfrm>
                    <a:prstGeom prst="rect">
                      <a:avLst/>
                    </a:prstGeom>
                    <a:noFill/>
                    <a:ln w="9525" cmpd="sng">
                      <a:solidFill>
                        <a:srgbClr val="000000"/>
                      </a:solidFill>
                      <a:miter lim="800000"/>
                      <a:headEnd/>
                      <a:tailEnd/>
                    </a:ln>
                    <a:effectLst/>
                  </pic:spPr>
                </pic:pic>
              </a:graphicData>
            </a:graphic>
          </wp:inline>
        </w:drawing>
      </w:r>
    </w:p>
    <w:p w14:paraId="4F4675CD" w14:textId="77777777" w:rsidR="00B650E5" w:rsidRDefault="00B650E5">
      <w:pPr>
        <w:numPr>
          <w:ilvl w:val="0"/>
          <w:numId w:val="207"/>
        </w:numPr>
        <w:autoSpaceDE w:val="0"/>
        <w:autoSpaceDN w:val="0"/>
        <w:adjustRightInd w:val="0"/>
        <w:spacing w:before="120" w:after="120"/>
        <w:ind w:left="426" w:hanging="426"/>
        <w:jc w:val="both"/>
      </w:pPr>
      <w:r>
        <w:t xml:space="preserve">Hodnotenie sa vykonáva ako predbežné (ex ante) hodnotenie, priebežné (on going) hodnotenie a následné (ex post) hodnotenie. </w:t>
      </w:r>
    </w:p>
    <w:p w14:paraId="5D222A2A" w14:textId="77777777" w:rsidR="00B650E5" w:rsidRDefault="00B650E5">
      <w:pPr>
        <w:numPr>
          <w:ilvl w:val="0"/>
          <w:numId w:val="207"/>
        </w:numPr>
        <w:autoSpaceDE w:val="0"/>
        <w:autoSpaceDN w:val="0"/>
        <w:adjustRightInd w:val="0"/>
        <w:spacing w:before="120" w:after="120"/>
        <w:ind w:left="426" w:hanging="426"/>
        <w:jc w:val="both"/>
      </w:pPr>
      <w:r>
        <w:t xml:space="preserve">Ex ante hodnotenie je neoddeliteľnou súčasťou procesu prípravy strategických dokumentov pre politiku súdržnosti v programovom období 2014 – 2020, ktorého závery a relevantné odporúčania sú zapracované do PD a OP. </w:t>
      </w:r>
    </w:p>
    <w:p w14:paraId="02B86E4B" w14:textId="77777777" w:rsidR="00B650E5" w:rsidRDefault="00B650E5">
      <w:pPr>
        <w:numPr>
          <w:ilvl w:val="0"/>
          <w:numId w:val="207"/>
        </w:numPr>
        <w:autoSpaceDE w:val="0"/>
        <w:autoSpaceDN w:val="0"/>
        <w:adjustRightInd w:val="0"/>
        <w:spacing w:before="120" w:after="120"/>
        <w:ind w:left="426" w:hanging="426"/>
        <w:jc w:val="both"/>
      </w:pPr>
      <w:r>
        <w:t>Cieľom  ex  ante  hodnotenia  je  v súlade  s čl. 55  všeobecného  nariadenia  zlepšiť  kvalitu  prípravy a implementácie  strategických  dokumentov, ako aj zhodnotiť ich účinnosť a dopad  a zároveň posúdiť stratégiu OP, merateľné ukazovatele, systém monitorovania a hodnotenia, konzistenciu finančných alokácií, príspevok k stratégii Európa 2020.</w:t>
      </w:r>
    </w:p>
    <w:p w14:paraId="786BEF56" w14:textId="77777777" w:rsidR="00B650E5" w:rsidRDefault="00B650E5" w:rsidP="008363F7">
      <w:pPr>
        <w:numPr>
          <w:ilvl w:val="0"/>
          <w:numId w:val="207"/>
        </w:numPr>
        <w:autoSpaceDE w:val="0"/>
        <w:autoSpaceDN w:val="0"/>
        <w:adjustRightInd w:val="0"/>
        <w:spacing w:before="120" w:after="120"/>
        <w:jc w:val="both"/>
      </w:pPr>
      <w:r w:rsidRPr="008363F7">
        <w:lastRenderedPageBreak/>
        <w:t>Priebežné hodnotenie sa realizuje podľa plánu hodnotení na programové obdobie 2014 - 2020 vytvoreného v súlade s čl. 56 a čl. 114 všeobecného nariadenia</w:t>
      </w:r>
      <w:r>
        <w:t>.</w:t>
      </w:r>
    </w:p>
    <w:p w14:paraId="5FC9AA02" w14:textId="77777777" w:rsidR="00B650E5" w:rsidRDefault="00B650E5">
      <w:pPr>
        <w:numPr>
          <w:ilvl w:val="0"/>
          <w:numId w:val="207"/>
        </w:numPr>
        <w:autoSpaceDE w:val="0"/>
        <w:autoSpaceDN w:val="0"/>
        <w:adjustRightInd w:val="0"/>
        <w:spacing w:before="120" w:after="120"/>
        <w:ind w:left="426" w:hanging="426"/>
        <w:jc w:val="both"/>
      </w:pPr>
      <w:bookmarkStart w:id="619" w:name="kapitola_421_ods_12"/>
      <w:bookmarkEnd w:id="619"/>
      <w:r>
        <w:t>Plán hodnotení je rozdelený do 3 častí:</w:t>
      </w:r>
    </w:p>
    <w:p w14:paraId="568BF18E" w14:textId="77777777" w:rsidR="00B650E5" w:rsidRDefault="00B650E5">
      <w:pPr>
        <w:numPr>
          <w:ilvl w:val="0"/>
          <w:numId w:val="264"/>
        </w:numPr>
        <w:spacing w:before="120" w:after="120"/>
        <w:ind w:left="851" w:hanging="425"/>
      </w:pPr>
      <w:r>
        <w:t xml:space="preserve">ciele, rozsah, koordinácia; </w:t>
      </w:r>
    </w:p>
    <w:p w14:paraId="51BEC4D4" w14:textId="77777777" w:rsidR="00B650E5" w:rsidRDefault="00B650E5">
      <w:pPr>
        <w:numPr>
          <w:ilvl w:val="0"/>
          <w:numId w:val="264"/>
        </w:numPr>
        <w:spacing w:before="120" w:after="120"/>
        <w:ind w:left="851" w:hanging="425"/>
        <w:jc w:val="both"/>
      </w:pPr>
      <w:r>
        <w:t xml:space="preserve">rámec hodnotenia – definovaná zodpovednosť za zostavenie plánu hodnotení, za koordináciu, monitorovanie a kvalitu hodnotení v priebehu celého hodnotiaceho cyklu; partneri, experti, možnosti vzdelávania, využitie hodnotení a informovanosť a publicita; </w:t>
      </w:r>
    </w:p>
    <w:p w14:paraId="1E91D69A" w14:textId="77777777" w:rsidR="00B650E5" w:rsidRDefault="00B650E5">
      <w:pPr>
        <w:numPr>
          <w:ilvl w:val="0"/>
          <w:numId w:val="264"/>
        </w:numPr>
        <w:spacing w:before="120" w:after="120"/>
        <w:ind w:left="851" w:hanging="425"/>
        <w:jc w:val="both"/>
      </w:pPr>
      <w:r>
        <w:t>indikatívny zoznam hodnotení, ktorý obsahuje najmä:</w:t>
      </w:r>
    </w:p>
    <w:p w14:paraId="5BE2A6C3" w14:textId="77777777" w:rsidR="00B650E5" w:rsidRDefault="00B650E5">
      <w:pPr>
        <w:pStyle w:val="Odsekzoznamu"/>
        <w:numPr>
          <w:ilvl w:val="0"/>
          <w:numId w:val="368"/>
        </w:numPr>
        <w:spacing w:before="120" w:after="120"/>
        <w:ind w:left="1276" w:hanging="425"/>
        <w:contextualSpacing w:val="0"/>
        <w:jc w:val="both"/>
      </w:pPr>
      <w:r>
        <w:t xml:space="preserve">predmet a zdôvodnenie, </w:t>
      </w:r>
    </w:p>
    <w:p w14:paraId="2124785C" w14:textId="77777777" w:rsidR="00B650E5" w:rsidRDefault="00B650E5">
      <w:pPr>
        <w:pStyle w:val="Odsekzoznamu"/>
        <w:numPr>
          <w:ilvl w:val="0"/>
          <w:numId w:val="368"/>
        </w:numPr>
        <w:spacing w:before="120" w:after="120"/>
        <w:ind w:left="1276" w:hanging="425"/>
        <w:contextualSpacing w:val="0"/>
        <w:jc w:val="both"/>
      </w:pPr>
      <w:r>
        <w:t>predpokladané metódy, ktoré sa použijú pre jednotlivé hodnotenia, a ich požiadavky na zber potrebných údajov,</w:t>
      </w:r>
    </w:p>
    <w:p w14:paraId="0F2A1C05" w14:textId="77777777" w:rsidR="00B650E5" w:rsidRDefault="00B650E5">
      <w:pPr>
        <w:pStyle w:val="Odsekzoznamu"/>
        <w:numPr>
          <w:ilvl w:val="0"/>
          <w:numId w:val="368"/>
        </w:numPr>
        <w:spacing w:before="120" w:after="120"/>
        <w:ind w:left="1276" w:hanging="425"/>
        <w:contextualSpacing w:val="0"/>
        <w:jc w:val="both"/>
      </w:pPr>
      <w:r>
        <w:t xml:space="preserve">indikatívny časový harmonogram, </w:t>
      </w:r>
    </w:p>
    <w:p w14:paraId="5D81A0F0" w14:textId="77777777" w:rsidR="00B650E5" w:rsidRDefault="00B650E5">
      <w:pPr>
        <w:pStyle w:val="Odsekzoznamu"/>
        <w:numPr>
          <w:ilvl w:val="0"/>
          <w:numId w:val="368"/>
        </w:numPr>
        <w:spacing w:before="120" w:after="120"/>
        <w:ind w:left="1276" w:hanging="425"/>
        <w:contextualSpacing w:val="0"/>
        <w:jc w:val="both"/>
      </w:pPr>
      <w:r>
        <w:t>indikatívny rozpočet pre vykonanie jednotlivých hodnotení</w:t>
      </w:r>
    </w:p>
    <w:p w14:paraId="51080F12" w14:textId="77777777" w:rsidR="00B650E5" w:rsidRDefault="00B650E5">
      <w:pPr>
        <w:numPr>
          <w:ilvl w:val="0"/>
          <w:numId w:val="207"/>
        </w:numPr>
        <w:autoSpaceDE w:val="0"/>
        <w:autoSpaceDN w:val="0"/>
        <w:adjustRightInd w:val="0"/>
        <w:spacing w:before="120" w:after="120"/>
        <w:ind w:left="425" w:hanging="425"/>
        <w:jc w:val="both"/>
      </w:pPr>
      <w:r>
        <w:t xml:space="preserve">Priebežné hodnotenie sa vykoná v priebehu programového obdobia ako hodnotenie zamerané na implementáciu; hodnotenie relevantnosti, efektívnosti a  účinnosti každého OP/HP alebo hodnotenie dopadov. Priebežné hodnotenie sa vykoná internou, externou alebo kombinovanou formou, čo sa uvedie aj v pláne hodnotení. </w:t>
      </w:r>
    </w:p>
    <w:p w14:paraId="3D37175B" w14:textId="77777777" w:rsidR="00B650E5" w:rsidRDefault="00B650E5">
      <w:pPr>
        <w:numPr>
          <w:ilvl w:val="0"/>
          <w:numId w:val="207"/>
        </w:numPr>
        <w:autoSpaceDE w:val="0"/>
        <w:autoSpaceDN w:val="0"/>
        <w:adjustRightInd w:val="0"/>
        <w:spacing w:before="120" w:after="120"/>
        <w:ind w:left="425" w:hanging="425"/>
        <w:jc w:val="both"/>
      </w:pPr>
      <w:r>
        <w:t xml:space="preserve">Následné/ex post hodnotenie vykoná EK v spolupráci so SR po skončení programového obdobia 2014 – 2020, najneskôr do  31.12.2024. </w:t>
      </w:r>
    </w:p>
    <w:p w14:paraId="0587D488" w14:textId="29FD3206" w:rsidR="00B650E5" w:rsidRDefault="00B650E5">
      <w:pPr>
        <w:numPr>
          <w:ilvl w:val="0"/>
          <w:numId w:val="207"/>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Interné hodnotenie OP/HP vykonávajú zamestnanci RO, zamestnanci gestora HP alebo zamestnanci iného útvaru ÚPPVII/ministerstva,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 implementáciu EŠIF. Hodnotenie OP/HP je možné vykonávať aj kombinovanou formou, pričom hodnotenie vykonávajú zamestnanci RO, zamestnanci gestora HP alebo zamestnanci iného útvaru ÚPPVII/ministerstva, v organizačnej pôsobnosti ktorého je RO/gestor HP s využitím externej odbornej podpory.</w:t>
      </w:r>
    </w:p>
    <w:p w14:paraId="46F10A0C" w14:textId="77777777" w:rsidR="00B650E5" w:rsidRDefault="00B650E5">
      <w:pPr>
        <w:numPr>
          <w:ilvl w:val="0"/>
          <w:numId w:val="207"/>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14:paraId="281B4162" w14:textId="77777777" w:rsidR="00B650E5" w:rsidRDefault="00B650E5">
      <w:pPr>
        <w:numPr>
          <w:ilvl w:val="0"/>
          <w:numId w:val="207"/>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14:paraId="38A809F8" w14:textId="77777777" w:rsidR="00B650E5" w:rsidRDefault="00B650E5">
      <w:pPr>
        <w:numPr>
          <w:ilvl w:val="0"/>
          <w:numId w:val="207"/>
        </w:numPr>
        <w:autoSpaceDE w:val="0"/>
        <w:autoSpaceDN w:val="0"/>
        <w:spacing w:before="120" w:after="120"/>
        <w:ind w:left="425" w:hanging="425"/>
        <w:jc w:val="both"/>
      </w:pPr>
      <w:r>
        <w:t xml:space="preserve">Predmetom hodnotenia dopadu je hodnotenie podpory z EŠIF v nadväznosti na plnenie cieľov EÚ na zabezpečenie inteligentného, udržateľného a inkluzívneho rastu a zvýšenie zamestnanosti, produktivity a sociálnej súdržnosti s národnými prioritami; zhodnotenie dopadov realizácie OP v hospodárskej oblasti, sociálnej oblasti, regionálnej oblasti a environmentálnej oblasti. Pri vykonávaní hodnotení dopadov sa posudzujú strategické aspekty, napr. ako prispela  politika súdržnosti k dosiahnutiu cieľov stratégie Európa 2020; makroekonomický dopad pomoci z EŠIF. Hodnotenia dopadov môžu byť zamerané na špecifické témy, ktoré sú strategicky dôležité pre </w:t>
      </w:r>
      <w:r>
        <w:lastRenderedPageBreak/>
        <w:t xml:space="preserve">dosiahnutie cieľov OP (napr. inovácie,  inteligentná špecializácia,  zamestnávanie mladých a pod.) alebo na HP. </w:t>
      </w:r>
    </w:p>
    <w:p w14:paraId="21933FDE" w14:textId="77777777" w:rsidR="00B650E5" w:rsidRDefault="00B650E5">
      <w:pPr>
        <w:numPr>
          <w:ilvl w:val="0"/>
          <w:numId w:val="207"/>
        </w:numPr>
        <w:spacing w:before="120" w:after="120"/>
        <w:ind w:left="425" w:hanging="425"/>
        <w:jc w:val="both"/>
      </w:pPr>
      <w:r>
        <w:t xml:space="preserve">Hodnotenie dopadu vyžaduje údaje aj z iných zdrojov, ako sú  monitorovacie systémy (napr. sociálne zabezpečenie, záznamy v nezamestnanosti alebo daňovej evidencie). V súlade s platnou legislatívou sa pri plánovaní takýchto hodnotení zohľadňuje  ochrana údajov, osobitne ochrana osobných údajov. </w:t>
      </w:r>
    </w:p>
    <w:p w14:paraId="2905FA25" w14:textId="77777777" w:rsidR="00B650E5" w:rsidRDefault="00B650E5">
      <w:pPr>
        <w:numPr>
          <w:ilvl w:val="0"/>
          <w:numId w:val="207"/>
        </w:numPr>
        <w:spacing w:before="120" w:after="120"/>
        <w:ind w:left="425" w:hanging="425"/>
        <w:jc w:val="both"/>
      </w:pPr>
      <w:r>
        <w:t>Zhodnotenie príspevku OP k plneniu stanovených cieľov, a to na úrovni každej PO prostredníctvom hodnotenia dopadov, sa vykoná minimálne raz za programové obdobie.</w:t>
      </w:r>
    </w:p>
    <w:p w14:paraId="655A36C1" w14:textId="77777777" w:rsidR="00B650E5" w:rsidRDefault="00B650E5">
      <w:pPr>
        <w:numPr>
          <w:ilvl w:val="0"/>
          <w:numId w:val="207"/>
        </w:numPr>
        <w:autoSpaceDE w:val="0"/>
        <w:autoSpaceDN w:val="0"/>
        <w:spacing w:before="120" w:after="120"/>
        <w:ind w:left="425" w:hanging="425"/>
        <w:jc w:val="both"/>
      </w:pPr>
      <w:r>
        <w:t xml:space="preserve">V súlade s čl. 56 ods. 3 všeobecného nariadenia budú vykonané hodnotenia preskúmané NMV pre EŠIF alebo MV pre OP a zaslané na EK.  </w:t>
      </w:r>
    </w:p>
    <w:p w14:paraId="50F377BC" w14:textId="77777777" w:rsidR="00B650E5" w:rsidRDefault="00B650E5">
      <w:pPr>
        <w:numPr>
          <w:ilvl w:val="0"/>
          <w:numId w:val="207"/>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14:paraId="2745372C" w14:textId="77777777" w:rsidR="00B650E5" w:rsidRDefault="00B650E5">
      <w:pPr>
        <w:numPr>
          <w:ilvl w:val="0"/>
          <w:numId w:val="207"/>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14:paraId="25625E97" w14:textId="77777777" w:rsidR="00B650E5" w:rsidRDefault="00B650E5">
      <w:pPr>
        <w:numPr>
          <w:ilvl w:val="0"/>
          <w:numId w:val="207"/>
        </w:numPr>
        <w:autoSpaceDE w:val="0"/>
        <w:autoSpaceDN w:val="0"/>
        <w:spacing w:before="120" w:after="120"/>
        <w:ind w:left="425" w:hanging="425"/>
        <w:jc w:val="both"/>
        <w:rPr>
          <w:color w:val="000000"/>
        </w:rPr>
      </w:pPr>
      <w:r>
        <w:rPr>
          <w:color w:val="000000"/>
        </w:rPr>
        <w:t xml:space="preserve">V súlade s čl. 56 ods. 2 všeobecného nariadenia príslušné zodpovedné orgány zabezpečia pre realizáciu hodnotenia vybudovanie a posilnenie kvalifikovaných AK v oblasti hodnotenia. </w:t>
      </w:r>
    </w:p>
    <w:p w14:paraId="49D384E5" w14:textId="77777777" w:rsidR="00B650E5" w:rsidRDefault="00B650E5">
      <w:pPr>
        <w:numPr>
          <w:ilvl w:val="0"/>
          <w:numId w:val="207"/>
        </w:numPr>
        <w:autoSpaceDE w:val="0"/>
        <w:autoSpaceDN w:val="0"/>
        <w:spacing w:before="120" w:after="120"/>
        <w:ind w:left="425" w:hanging="425"/>
        <w:jc w:val="both"/>
        <w:rPr>
          <w:color w:val="000000"/>
        </w:rPr>
      </w:pPr>
      <w:r>
        <w:rPr>
          <w:color w:val="000000"/>
        </w:rPr>
        <w:t>Kvalifikovanosť a odbornosť manažérov hodnotenia sa zabezpečuje prostredníctvom priebežného odborného vzdelávania.</w:t>
      </w:r>
      <w:bookmarkStart w:id="620" w:name="_Toc390099905"/>
    </w:p>
    <w:p w14:paraId="529E2E51" w14:textId="77777777" w:rsidR="00B650E5" w:rsidRDefault="00B650E5">
      <w:pPr>
        <w:pStyle w:val="SRK3"/>
      </w:pPr>
      <w:bookmarkStart w:id="621" w:name="_Toc391992008"/>
      <w:bookmarkStart w:id="622" w:name="_Toc453234114"/>
      <w:bookmarkStart w:id="623" w:name="_Toc495649472"/>
      <w:r>
        <w:t>4.2.2 Úlohy CKO v oblasti hodnotenia</w:t>
      </w:r>
      <w:bookmarkEnd w:id="620"/>
      <w:bookmarkEnd w:id="621"/>
      <w:bookmarkEnd w:id="622"/>
      <w:bookmarkEnd w:id="623"/>
    </w:p>
    <w:p w14:paraId="1963AD33" w14:textId="77777777" w:rsidR="00B650E5" w:rsidRDefault="00B650E5">
      <w:pPr>
        <w:numPr>
          <w:ilvl w:val="0"/>
          <w:numId w:val="208"/>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14:paraId="1FF833DA" w14:textId="77777777" w:rsidR="00B650E5" w:rsidRDefault="00B650E5">
      <w:pPr>
        <w:numPr>
          <w:ilvl w:val="0"/>
          <w:numId w:val="208"/>
        </w:numPr>
        <w:autoSpaceDE w:val="0"/>
        <w:autoSpaceDN w:val="0"/>
        <w:adjustRightInd w:val="0"/>
        <w:spacing w:before="120" w:after="120"/>
        <w:ind w:left="425" w:hanging="425"/>
        <w:jc w:val="both"/>
      </w:pPr>
      <w:r>
        <w:t xml:space="preserve">CKO vypracúva a aktualizuje v priebehu programového obdobia 2014 </w:t>
      </w:r>
      <w:r w:rsidR="00341477">
        <w:t xml:space="preserve">- </w:t>
      </w:r>
      <w:r>
        <w:t>2020 metodické usmernenia pre procesy hodnotenia na národnej úrovni, ktoré sú nevyhnutné  pre vykonanie kvalitných hodnotení v zmysle príslušných usmernení EK.</w:t>
      </w:r>
    </w:p>
    <w:p w14:paraId="0FEA0020" w14:textId="77777777" w:rsidR="00B650E5" w:rsidRDefault="00B650E5">
      <w:pPr>
        <w:numPr>
          <w:ilvl w:val="0"/>
          <w:numId w:val="208"/>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14:paraId="1F137B82" w14:textId="77777777" w:rsidR="00B650E5" w:rsidRDefault="00B650E5">
      <w:pPr>
        <w:numPr>
          <w:ilvl w:val="0"/>
          <w:numId w:val="208"/>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14:paraId="4975E053" w14:textId="2D0BF5F2" w:rsidR="00B650E5" w:rsidRDefault="00B650E5">
      <w:pPr>
        <w:numPr>
          <w:ilvl w:val="0"/>
          <w:numId w:val="208"/>
        </w:numPr>
        <w:autoSpaceDE w:val="0"/>
        <w:autoSpaceDN w:val="0"/>
        <w:adjustRightInd w:val="0"/>
        <w:spacing w:before="120" w:after="120"/>
        <w:ind w:left="426" w:hanging="426"/>
        <w:jc w:val="both"/>
      </w:pPr>
      <w:r>
        <w:t xml:space="preserve">CKO vypracuje Plán hodnotení EŠIF na programové obdobie 2014 – 2020; viď </w:t>
      </w:r>
      <w:hyperlink w:anchor="kapitola_421_ods_12" w:tooltip="kapitola 4.2.1, ods. 12" w:history="1">
        <w:r>
          <w:rPr>
            <w:rStyle w:val="Hypertextovprepojenie"/>
          </w:rPr>
          <w:t>kapitola 4.2.1, ods. 12</w:t>
        </w:r>
      </w:hyperlink>
      <w:r>
        <w:t>)  na národnej úrovni v súlade s čl. 56 a čl. 114 všeobecného nariadenia, metodickým usmernením EK - Monitorovanie a hodnotenie európskej politiky súdržnosti (ESF) a Usmernenie o monitorovaní a hodnotení (EFRR a KF).</w:t>
      </w:r>
    </w:p>
    <w:p w14:paraId="4A2BAF89" w14:textId="3A8FA09D" w:rsidR="00B650E5" w:rsidRDefault="00B650E5">
      <w:pPr>
        <w:numPr>
          <w:ilvl w:val="0"/>
          <w:numId w:val="208"/>
        </w:numPr>
        <w:autoSpaceDE w:val="0"/>
        <w:autoSpaceDN w:val="0"/>
        <w:adjustRightInd w:val="0"/>
        <w:spacing w:before="120" w:after="120"/>
        <w:ind w:left="425" w:hanging="425"/>
        <w:jc w:val="both"/>
      </w:pPr>
      <w:r>
        <w:t>Plán hodnotení EŠIF na programové obdobie 2014 – 2020 obsahuje aj hodnotenia zamerané na</w:t>
      </w:r>
      <w:r w:rsidR="00E60ECF">
        <w:t> </w:t>
      </w:r>
      <w:r>
        <w:t>hodnotenie HP.</w:t>
      </w:r>
    </w:p>
    <w:p w14:paraId="08F9FD61" w14:textId="77777777" w:rsidR="00B650E5" w:rsidRDefault="00B650E5">
      <w:pPr>
        <w:numPr>
          <w:ilvl w:val="0"/>
          <w:numId w:val="208"/>
        </w:numPr>
        <w:autoSpaceDE w:val="0"/>
        <w:autoSpaceDN w:val="0"/>
        <w:adjustRightInd w:val="0"/>
        <w:spacing w:before="120" w:after="120"/>
        <w:ind w:left="425" w:hanging="425"/>
        <w:jc w:val="both"/>
      </w:pPr>
      <w:r>
        <w:t>CKO vypracuje Plán hodnotení EŠIF na programové obdobie 2014 – 2020 po prijatí PD Európskou komisiou a predloží ho členom NMV pre EŠIF na schválenie.</w:t>
      </w:r>
    </w:p>
    <w:p w14:paraId="797A2736" w14:textId="427B582F" w:rsidR="00B650E5" w:rsidRDefault="00B650E5">
      <w:pPr>
        <w:numPr>
          <w:ilvl w:val="0"/>
          <w:numId w:val="208"/>
        </w:numPr>
        <w:autoSpaceDE w:val="0"/>
        <w:autoSpaceDN w:val="0"/>
        <w:adjustRightInd w:val="0"/>
        <w:spacing w:before="120" w:after="120"/>
        <w:ind w:left="425" w:hanging="425"/>
        <w:jc w:val="both"/>
      </w:pPr>
      <w:r>
        <w:t xml:space="preserve">CKO aktualizuje v prípade potreby naplánované hodnotenia schválené v Pláne hodnotení EŠIF na programové obdobie 2014 – 2020 a  predkladá formou „Aktualizácie plánovaných hodnotení EŠIF na programové obdobie 2014 – 2020 č. XY“ členom NMV pre EŠIF na schválenie. </w:t>
      </w:r>
    </w:p>
    <w:p w14:paraId="5E3F2C90" w14:textId="386DAB19" w:rsidR="00B650E5" w:rsidRDefault="00B650E5" w:rsidP="001A75B5">
      <w:pPr>
        <w:numPr>
          <w:ilvl w:val="0"/>
          <w:numId w:val="208"/>
        </w:numPr>
        <w:autoSpaceDE w:val="0"/>
        <w:autoSpaceDN w:val="0"/>
        <w:adjustRightInd w:val="0"/>
        <w:spacing w:before="120" w:after="120"/>
        <w:ind w:left="425" w:hanging="425"/>
        <w:jc w:val="both"/>
      </w:pPr>
      <w:r>
        <w:lastRenderedPageBreak/>
        <w:t>Aktualizácia plánovaných hodnotení EŠIF na programové obdobie 2014 – 2020 č. XY obsahuje okrem plánovaných hodnotení EŠIF v súlade s Plánom hodnotení EŠIF na programové obdobie 2014 – 2020 aj nové hodnotenia</w:t>
      </w:r>
      <w:r w:rsidR="00E60ECF">
        <w:t>,</w:t>
      </w:r>
      <w:r>
        <w:t xml:space="preserve"> zohľadňujúce reálne potreby RO pri implementácii OP. V prípade neaktuálnosti naplánovaných hodnotení, resp. z iných dôvodov je možné takéto hodnotenia z aktualizácie plánovaných hodnotení vypustiť.</w:t>
      </w:r>
    </w:p>
    <w:p w14:paraId="389D8A85" w14:textId="3D253851" w:rsidR="00B650E5" w:rsidRDefault="00B650E5">
      <w:pPr>
        <w:numPr>
          <w:ilvl w:val="0"/>
          <w:numId w:val="208"/>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resp. pri jeho aktualizácii, spolupracuje s členmi Pracovnej skupiny pre hodnotenie a vecne príslušnými partnermi.</w:t>
      </w:r>
    </w:p>
    <w:p w14:paraId="0ED7F3F9" w14:textId="77777777" w:rsidR="00B650E5" w:rsidRDefault="00B650E5">
      <w:pPr>
        <w:numPr>
          <w:ilvl w:val="0"/>
          <w:numId w:val="208"/>
        </w:numPr>
        <w:autoSpaceDE w:val="0"/>
        <w:autoSpaceDN w:val="0"/>
        <w:adjustRightInd w:val="0"/>
        <w:spacing w:before="120" w:after="120"/>
        <w:ind w:left="425" w:hanging="425"/>
        <w:jc w:val="both"/>
      </w:pPr>
      <w:r>
        <w:t>CKO vykonáva počas programového obdobia 2014 – 2020 hodnotenie zamerané na implementáciu EŠIF, pri ktorom sa posúdi relevantnosť, efektívnosť, účinnosť implementácie EŠIF.</w:t>
      </w:r>
    </w:p>
    <w:p w14:paraId="0DB76144" w14:textId="77777777" w:rsidR="00B650E5" w:rsidRDefault="00B650E5">
      <w:pPr>
        <w:numPr>
          <w:ilvl w:val="0"/>
          <w:numId w:val="208"/>
        </w:numPr>
        <w:autoSpaceDE w:val="0"/>
        <w:autoSpaceDN w:val="0"/>
        <w:adjustRightInd w:val="0"/>
        <w:spacing w:before="120" w:after="120"/>
        <w:ind w:left="425" w:hanging="425"/>
        <w:jc w:val="both"/>
      </w:pPr>
      <w:r>
        <w:t>CKO vykonáva hodnotenie ako podklad pre správu o pokroku, ktorú je SR, v súlade s čl. 52 všeobecného nariadenia, povinná predložiť EK v termíne do 31.08.2017 a do 31.08.2019.</w:t>
      </w:r>
    </w:p>
    <w:p w14:paraId="4F1B1DF5" w14:textId="77777777" w:rsidR="00B650E5" w:rsidRDefault="00B650E5">
      <w:pPr>
        <w:numPr>
          <w:ilvl w:val="0"/>
          <w:numId w:val="208"/>
        </w:numPr>
        <w:autoSpaceDE w:val="0"/>
        <w:autoSpaceDN w:val="0"/>
        <w:adjustRightInd w:val="0"/>
        <w:spacing w:before="120" w:after="120"/>
        <w:ind w:left="425" w:hanging="425"/>
        <w:jc w:val="both"/>
      </w:pPr>
      <w:r>
        <w:t>CKO vykoná hodnotenie ako podklad pre prípravu návrhu na prerozdelenie výkonnostnej rezervy PO, ktoré nedosiahli stanovené čiastkové ciele (v súlade s čl.22 ods.4 všeobecného nariadenia) a  tento zašle EK. Hodnotenie bude vykonané do 30.06.2019 a bude zohľadňovať potreby a priority SR</w:t>
      </w:r>
      <w:r w:rsidR="006F3B93">
        <w:t xml:space="preserve">, </w:t>
      </w:r>
      <w:r>
        <w:t xml:space="preserve"> ako aj implementačnú schopnosť jednotlivých OP.</w:t>
      </w:r>
    </w:p>
    <w:p w14:paraId="5E5918F1" w14:textId="57EE59FC" w:rsidR="00B650E5" w:rsidRDefault="00B650E5">
      <w:pPr>
        <w:numPr>
          <w:ilvl w:val="0"/>
          <w:numId w:val="208"/>
        </w:numPr>
        <w:autoSpaceDE w:val="0"/>
        <w:autoSpaceDN w:val="0"/>
        <w:adjustRightInd w:val="0"/>
        <w:spacing w:before="120" w:after="120"/>
        <w:ind w:left="425" w:hanging="425"/>
        <w:jc w:val="both"/>
      </w:pPr>
      <w:r>
        <w:t>CKO predkladá členom NMV pre EŠIF, partnerom a EK odpočet z plnenia plánu hodnotení</w:t>
      </w:r>
      <w:r w:rsidR="006F3B93">
        <w:t xml:space="preserve">, </w:t>
      </w:r>
      <w:r>
        <w:t xml:space="preserve"> ako aj výstupy z jednotlivých hodnotení formou súhrnných správ o aktivitách hodnotenia a výsledkoch hodnotení EŠIF aspoň raz za kalendárny rok.</w:t>
      </w:r>
    </w:p>
    <w:p w14:paraId="1B1EC6B2" w14:textId="77777777" w:rsidR="00B650E5" w:rsidRDefault="00B650E5">
      <w:pPr>
        <w:numPr>
          <w:ilvl w:val="0"/>
          <w:numId w:val="208"/>
        </w:numPr>
        <w:autoSpaceDE w:val="0"/>
        <w:autoSpaceDN w:val="0"/>
        <w:adjustRightInd w:val="0"/>
        <w:spacing w:before="120" w:after="120"/>
        <w:ind w:left="425" w:hanging="425"/>
        <w:jc w:val="both"/>
      </w:pPr>
      <w:r>
        <w:t xml:space="preserve">CKO zriadi na webovom sídle </w:t>
      </w:r>
      <w:hyperlink r:id="rId215" w:history="1">
        <w:r w:rsidRPr="00673252">
          <w:rPr>
            <w:rStyle w:val="Hypertextovprepojenie"/>
          </w:rPr>
          <w:t>www.partnerskadohoda.gov.sk</w:t>
        </w:r>
      </w:hyperlink>
      <w:r>
        <w:t xml:space="preserve"> verejne dostupnú databázu záverečných hodnotiacich správ, kde budú zverejnené záverečné hodnotiace správy z interných,  externých a kombinovaných hodnotení vrátane stručného zhrnutia vypracovaného v anglickom jazyku. </w:t>
      </w:r>
    </w:p>
    <w:p w14:paraId="06B958C9" w14:textId="6DFEFB3A" w:rsidR="00B650E5" w:rsidRDefault="00B650E5" w:rsidP="000622ED">
      <w:pPr>
        <w:numPr>
          <w:ilvl w:val="0"/>
          <w:numId w:val="208"/>
        </w:numPr>
        <w:autoSpaceDE w:val="0"/>
        <w:autoSpaceDN w:val="0"/>
        <w:adjustRightInd w:val="0"/>
        <w:spacing w:before="120" w:after="120"/>
        <w:ind w:left="425" w:hanging="425"/>
        <w:jc w:val="both"/>
      </w:pPr>
      <w:r>
        <w:t>CKO vypracováva Súhrnnú správu o aktivitách hodnotenia a výsledkoch hodnotení EŠIF za</w:t>
      </w:r>
      <w:r w:rsidR="00E60ECF">
        <w:t> </w:t>
      </w:r>
      <w:r>
        <w:t>predchádzajúci kalendárny rok v termíne do 31. mája kalendárneho roka, ktorú predkladá členom NMV pre EŠIF a partnerom ako informatívny dokument. Uvedená súhrnná správa obsahuje najmä:</w:t>
      </w:r>
    </w:p>
    <w:p w14:paraId="0F8FBA64"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proces zabezpečenia výkonu hodnotení v rámci EŠIF, </w:t>
      </w:r>
    </w:p>
    <w:p w14:paraId="17EE379E"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prehľad aktivít hodnotenia, výsledky hodnotení a ich implementáciu,</w:t>
      </w:r>
    </w:p>
    <w:p w14:paraId="28D85F19"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personálne zabezpečenie hodnotení,</w:t>
      </w:r>
    </w:p>
    <w:p w14:paraId="0FC50C7D"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prehľad aktivít hodnotenia, zahŕňajúc rozpracované, zrealizované a nezrealizované aktivity</w:t>
      </w:r>
      <w:r>
        <w:t>,</w:t>
      </w:r>
    </w:p>
    <w:p w14:paraId="157CD90D"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výsledky</w:t>
      </w:r>
      <w:r>
        <w:t xml:space="preserve"> hodnotení a ich implementácia,</w:t>
      </w:r>
    </w:p>
    <w:p w14:paraId="719F7FB1"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informácie o odporúčaniach hodnotiteľov z vykonaných hodnotení</w:t>
      </w:r>
      <w:r>
        <w:t>,</w:t>
      </w:r>
    </w:p>
    <w:p w14:paraId="0EF29D71"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 informácie o odpočte  implementácie odporúčaní hodnotiteľov z vykonaných hodnotení.</w:t>
      </w:r>
    </w:p>
    <w:p w14:paraId="0C8EC083" w14:textId="77777777" w:rsidR="00B650E5" w:rsidRDefault="00B650E5" w:rsidP="000622ED">
      <w:pPr>
        <w:numPr>
          <w:ilvl w:val="0"/>
          <w:numId w:val="208"/>
        </w:numPr>
        <w:autoSpaceDE w:val="0"/>
        <w:autoSpaceDN w:val="0"/>
        <w:adjustRightInd w:val="0"/>
        <w:spacing w:before="120" w:after="120"/>
        <w:ind w:left="425" w:hanging="425"/>
        <w:jc w:val="both"/>
      </w:pPr>
      <w:r>
        <w:t>CKO vypracuje, v súlade s  čl. 114 ods. 2  všeobecného nariadenia, súhrnnú správu o realizácii hodnotení v programovom období 2014 - 2020</w:t>
      </w:r>
      <w:r>
        <w:rPr>
          <w:noProof/>
        </w:rPr>
        <w:t>, v ktorej zhrnie všetky zistenia hodnotení uskutočnených počas celého programového obdobia a predloží ju EK v termíne do                        31. decembra 2022</w:t>
      </w:r>
      <w:r>
        <w:t>.</w:t>
      </w:r>
    </w:p>
    <w:p w14:paraId="5B7C0781" w14:textId="77777777" w:rsidR="00B650E5" w:rsidRDefault="00B650E5">
      <w:pPr>
        <w:numPr>
          <w:ilvl w:val="0"/>
          <w:numId w:val="208"/>
        </w:numPr>
        <w:autoSpaceDE w:val="0"/>
        <w:autoSpaceDN w:val="0"/>
        <w:adjustRightInd w:val="0"/>
        <w:spacing w:before="120" w:after="120"/>
        <w:ind w:left="425" w:hanging="425"/>
        <w:jc w:val="both"/>
      </w:pPr>
      <w:r>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14:paraId="4038B642" w14:textId="77777777" w:rsidR="00B650E5" w:rsidRDefault="00B650E5">
      <w:pPr>
        <w:numPr>
          <w:ilvl w:val="0"/>
          <w:numId w:val="208"/>
        </w:numPr>
        <w:autoSpaceDE w:val="0"/>
        <w:autoSpaceDN w:val="0"/>
        <w:adjustRightInd w:val="0"/>
        <w:spacing w:before="120" w:after="120"/>
        <w:ind w:left="425" w:hanging="425"/>
        <w:jc w:val="both"/>
      </w:pPr>
      <w:r>
        <w:lastRenderedPageBreak/>
        <w:t xml:space="preserve">CKO spolupracuje s príslušnými útvarmi generálnych riaditeľstiev EK zameraných na hodnotenie a pravidelne sa zúčastňuje na pracovných skupinách pre hodnotenie organizovaných príslušnými generálnymi riaditeľstvami EK. </w:t>
      </w:r>
    </w:p>
    <w:p w14:paraId="5AB4C603" w14:textId="77777777" w:rsidR="00B650E5" w:rsidRDefault="00B650E5">
      <w:pPr>
        <w:numPr>
          <w:ilvl w:val="0"/>
          <w:numId w:val="208"/>
        </w:numPr>
        <w:autoSpaceDE w:val="0"/>
        <w:autoSpaceDN w:val="0"/>
        <w:adjustRightInd w:val="0"/>
        <w:spacing w:before="120" w:after="120"/>
        <w:ind w:left="425" w:hanging="425"/>
        <w:jc w:val="both"/>
      </w:pPr>
      <w:r>
        <w:t>CKO v spolupráci s ÚV SR zabezpečuje jednotné prehlbovanie kvalifikácie manažérov hodnotenia RO/gestorov HP prostredníctvom školení vyplývajúcich z Centrálneho plánu vzdelávania.</w:t>
      </w:r>
      <w:bookmarkStart w:id="624" w:name="_Toc390099906"/>
    </w:p>
    <w:p w14:paraId="641D383B" w14:textId="77777777" w:rsidR="00B650E5" w:rsidRDefault="00B650E5">
      <w:pPr>
        <w:pStyle w:val="SRK3"/>
      </w:pPr>
      <w:bookmarkStart w:id="625" w:name="_Toc391992009"/>
      <w:bookmarkStart w:id="626" w:name="_Toc453234115"/>
      <w:bookmarkStart w:id="627" w:name="_Toc495649473"/>
      <w:r>
        <w:t>4.2.3 Úlohy riadiaceho orgánu/gestorov HP v oblasti hodnotenia</w:t>
      </w:r>
      <w:bookmarkEnd w:id="624"/>
      <w:bookmarkEnd w:id="625"/>
      <w:bookmarkEnd w:id="626"/>
      <w:bookmarkEnd w:id="627"/>
    </w:p>
    <w:p w14:paraId="500312CA"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14:paraId="20F4A3AE" w14:textId="77777777" w:rsidR="00B650E5" w:rsidRDefault="00B650E5">
      <w:pPr>
        <w:numPr>
          <w:ilvl w:val="0"/>
          <w:numId w:val="209"/>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14:paraId="64380AF2"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pre programové obdobie 2014 – 2020 (ďalej len „Plán hodnotení OP“) na programovej úrovni v súlade s čl. 56 a čl. 114 všeobecného nariadenia a metodickým usmernením EK - Monitorovanie a hodnotenie európskej politiky súdržnosti  (ESF) a Usmernenie o monitorovaní a hodnotení (EFRR a KF). </w:t>
      </w:r>
    </w:p>
    <w:p w14:paraId="5508E3B8"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14:paraId="5114E2B5" w14:textId="77777777" w:rsidR="00B650E5" w:rsidRDefault="00B650E5">
      <w:pPr>
        <w:numPr>
          <w:ilvl w:val="0"/>
          <w:numId w:val="209"/>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14:paraId="294A23EE" w14:textId="77777777" w:rsidR="00B650E5" w:rsidRDefault="00B650E5">
      <w:pPr>
        <w:numPr>
          <w:ilvl w:val="0"/>
          <w:numId w:val="209"/>
        </w:numPr>
        <w:suppressAutoHyphens/>
        <w:autoSpaceDE w:val="0"/>
        <w:autoSpaceDN w:val="0"/>
        <w:spacing w:before="120" w:after="120"/>
        <w:ind w:left="426" w:hanging="426"/>
        <w:jc w:val="both"/>
        <w:textAlignment w:val="baseline"/>
      </w:pPr>
      <w:bookmarkStart w:id="628" w:name="kapitola_423_ods_6"/>
      <w:bookmarkEnd w:id="628"/>
      <w:r w:rsidRPr="00803B7E">
        <w:t xml:space="preserve">RO predkladá Plán hodnotení OP na posúdenie CKO pred jeho predložením MV. RO zasiela CKO Plán hodnotení OP schválený MV prostredníctvom e-mailu na adresu </w:t>
      </w:r>
      <w:hyperlink r:id="rId216" w:history="1">
        <w:r w:rsidRPr="00673252">
          <w:rPr>
            <w:rStyle w:val="Hypertextovprepojenie"/>
          </w:rPr>
          <w:t>hodnotenie.cko@vicepremier.gov.sk</w:t>
        </w:r>
      </w:hyperlink>
      <w:r>
        <w:t>.</w:t>
      </w:r>
    </w:p>
    <w:p w14:paraId="1C5123B3" w14:textId="0745C2B5" w:rsidR="00B650E5" w:rsidRPr="00803B7E" w:rsidRDefault="00B650E5" w:rsidP="000E286B">
      <w:pPr>
        <w:numPr>
          <w:ilvl w:val="0"/>
          <w:numId w:val="209"/>
        </w:numPr>
        <w:suppressAutoHyphens/>
        <w:autoSpaceDE w:val="0"/>
        <w:autoSpaceDN w:val="0"/>
        <w:spacing w:before="120" w:after="120"/>
        <w:ind w:left="426" w:hanging="426"/>
        <w:jc w:val="both"/>
        <w:textAlignment w:val="baseline"/>
      </w:pPr>
      <w:r w:rsidRPr="00781C23">
        <w:t xml:space="preserve">RO aktualizuje Plán hodnotení OP podľa reálnej potreby RO pri implementácii OP, a to formou jeho doplnenia, preformulovania, vypustenia hodnotení alebo textu. Štruktúra a forma aktualizovaného Plánu hodnotení OP je rovnaká ako v prípade schváleného Plánu hodnotení OP na programové obdobie 2014 – 2020 v zmysle </w:t>
      </w:r>
      <w:r>
        <w:t>metodického pokynu CKO</w:t>
      </w:r>
      <w:r>
        <w:rPr>
          <w:rStyle w:val="Odkaznapoznmkupodiarou"/>
        </w:rPr>
        <w:footnoteReference w:id="155"/>
      </w:r>
      <w:r w:rsidRPr="00781C23">
        <w:t>.</w:t>
      </w:r>
      <w:r w:rsidRPr="00D1122E">
        <w:t xml:space="preserve"> </w:t>
      </w:r>
      <w:r>
        <w:t>Aktualizovaný Plán hodnotení OP schvaľuje MV.</w:t>
      </w:r>
      <w:r w:rsidRPr="000A2A83">
        <w:t xml:space="preserve"> </w:t>
      </w:r>
      <w:r w:rsidRPr="00F81DB5">
        <w:rPr>
          <w:bCs/>
        </w:rPr>
        <w:t>Následne</w:t>
      </w:r>
      <w:r>
        <w:rPr>
          <w:bCs/>
        </w:rPr>
        <w:t xml:space="preserve"> RO</w:t>
      </w:r>
      <w:r w:rsidRPr="00F81DB5">
        <w:rPr>
          <w:bCs/>
        </w:rPr>
        <w:t xml:space="preserve"> </w:t>
      </w:r>
      <w:r>
        <w:rPr>
          <w:bCs/>
        </w:rPr>
        <w:t xml:space="preserve">zasiela </w:t>
      </w:r>
      <w:r w:rsidRPr="00F81DB5">
        <w:rPr>
          <w:bCs/>
        </w:rPr>
        <w:t xml:space="preserve">CKO </w:t>
      </w:r>
      <w:r>
        <w:rPr>
          <w:bCs/>
        </w:rPr>
        <w:t xml:space="preserve">informáciu </w:t>
      </w:r>
      <w:r w:rsidRPr="00F81DB5">
        <w:rPr>
          <w:bCs/>
        </w:rPr>
        <w:t>o schválen</w:t>
      </w:r>
      <w:r w:rsidR="003C3BC7">
        <w:rPr>
          <w:bCs/>
        </w:rPr>
        <w:t>om</w:t>
      </w:r>
      <w:r w:rsidRPr="00F81DB5">
        <w:rPr>
          <w:bCs/>
        </w:rPr>
        <w:t xml:space="preserve"> aktualiz</w:t>
      </w:r>
      <w:r w:rsidR="003C3BC7">
        <w:rPr>
          <w:bCs/>
        </w:rPr>
        <w:t>ovanom</w:t>
      </w:r>
      <w:r>
        <w:rPr>
          <w:bCs/>
        </w:rPr>
        <w:t xml:space="preserve"> </w:t>
      </w:r>
      <w:r w:rsidR="003C3BC7">
        <w:rPr>
          <w:bCs/>
        </w:rPr>
        <w:t xml:space="preserve">Pláne hodnotení OP </w:t>
      </w:r>
      <w:r>
        <w:rPr>
          <w:bCs/>
        </w:rPr>
        <w:t xml:space="preserve">prostredníctvom e-mailu na adresu </w:t>
      </w:r>
      <w:hyperlink r:id="rId217" w:history="1">
        <w:r w:rsidRPr="0017155C">
          <w:rPr>
            <w:rStyle w:val="Hypertextovprepojenie"/>
          </w:rPr>
          <w:t>hodnotenie.cko@vicepremier.gov.sk</w:t>
        </w:r>
      </w:hyperlink>
      <w:r w:rsidR="00E60ECF">
        <w:rPr>
          <w:bCs/>
        </w:rPr>
        <w:t>.</w:t>
      </w:r>
    </w:p>
    <w:p w14:paraId="6FD35361" w14:textId="77777777" w:rsidR="00B650E5" w:rsidRDefault="00B650E5" w:rsidP="00803B7E">
      <w:pPr>
        <w:numPr>
          <w:ilvl w:val="0"/>
          <w:numId w:val="209"/>
        </w:numPr>
        <w:suppressAutoHyphens/>
        <w:autoSpaceDE w:val="0"/>
        <w:autoSpaceDN w:val="0"/>
        <w:spacing w:before="120" w:after="120"/>
        <w:ind w:left="426" w:hanging="426"/>
        <w:jc w:val="both"/>
        <w:textAlignment w:val="baseline"/>
      </w:pPr>
      <w:r>
        <w:t>MV</w:t>
      </w:r>
      <w:r>
        <w:rPr>
          <w:spacing w:val="1"/>
        </w:rPr>
        <w:t xml:space="preserve"> sleduje v súlade s čl. 49 ods. 2 plnenie Plánu </w:t>
      </w:r>
      <w:r>
        <w:t xml:space="preserve">hodnotení a v prípade potreby sa vyjadruje k hodnoteniu programu a odpočtu zapracovania jeho požiadaviek. Ak sa jeden MV zaoberá viac ako jedným OP, Plán hodnotení OP sa môže týkať všetkých príslušných OP. RO v prípade potreby </w:t>
      </w:r>
      <w:r w:rsidRPr="001F1092">
        <w:t xml:space="preserve">aktualizuje </w:t>
      </w:r>
      <w:r>
        <w:t xml:space="preserve">Plán hodnotení OP, pričom je potrebné dodržať ustanovenie </w:t>
      </w:r>
      <w:hyperlink w:anchor="kapitola_423_ods_6" w:tooltip="ods. 6 tejto kapitoly" w:history="1">
        <w:r w:rsidRPr="00803B7E">
          <w:rPr>
            <w:rStyle w:val="Hypertextovprepojenie"/>
          </w:rPr>
          <w:t>ods. 6 tejto kapitoly</w:t>
        </w:r>
      </w:hyperlink>
      <w:r>
        <w:t xml:space="preserve">. </w:t>
      </w:r>
    </w:p>
    <w:p w14:paraId="1932A9C6" w14:textId="77777777" w:rsidR="00B650E5" w:rsidRDefault="00B650E5">
      <w:pPr>
        <w:numPr>
          <w:ilvl w:val="0"/>
          <w:numId w:val="209"/>
        </w:numPr>
        <w:suppressAutoHyphens/>
        <w:autoSpaceDE w:val="0"/>
        <w:autoSpaceDN w:val="0"/>
        <w:spacing w:before="120" w:after="120"/>
        <w:ind w:left="426" w:hanging="426"/>
        <w:jc w:val="both"/>
        <w:textAlignment w:val="baseline"/>
      </w:pPr>
      <w:r>
        <w:t>RO, ktorý implementuje Iniciatívu na podporu zamestnanosti mladých ľudí, vykoná najmenej dvakrát v priebehu programového obdobia hodnotenie zamerané na posúdenie účinnosti, efektívnosti a vplyvu spoločnej podpory z ESF a osobitne vyčlenených prostriedkov na túto iniciatívu, a to aj na vykonávanie systému záruk pre mladých ľudí. Prvé hodnotenie sa vykoná v súlade s čl. 19, ods. 6 nariadenia o ESF do 31. decembra 2015 a druhé hodnotenie do 31. decembra 2018.</w:t>
      </w:r>
    </w:p>
    <w:p w14:paraId="47A7DC62" w14:textId="1A4B4776" w:rsidR="00B650E5" w:rsidRDefault="00B650E5">
      <w:pPr>
        <w:numPr>
          <w:ilvl w:val="0"/>
          <w:numId w:val="209"/>
        </w:numPr>
        <w:suppressAutoHyphens/>
        <w:autoSpaceDE w:val="0"/>
        <w:autoSpaceDN w:val="0"/>
        <w:spacing w:before="120" w:after="120"/>
        <w:ind w:left="426" w:hanging="426"/>
        <w:jc w:val="both"/>
        <w:textAlignment w:val="baseline"/>
      </w:pPr>
      <w:r>
        <w:lastRenderedPageBreak/>
        <w:t>RO poskytuje údaje potrebné pre hodnotenie HP príslušným gestorom HP a hodnotiteľovi HP v</w:t>
      </w:r>
      <w:r w:rsidR="00E60ECF">
        <w:t> </w:t>
      </w:r>
      <w:r>
        <w:t xml:space="preserve">prípade vykonávania hodnotenia HP v rámci OP, skupiny vybraných OP alebo všetkých OP. </w:t>
      </w:r>
    </w:p>
    <w:p w14:paraId="0DBE7212"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14:paraId="5E2AE78A" w14:textId="77777777" w:rsidR="00B650E5" w:rsidRDefault="00B650E5">
      <w:pPr>
        <w:numPr>
          <w:ilvl w:val="0"/>
          <w:numId w:val="209"/>
        </w:numPr>
        <w:suppressAutoHyphens/>
        <w:autoSpaceDE w:val="0"/>
        <w:autoSpaceDN w:val="0"/>
        <w:spacing w:before="120" w:after="120"/>
        <w:ind w:left="426" w:hanging="426"/>
        <w:jc w:val="both"/>
        <w:textAlignment w:val="baseline"/>
      </w:pPr>
      <w:r>
        <w:t>RO  môže zriadiť a zabezpečiť fungovanie pracovnej skupiny pre riadenie hodnotenia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14:paraId="2F019285"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zabezpečuje a realizuje procesy hodnotenia prostredníctvom manažérov hodnotenia. </w:t>
      </w:r>
    </w:p>
    <w:p w14:paraId="6A5EB5AE"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informuje CKO o začatí hodnotenia a o ukončení hodnotenia. </w:t>
      </w:r>
    </w:p>
    <w:p w14:paraId="4E6CCB59"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vykoná pred začatím procesu hodnotenia overenie funkčnej nezávislosti hodnotiteľov v každom jednotlivom prípade. V súlade s článkom 54 ods. 3 všeobecného nariadenia sa za funkčnú nezávislosť interného a externého hodnotiteľa považuje funkčná nezávislosť od orgánov zodpovedných za implementáciu OP/HP. </w:t>
      </w:r>
    </w:p>
    <w:p w14:paraId="3EC1E7D4"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zabezpečuje zdroje údajov, zber a spracovanie údajov potrebných pre monitorovanie a hodnotenie v oblasti poskytovania finančnej pomoci z EŠIF v spolupráci so Štatistickým úradom SR, Sociálnou poisťovňou a ďalšími relevantnými inštitúciami. </w:t>
      </w:r>
    </w:p>
    <w:p w14:paraId="2FE78955"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zabezpečí potrebnú súčinnosť s hodnotiteľom tak, aby proces hodnotenia a záverečná hodnotiaca správa splnili stanovené kritéria kvality. </w:t>
      </w:r>
    </w:p>
    <w:p w14:paraId="608C4922" w14:textId="77777777" w:rsidR="00B650E5" w:rsidRDefault="00B650E5">
      <w:pPr>
        <w:numPr>
          <w:ilvl w:val="0"/>
          <w:numId w:val="209"/>
        </w:numPr>
        <w:suppressAutoHyphens/>
        <w:autoSpaceDE w:val="0"/>
        <w:autoSpaceDN w:val="0"/>
        <w:spacing w:before="120" w:after="120"/>
        <w:ind w:left="426" w:hanging="426"/>
        <w:jc w:val="both"/>
        <w:textAlignment w:val="baseline"/>
      </w:pPr>
      <w:r>
        <w:t>RO/gestor HP zabezpečuje kvalitu hodnotiacich činností, ktorá sú založená na princípoch ako sú transparentnosť, nezávislosť, partnerstvo, šírenie výsledkov a pod.</w:t>
      </w:r>
    </w:p>
    <w:p w14:paraId="00DE9398"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je povinný  informovať o výsledkoch hodnotenia CKO, EK  a relevantných partnerov a zverejňovať záverečné hodnotiace správy z interného, externého alebo kombinovaného hodnotenia na webovom sídle príslušného RO/gestora HP vrátane stručného zhrnutia vypracovaného v anglickom jazyku do jedného mesiaca od ukončenia procesu hodnotenia. </w:t>
      </w:r>
    </w:p>
    <w:p w14:paraId="75D0D375"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14:paraId="674D13E8" w14:textId="55014C10" w:rsidR="00B650E5" w:rsidRDefault="00B650E5" w:rsidP="00A2629E">
      <w:pPr>
        <w:numPr>
          <w:ilvl w:val="0"/>
          <w:numId w:val="209"/>
        </w:numPr>
        <w:suppressAutoHyphens/>
        <w:autoSpaceDE w:val="0"/>
        <w:autoSpaceDN w:val="0"/>
        <w:spacing w:before="120" w:after="120"/>
        <w:ind w:left="426" w:hanging="426"/>
        <w:jc w:val="both"/>
        <w:textAlignment w:val="baseline"/>
      </w:pPr>
      <w:r>
        <w:t xml:space="preserve">RO/gestor HP vkladá do centrálnej databázy hodnotení základné informácie o ukončenom hodnotení spolu s vykonaným hodnotením a s odpočtom plnenia zistení a odporúčaní. Centrálna databáza hodnotení bude zverejnená na webovom sídle </w:t>
      </w:r>
      <w:hyperlink r:id="rId218" w:tooltip="www.partnerskadohoda.gov.sk" w:history="1">
        <w:r>
          <w:rPr>
            <w:rStyle w:val="Hypertextovprepojenie"/>
          </w:rPr>
          <w:t>www.partnerskadohoda.gov.sk</w:t>
        </w:r>
      </w:hyperlink>
      <w:r>
        <w:t xml:space="preserve"> v záložke Hodnotenie EŠIF.</w:t>
      </w:r>
    </w:p>
    <w:p w14:paraId="13019FF3" w14:textId="77777777" w:rsidR="00B650E5" w:rsidRPr="00A2629E" w:rsidRDefault="00B650E5">
      <w:pPr>
        <w:numPr>
          <w:ilvl w:val="0"/>
          <w:numId w:val="209"/>
        </w:numPr>
        <w:suppressAutoHyphens/>
        <w:autoSpaceDE w:val="0"/>
        <w:autoSpaceDN w:val="0"/>
        <w:spacing w:before="120" w:after="120"/>
        <w:ind w:left="426" w:hanging="426"/>
        <w:jc w:val="both"/>
        <w:textAlignment w:val="baseline"/>
        <w:rPr>
          <w:sz w:val="22"/>
          <w:szCs w:val="22"/>
        </w:rPr>
      </w:pPr>
      <w:r>
        <w:t>RO/gestor HP vypracuje a predloží CKO v termíne do 31. marca každého kalendárneho roka v rámci programového obdobia 2014 – 2020 Súhrnnú správu o aktivitách hodnotenia a výsledkoch hodnotení OP/HP za predchádzajúci kalendárny rok, ktorá obsahuje najmä:</w:t>
      </w:r>
    </w:p>
    <w:p w14:paraId="4061D9A3" w14:textId="77777777" w:rsidR="00B650E5" w:rsidRDefault="00B650E5">
      <w:pPr>
        <w:numPr>
          <w:ilvl w:val="0"/>
          <w:numId w:val="266"/>
        </w:numPr>
        <w:autoSpaceDE w:val="0"/>
        <w:autoSpaceDN w:val="0"/>
        <w:adjustRightInd w:val="0"/>
        <w:spacing w:before="120" w:after="120"/>
        <w:ind w:left="851" w:hanging="425"/>
        <w:jc w:val="both"/>
        <w:rPr>
          <w:color w:val="000000"/>
          <w:lang w:eastAsia="en-US"/>
        </w:rPr>
      </w:pPr>
      <w:r>
        <w:rPr>
          <w:bCs/>
          <w:color w:val="000000"/>
          <w:lang w:eastAsia="en-US"/>
        </w:rPr>
        <w:t xml:space="preserve">názov RO príslušného OP/gestora HP, </w:t>
      </w:r>
    </w:p>
    <w:p w14:paraId="04E70A13" w14:textId="77777777" w:rsidR="00B650E5" w:rsidRDefault="00B650E5">
      <w:pPr>
        <w:numPr>
          <w:ilvl w:val="0"/>
          <w:numId w:val="266"/>
        </w:numPr>
        <w:autoSpaceDE w:val="0"/>
        <w:autoSpaceDN w:val="0"/>
        <w:adjustRightInd w:val="0"/>
        <w:spacing w:before="120" w:after="120"/>
        <w:ind w:left="851" w:hanging="425"/>
        <w:jc w:val="both"/>
        <w:rPr>
          <w:color w:val="000000"/>
          <w:lang w:eastAsia="en-US"/>
        </w:rPr>
      </w:pPr>
      <w:r>
        <w:rPr>
          <w:bCs/>
          <w:color w:val="000000"/>
          <w:lang w:eastAsia="en-US"/>
        </w:rPr>
        <w:t xml:space="preserve">informáciu o personálnom zabezpečení hodnotení </w:t>
      </w:r>
      <w:r>
        <w:rPr>
          <w:color w:val="000000"/>
          <w:lang w:eastAsia="en-US"/>
        </w:rPr>
        <w:t xml:space="preserve">OP/HP, </w:t>
      </w:r>
    </w:p>
    <w:p w14:paraId="2E7A35CC" w14:textId="77777777" w:rsidR="00B650E5" w:rsidRDefault="00B650E5">
      <w:pPr>
        <w:numPr>
          <w:ilvl w:val="0"/>
          <w:numId w:val="266"/>
        </w:numPr>
        <w:autoSpaceDE w:val="0"/>
        <w:autoSpaceDN w:val="0"/>
        <w:adjustRightInd w:val="0"/>
        <w:spacing w:before="120" w:after="120"/>
        <w:ind w:left="851" w:hanging="425"/>
        <w:jc w:val="both"/>
        <w:rPr>
          <w:color w:val="000000"/>
          <w:lang w:eastAsia="en-US"/>
        </w:rPr>
      </w:pPr>
      <w:r>
        <w:rPr>
          <w:bCs/>
          <w:color w:val="000000"/>
          <w:lang w:eastAsia="en-US"/>
        </w:rPr>
        <w:t>informáciu o aktivitách hodnotenia</w:t>
      </w:r>
      <w:r>
        <w:rPr>
          <w:color w:val="000000"/>
          <w:lang w:eastAsia="en-US"/>
        </w:rPr>
        <w:t xml:space="preserve">: </w:t>
      </w:r>
    </w:p>
    <w:p w14:paraId="216EA41C" w14:textId="77777777" w:rsidR="00B650E5" w:rsidRDefault="00B650E5">
      <w:pPr>
        <w:pStyle w:val="Odsekzoznamu"/>
        <w:numPr>
          <w:ilvl w:val="0"/>
          <w:numId w:val="267"/>
        </w:numPr>
        <w:autoSpaceDE w:val="0"/>
        <w:autoSpaceDN w:val="0"/>
        <w:adjustRightInd w:val="0"/>
        <w:spacing w:before="120" w:after="120"/>
        <w:ind w:left="1276" w:hanging="425"/>
        <w:contextualSpacing w:val="0"/>
        <w:rPr>
          <w:bCs/>
          <w:color w:val="000000"/>
          <w:lang w:eastAsia="en-US"/>
        </w:rPr>
      </w:pPr>
      <w:r>
        <w:rPr>
          <w:bCs/>
          <w:color w:val="000000"/>
          <w:lang w:eastAsia="en-US"/>
        </w:rPr>
        <w:t>rozpracované aktivity,</w:t>
      </w:r>
    </w:p>
    <w:p w14:paraId="2C9A8736" w14:textId="77777777" w:rsidR="00B650E5" w:rsidRDefault="00B650E5">
      <w:pPr>
        <w:pStyle w:val="Odsekzoznamu"/>
        <w:numPr>
          <w:ilvl w:val="0"/>
          <w:numId w:val="267"/>
        </w:numPr>
        <w:autoSpaceDE w:val="0"/>
        <w:autoSpaceDN w:val="0"/>
        <w:adjustRightInd w:val="0"/>
        <w:spacing w:before="120" w:after="120"/>
        <w:ind w:left="1276" w:hanging="425"/>
        <w:contextualSpacing w:val="0"/>
        <w:rPr>
          <w:bCs/>
          <w:lang w:eastAsia="en-US"/>
        </w:rPr>
      </w:pPr>
      <w:r>
        <w:rPr>
          <w:lang w:eastAsia="en-US"/>
        </w:rPr>
        <w:lastRenderedPageBreak/>
        <w:t xml:space="preserve">zrealizované </w:t>
      </w:r>
      <w:r>
        <w:rPr>
          <w:bCs/>
          <w:lang w:eastAsia="en-US"/>
        </w:rPr>
        <w:t>aktivity,</w:t>
      </w:r>
    </w:p>
    <w:p w14:paraId="3F41EF92" w14:textId="77777777" w:rsidR="00B650E5" w:rsidRDefault="00B650E5">
      <w:pPr>
        <w:pStyle w:val="Odsekzoznamu"/>
        <w:numPr>
          <w:ilvl w:val="0"/>
          <w:numId w:val="267"/>
        </w:numPr>
        <w:autoSpaceDE w:val="0"/>
        <w:autoSpaceDN w:val="0"/>
        <w:adjustRightInd w:val="0"/>
        <w:spacing w:before="120" w:after="120"/>
        <w:ind w:left="1276" w:hanging="425"/>
        <w:contextualSpacing w:val="0"/>
        <w:rPr>
          <w:lang w:eastAsia="en-US"/>
        </w:rPr>
      </w:pPr>
      <w:r>
        <w:rPr>
          <w:lang w:eastAsia="en-US"/>
        </w:rPr>
        <w:t xml:space="preserve">nezrealizované aktivity, </w:t>
      </w:r>
    </w:p>
    <w:p w14:paraId="5F907C6B" w14:textId="77777777" w:rsidR="00B650E5" w:rsidRDefault="00B650E5">
      <w:pPr>
        <w:numPr>
          <w:ilvl w:val="0"/>
          <w:numId w:val="266"/>
        </w:numPr>
        <w:autoSpaceDE w:val="0"/>
        <w:autoSpaceDN w:val="0"/>
        <w:adjustRightInd w:val="0"/>
        <w:spacing w:before="120" w:after="120"/>
        <w:ind w:left="851" w:hanging="425"/>
        <w:jc w:val="both"/>
        <w:rPr>
          <w:bCs/>
          <w:color w:val="000000"/>
          <w:lang w:eastAsia="en-US"/>
        </w:rPr>
      </w:pPr>
      <w:r>
        <w:rPr>
          <w:bCs/>
          <w:color w:val="000000"/>
          <w:lang w:eastAsia="en-US"/>
        </w:rPr>
        <w:t>stručné zhodnotenie sledovaného obdobia,</w:t>
      </w:r>
    </w:p>
    <w:p w14:paraId="4502008B" w14:textId="77777777" w:rsidR="00B650E5" w:rsidRDefault="00B650E5">
      <w:pPr>
        <w:numPr>
          <w:ilvl w:val="0"/>
          <w:numId w:val="266"/>
        </w:numPr>
        <w:autoSpaceDE w:val="0"/>
        <w:autoSpaceDN w:val="0"/>
        <w:adjustRightInd w:val="0"/>
        <w:spacing w:before="120" w:after="120"/>
        <w:ind w:left="851" w:hanging="425"/>
        <w:jc w:val="both"/>
        <w:rPr>
          <w:bCs/>
          <w:color w:val="000000"/>
          <w:lang w:eastAsia="en-US"/>
        </w:rPr>
      </w:pPr>
      <w:r>
        <w:rPr>
          <w:bCs/>
          <w:color w:val="000000"/>
          <w:lang w:eastAsia="en-US"/>
        </w:rPr>
        <w:t xml:space="preserve">prílohu s popisom vykonaných hodnotení a odpočtu implementácie jednotlivých odporúčaní. </w:t>
      </w:r>
    </w:p>
    <w:p w14:paraId="78DBAF02"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14:paraId="1ED5C9C1" w14:textId="77777777" w:rsidR="00B650E5" w:rsidRDefault="00B650E5">
      <w:pPr>
        <w:numPr>
          <w:ilvl w:val="0"/>
          <w:numId w:val="209"/>
        </w:numPr>
        <w:suppressAutoHyphens/>
        <w:autoSpaceDE w:val="0"/>
        <w:autoSpaceDN w:val="0"/>
        <w:spacing w:before="120" w:after="120"/>
        <w:ind w:left="426" w:hanging="426"/>
        <w:jc w:val="both"/>
        <w:textAlignment w:val="baseline"/>
      </w:pPr>
      <w:r>
        <w:t>RO/gestor HP zabezpečuje prehlbovanie kvalifikácie manažérov hodnotenia prostredníctvom priebežného odborného vzdelávania.</w:t>
      </w:r>
      <w:bookmarkEnd w:id="614"/>
    </w:p>
    <w:p w14:paraId="0AA9A57E" w14:textId="77777777" w:rsidR="00B650E5" w:rsidRDefault="00B650E5">
      <w:pPr>
        <w:spacing w:after="200" w:line="276" w:lineRule="auto"/>
        <w:rPr>
          <w:bCs/>
          <w:color w:val="365F91"/>
          <w:spacing w:val="5"/>
          <w:kern w:val="28"/>
          <w:sz w:val="52"/>
          <w:szCs w:val="52"/>
        </w:rPr>
      </w:pPr>
      <w:r>
        <w:br w:type="page"/>
      </w:r>
    </w:p>
    <w:p w14:paraId="293E84FA" w14:textId="77777777" w:rsidR="00B650E5" w:rsidRDefault="00B650E5">
      <w:pPr>
        <w:pStyle w:val="SRK1"/>
      </w:pPr>
      <w:bookmarkStart w:id="629" w:name="_Toc453234116"/>
      <w:bookmarkStart w:id="630" w:name="_Toc495649474"/>
      <w:bookmarkEnd w:id="557"/>
      <w:r>
        <w:lastRenderedPageBreak/>
        <w:t xml:space="preserve">Časť 5 </w:t>
      </w:r>
      <w:bookmarkStart w:id="631" w:name="_Toc378947545"/>
      <w:r>
        <w:t>Informovanie a komunikácia</w:t>
      </w:r>
      <w:bookmarkEnd w:id="629"/>
      <w:bookmarkEnd w:id="630"/>
      <w:bookmarkEnd w:id="631"/>
    </w:p>
    <w:p w14:paraId="5E80391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781C2CF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115, 116 a 117 všeobecného nariadenia</w:t>
      </w:r>
    </w:p>
    <w:p w14:paraId="6BF6876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119 nariadenia o ENRF</w:t>
      </w:r>
    </w:p>
    <w:p w14:paraId="6BB55BB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278DACC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7, 8 a 48 zákona o príspevku z EŠIF</w:t>
      </w:r>
    </w:p>
    <w:p w14:paraId="012AABB6" w14:textId="77777777" w:rsidR="00B650E5" w:rsidRDefault="00B650E5">
      <w:pPr>
        <w:pStyle w:val="SRK2"/>
      </w:pPr>
      <w:bookmarkStart w:id="632" w:name="_Toc453234117"/>
      <w:bookmarkStart w:id="633" w:name="_Toc495649475"/>
      <w:bookmarkStart w:id="634" w:name="_Toc378947549"/>
      <w:r>
        <w:rPr>
          <w:rStyle w:val="Nadpis1Char"/>
          <w:sz w:val="36"/>
          <w:szCs w:val="26"/>
        </w:rPr>
        <w:t>5.1 Všeobecná charakteristika</w:t>
      </w:r>
      <w:bookmarkEnd w:id="632"/>
      <w:bookmarkEnd w:id="633"/>
    </w:p>
    <w:p w14:paraId="5D0A0EED" w14:textId="77777777" w:rsidR="00B650E5" w:rsidRDefault="00B650E5">
      <w:pPr>
        <w:pStyle w:val="Odsekzoznamu"/>
        <w:numPr>
          <w:ilvl w:val="0"/>
          <w:numId w:val="189"/>
        </w:numPr>
        <w:spacing w:before="120" w:after="120"/>
        <w:ind w:left="425" w:hanging="425"/>
        <w:contextualSpacing w:val="0"/>
        <w:jc w:val="both"/>
      </w:pPr>
      <w:r>
        <w:t>Predmetná časť definuje náležitosti informačných a komunikačných opatrení v oblasti informovania a komunikácie.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14:paraId="65EB8193" w14:textId="77777777" w:rsidR="00B650E5" w:rsidRDefault="00B650E5">
      <w:pPr>
        <w:pStyle w:val="Odsekzoznamu"/>
        <w:numPr>
          <w:ilvl w:val="0"/>
          <w:numId w:val="189"/>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14:paraId="16D6C3CA" w14:textId="737836DD" w:rsidR="00B650E5" w:rsidRDefault="00B650E5">
      <w:pPr>
        <w:pStyle w:val="Odsekzoznamu"/>
        <w:numPr>
          <w:ilvl w:val="0"/>
          <w:numId w:val="189"/>
        </w:numPr>
        <w:spacing w:before="120" w:after="120"/>
        <w:ind w:left="425" w:hanging="425"/>
        <w:contextualSpacing w:val="0"/>
        <w:jc w:val="both"/>
      </w:pPr>
      <w:r>
        <w:t>Vzor</w:t>
      </w:r>
      <w:r>
        <w:rPr>
          <w:rStyle w:val="Odkaznapoznmkupodiarou"/>
        </w:rPr>
        <w:footnoteReference w:id="156"/>
      </w:r>
      <w:r>
        <w:t xml:space="preserve"> komunikačnej stratégie, ktorá je vyjadrením spôsobu, akým bude RO uvádzať komunikačné plány do praxe v programovom období 2014 – 2020 </w:t>
      </w:r>
      <w:r w:rsidR="00F953F6">
        <w:t xml:space="preserve"> </w:t>
      </w:r>
      <w:r w:rsidR="000E1145">
        <w:t>vydáva ÚV</w:t>
      </w:r>
      <w:r w:rsidR="00BF106A">
        <w:t> </w:t>
      </w:r>
      <w:r w:rsidR="000E1145">
        <w:t>SR.</w:t>
      </w:r>
      <w:r>
        <w:t xml:space="preserve"> </w:t>
      </w:r>
      <w:r w:rsidR="000E1145">
        <w:t>Vzor komunikačnej stratégie schvaľuje Steering committee.</w:t>
      </w:r>
    </w:p>
    <w:p w14:paraId="4821D8A0" w14:textId="77777777" w:rsidR="00B650E5" w:rsidRDefault="00B650E5">
      <w:pPr>
        <w:pStyle w:val="Odsekzoznamu"/>
        <w:numPr>
          <w:ilvl w:val="0"/>
          <w:numId w:val="189"/>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Pr>
          <w:rStyle w:val="Odkaznapoznmkupodiarou"/>
        </w:rPr>
        <w:footnoteReference w:id="157"/>
      </w:r>
      <w:r>
        <w:t>, ktorý vydá ÚV SR v metodickom pokyne</w:t>
      </w:r>
      <w:r>
        <w:rPr>
          <w:rStyle w:val="Odkaznapoznmkupodiarou"/>
        </w:rPr>
        <w:footnoteReference w:id="158"/>
      </w:r>
      <w:r>
        <w:t>.</w:t>
      </w:r>
      <w:r w:rsidR="000E1145">
        <w:t xml:space="preserve"> Metodický pokyn podlieha schvaľovaniu Steering committee.</w:t>
      </w:r>
    </w:p>
    <w:p w14:paraId="55804D76" w14:textId="77777777" w:rsidR="00B650E5" w:rsidRDefault="00B650E5">
      <w:pPr>
        <w:pStyle w:val="SRK2"/>
      </w:pPr>
      <w:bookmarkStart w:id="635" w:name="_Toc453234118"/>
      <w:bookmarkStart w:id="636" w:name="_Toc495649476"/>
      <w:r>
        <w:rPr>
          <w:rStyle w:val="Nadpis1Char"/>
          <w:sz w:val="36"/>
          <w:szCs w:val="26"/>
        </w:rPr>
        <w:t xml:space="preserve">5.2 </w:t>
      </w:r>
      <w:r>
        <w:rPr>
          <w:rStyle w:val="Nadpis1Char"/>
          <w:bCs/>
          <w:sz w:val="36"/>
          <w:szCs w:val="26"/>
        </w:rPr>
        <w:t>Špecifikácia informovania a komunikácie v SR</w:t>
      </w:r>
      <w:bookmarkEnd w:id="635"/>
      <w:bookmarkEnd w:id="636"/>
      <w:r>
        <w:rPr>
          <w:rStyle w:val="Nadpis1Char"/>
          <w:sz w:val="36"/>
          <w:szCs w:val="26"/>
        </w:rPr>
        <w:t xml:space="preserve"> </w:t>
      </w:r>
    </w:p>
    <w:p w14:paraId="362891D1" w14:textId="77777777" w:rsidR="00B650E5" w:rsidRDefault="00B650E5">
      <w:pPr>
        <w:pStyle w:val="Odsekzoznamu"/>
        <w:numPr>
          <w:ilvl w:val="0"/>
          <w:numId w:val="192"/>
        </w:numPr>
        <w:spacing w:before="120" w:after="120"/>
        <w:ind w:left="425" w:hanging="425"/>
        <w:contextualSpacing w:val="0"/>
        <w:jc w:val="both"/>
      </w:pPr>
      <w:r>
        <w:t xml:space="preserve">Cieľom zabezpečenia informovania a komunikácie je: </w:t>
      </w:r>
    </w:p>
    <w:p w14:paraId="4D6ED29F"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dosiahnutie maximálnej dostupnosti informácií o úlohe EÚ, partnerstve, OP, ako aj o celkovej pomoci EŠIF; </w:t>
      </w:r>
    </w:p>
    <w:p w14:paraId="2F92F37B" w14:textId="65DDA8A1"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prehlbovanie informovanosti o stanovených cieľoch a možnostiach pomoci poskytovanej z</w:t>
      </w:r>
      <w:r w:rsidR="00E60ECF">
        <w:rPr>
          <w:color w:val="000000"/>
          <w:lang w:eastAsia="en-US"/>
        </w:rPr>
        <w:t> </w:t>
      </w:r>
      <w:r>
        <w:rPr>
          <w:color w:val="000000"/>
          <w:lang w:eastAsia="en-US"/>
        </w:rPr>
        <w:t xml:space="preserve">EŠIF;  </w:t>
      </w:r>
    </w:p>
    <w:p w14:paraId="339387BB"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zvýšenie transparentnosti v súvislosti s využívaním  EŠIF;  </w:t>
      </w:r>
    </w:p>
    <w:p w14:paraId="3DCAE6CD"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lastRenderedPageBreak/>
        <w:t xml:space="preserve">vytvorenie podmienok na maximálne možnú úspešnosť implementácie schválených projektov a na zvyšovanie kvality predkladaných projektov v rámci jednotlivých OP; </w:t>
      </w:r>
    </w:p>
    <w:p w14:paraId="2C052675"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posilňovanie absorpčnej kapacity. </w:t>
      </w:r>
    </w:p>
    <w:p w14:paraId="5CA12421" w14:textId="77777777" w:rsidR="00B650E5" w:rsidRDefault="00B650E5">
      <w:pPr>
        <w:pStyle w:val="Odsekzoznamu"/>
        <w:numPr>
          <w:ilvl w:val="0"/>
          <w:numId w:val="192"/>
        </w:numPr>
        <w:spacing w:before="120" w:after="120"/>
        <w:ind w:left="425" w:hanging="425"/>
        <w:contextualSpacing w:val="0"/>
        <w:jc w:val="both"/>
      </w:pPr>
      <w:r>
        <w:t xml:space="preserve">Nástrojmi posilňovania absorpčnej kapacity sú: </w:t>
      </w:r>
    </w:p>
    <w:p w14:paraId="2CF3E6B9"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vytvorenie možností na šírenie príkladov osvedčenej praxe; </w:t>
      </w:r>
    </w:p>
    <w:p w14:paraId="23E70DCB"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zabezpečovanie školení a seminárov na výmenu skúseností; </w:t>
      </w:r>
    </w:p>
    <w:p w14:paraId="7208DC44"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podpora partnerstva a vzájomnej spolupráce pri príprave a realizácii projektov; </w:t>
      </w:r>
    </w:p>
    <w:p w14:paraId="58F70D65"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zaisťovanie aktivít na sledovanie a vyhodnocovanie tejto oblasti. </w:t>
      </w:r>
    </w:p>
    <w:p w14:paraId="18C9BCBA" w14:textId="77777777" w:rsidR="00B650E5" w:rsidRDefault="00B650E5">
      <w:pPr>
        <w:pStyle w:val="Odsekzoznamu"/>
        <w:numPr>
          <w:ilvl w:val="0"/>
          <w:numId w:val="192"/>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14:paraId="0E59E7AB" w14:textId="77777777" w:rsidR="00B650E5" w:rsidRDefault="00B650E5" w:rsidP="000E286B">
      <w:pPr>
        <w:pStyle w:val="SRK2"/>
      </w:pPr>
      <w:bookmarkStart w:id="637" w:name="_Toc495649477"/>
      <w:bookmarkStart w:id="638" w:name="_Toc453234119"/>
      <w:r>
        <w:rPr>
          <w:rStyle w:val="Nadpis1Char"/>
          <w:sz w:val="36"/>
          <w:szCs w:val="26"/>
        </w:rPr>
        <w:t>5.3 Zabezpečovanie informovania a komunikácie na horizontálnej úrovni</w:t>
      </w:r>
      <w:bookmarkEnd w:id="637"/>
      <w:r>
        <w:rPr>
          <w:rStyle w:val="Nadpis1Char"/>
          <w:sz w:val="36"/>
          <w:szCs w:val="26"/>
        </w:rPr>
        <w:t xml:space="preserve"> </w:t>
      </w:r>
      <w:bookmarkEnd w:id="638"/>
    </w:p>
    <w:p w14:paraId="0231FAEF" w14:textId="77777777" w:rsidR="000E1145" w:rsidRDefault="000E1145" w:rsidP="00997CB0">
      <w:pPr>
        <w:pStyle w:val="Odsekzoznamu"/>
        <w:numPr>
          <w:ilvl w:val="0"/>
          <w:numId w:val="193"/>
        </w:numPr>
        <w:spacing w:before="120" w:after="120"/>
        <w:ind w:left="426" w:hanging="426"/>
        <w:contextualSpacing w:val="0"/>
        <w:jc w:val="both"/>
      </w:pPr>
      <w:r>
        <w:t>Informovanie a komunikáciu zabezpečujú na národnej úrovni:</w:t>
      </w:r>
    </w:p>
    <w:p w14:paraId="5274515B" w14:textId="77777777" w:rsidR="000E1145" w:rsidRDefault="000E1145" w:rsidP="00997CB0">
      <w:pPr>
        <w:pStyle w:val="Odsekzoznamu"/>
        <w:numPr>
          <w:ilvl w:val="1"/>
          <w:numId w:val="412"/>
        </w:numPr>
        <w:spacing w:before="120" w:after="120"/>
        <w:ind w:left="851" w:hanging="425"/>
        <w:contextualSpacing w:val="0"/>
        <w:jc w:val="both"/>
      </w:pPr>
      <w:r>
        <w:t>Steering committee;</w:t>
      </w:r>
    </w:p>
    <w:p w14:paraId="5361E22E" w14:textId="77777777" w:rsidR="000E1145" w:rsidRDefault="000E1145" w:rsidP="00997CB0">
      <w:pPr>
        <w:pStyle w:val="Odsekzoznamu"/>
        <w:numPr>
          <w:ilvl w:val="1"/>
          <w:numId w:val="412"/>
        </w:numPr>
        <w:spacing w:before="120" w:after="120"/>
        <w:ind w:left="851" w:hanging="425"/>
        <w:contextualSpacing w:val="0"/>
        <w:jc w:val="both"/>
      </w:pPr>
      <w:r>
        <w:t>ÚV SR;</w:t>
      </w:r>
    </w:p>
    <w:p w14:paraId="6D2EF28C" w14:textId="77777777" w:rsidR="000E1145" w:rsidRDefault="000E1145" w:rsidP="00997CB0">
      <w:pPr>
        <w:pStyle w:val="Odsekzoznamu"/>
        <w:numPr>
          <w:ilvl w:val="1"/>
          <w:numId w:val="412"/>
        </w:numPr>
        <w:spacing w:before="120" w:after="120"/>
        <w:ind w:left="851" w:hanging="425"/>
        <w:contextualSpacing w:val="0"/>
        <w:jc w:val="both"/>
      </w:pPr>
      <w:r>
        <w:t>Úradník pre informovanie a komunikáciu;</w:t>
      </w:r>
    </w:p>
    <w:p w14:paraId="3D1BDE05" w14:textId="77777777" w:rsidR="000E1145" w:rsidRDefault="000E1145" w:rsidP="00997CB0">
      <w:pPr>
        <w:pStyle w:val="Odsekzoznamu"/>
        <w:numPr>
          <w:ilvl w:val="1"/>
          <w:numId w:val="412"/>
        </w:numPr>
        <w:spacing w:before="120" w:after="120"/>
        <w:ind w:left="851" w:hanging="425"/>
        <w:contextualSpacing w:val="0"/>
        <w:jc w:val="both"/>
      </w:pPr>
      <w:r>
        <w:t>CKO.</w:t>
      </w:r>
    </w:p>
    <w:p w14:paraId="712134B7" w14:textId="77777777" w:rsidR="000E1145" w:rsidRDefault="000E1145" w:rsidP="00997CB0">
      <w:pPr>
        <w:pStyle w:val="Odsekzoznamu"/>
        <w:numPr>
          <w:ilvl w:val="0"/>
          <w:numId w:val="193"/>
        </w:numPr>
        <w:spacing w:before="120" w:after="120"/>
        <w:ind w:left="426" w:hanging="426"/>
        <w:contextualSpacing w:val="0"/>
        <w:jc w:val="both"/>
      </w:pPr>
      <w:r>
        <w:t>Steering committee v oblasti zabezpečovania informovania a komunikácie najmä:</w:t>
      </w:r>
    </w:p>
    <w:p w14:paraId="21F03496" w14:textId="77777777" w:rsidR="000E1145" w:rsidRDefault="000E1145" w:rsidP="00997CB0">
      <w:pPr>
        <w:pStyle w:val="Odsekzoznamu"/>
        <w:numPr>
          <w:ilvl w:val="1"/>
          <w:numId w:val="193"/>
        </w:numPr>
        <w:spacing w:before="120" w:after="120"/>
        <w:ind w:left="851" w:hanging="425"/>
        <w:contextualSpacing w:val="0"/>
        <w:jc w:val="both"/>
      </w:pPr>
      <w:r>
        <w:t xml:space="preserve">dohliada nad plnením Akčného plánu EK pre oblasť informovania a komunikácie; </w:t>
      </w:r>
    </w:p>
    <w:p w14:paraId="171E2BBF" w14:textId="77777777" w:rsidR="000E1145" w:rsidRDefault="000E1145" w:rsidP="00997CB0">
      <w:pPr>
        <w:pStyle w:val="Odsekzoznamu"/>
        <w:numPr>
          <w:ilvl w:val="1"/>
          <w:numId w:val="193"/>
        </w:numPr>
        <w:spacing w:before="120" w:after="120"/>
        <w:ind w:left="851" w:hanging="425"/>
        <w:contextualSpacing w:val="0"/>
        <w:jc w:val="both"/>
      </w:pPr>
      <w:r>
        <w:t>informuje EK o plnení Akčného plánu pre oblasť informovania a komunikácie;</w:t>
      </w:r>
    </w:p>
    <w:p w14:paraId="7B80FC46" w14:textId="77777777" w:rsidR="000E1145" w:rsidRDefault="000E1145" w:rsidP="00997CB0">
      <w:pPr>
        <w:pStyle w:val="Odsekzoznamu"/>
        <w:numPr>
          <w:ilvl w:val="1"/>
          <w:numId w:val="193"/>
        </w:numPr>
        <w:spacing w:before="120" w:after="120"/>
        <w:ind w:left="851" w:hanging="425"/>
        <w:contextualSpacing w:val="0"/>
        <w:jc w:val="both"/>
      </w:pPr>
      <w:r>
        <w:t>metodicky usmerňuje RO v oblasti informovania a komunikácie;</w:t>
      </w:r>
    </w:p>
    <w:p w14:paraId="1E5B0AFC" w14:textId="77777777" w:rsidR="000E1145" w:rsidRDefault="000E1145" w:rsidP="00997CB0">
      <w:pPr>
        <w:pStyle w:val="Odsekzoznamu"/>
        <w:numPr>
          <w:ilvl w:val="1"/>
          <w:numId w:val="193"/>
        </w:numPr>
        <w:spacing w:before="120" w:after="120"/>
        <w:ind w:left="851" w:hanging="425"/>
        <w:contextualSpacing w:val="0"/>
        <w:jc w:val="both"/>
      </w:pPr>
      <w:r>
        <w:t>dohliada nad obsahom a prepojením webových síd</w:t>
      </w:r>
      <w:r w:rsidR="00E60ECF">
        <w:t>i</w:t>
      </w:r>
      <w:r>
        <w:t>el</w:t>
      </w:r>
      <w:r w:rsidR="00E60ECF">
        <w:t>,</w:t>
      </w:r>
      <w:r>
        <w:t xml:space="preserve"> týkajúcich sa implementácie EŠIF;</w:t>
      </w:r>
    </w:p>
    <w:p w14:paraId="25C11B46" w14:textId="77777777" w:rsidR="000E1145" w:rsidRDefault="000E1145" w:rsidP="00997CB0">
      <w:pPr>
        <w:pStyle w:val="Odsekzoznamu"/>
        <w:numPr>
          <w:ilvl w:val="1"/>
          <w:numId w:val="193"/>
        </w:numPr>
        <w:spacing w:before="120" w:after="120"/>
        <w:ind w:left="851" w:hanging="425"/>
        <w:contextualSpacing w:val="0"/>
        <w:jc w:val="both"/>
      </w:pPr>
      <w:r>
        <w:t>schvaľuje správu o komunikačných aktivitách RO;</w:t>
      </w:r>
    </w:p>
    <w:p w14:paraId="7C4008F8" w14:textId="77777777" w:rsidR="000E1145" w:rsidRDefault="000E1145" w:rsidP="00997CB0">
      <w:pPr>
        <w:pStyle w:val="Odsekzoznamu"/>
        <w:numPr>
          <w:ilvl w:val="1"/>
          <w:numId w:val="193"/>
        </w:numPr>
        <w:spacing w:before="120" w:after="120"/>
        <w:ind w:left="851" w:hanging="425"/>
        <w:contextualSpacing w:val="0"/>
        <w:jc w:val="both"/>
      </w:pPr>
      <w:r>
        <w:t>na návrh ÚV SR schvaľuje úradníka pre informovanie a komunikáciu.</w:t>
      </w:r>
    </w:p>
    <w:p w14:paraId="3FA5094E" w14:textId="77777777" w:rsidR="000E1145" w:rsidRDefault="000E1145" w:rsidP="00997CB0">
      <w:pPr>
        <w:spacing w:before="120" w:after="120"/>
        <w:ind w:left="426"/>
        <w:jc w:val="both"/>
      </w:pPr>
      <w:r>
        <w:t>Steering committe je zložený z generálnych riaditeľov CKO, RO, ÚV SR a úradníka pre informovanie a komunikáciu. Pôsobnosť a kompetencie Steering committe</w:t>
      </w:r>
      <w:r w:rsidR="00E60ECF">
        <w:t>e</w:t>
      </w:r>
      <w:r>
        <w:t xml:space="preserve"> upraví štatút a rokovací poriadok.</w:t>
      </w:r>
    </w:p>
    <w:p w14:paraId="3962CEE0" w14:textId="77777777" w:rsidR="000E1145" w:rsidRDefault="000E1145" w:rsidP="00997CB0">
      <w:pPr>
        <w:pStyle w:val="Odsekzoznamu"/>
        <w:numPr>
          <w:ilvl w:val="0"/>
          <w:numId w:val="193"/>
        </w:numPr>
        <w:spacing w:before="120" w:after="120"/>
        <w:ind w:left="426" w:hanging="426"/>
        <w:contextualSpacing w:val="0"/>
        <w:jc w:val="both"/>
      </w:pPr>
      <w:r>
        <w:t>ÚV SR v oblasti zabezpečovania informovania a komunikácie najmä:</w:t>
      </w:r>
    </w:p>
    <w:p w14:paraId="1EA7438A" w14:textId="77777777" w:rsidR="000E1145" w:rsidRDefault="000E1145" w:rsidP="00997CB0">
      <w:pPr>
        <w:pStyle w:val="Odsekzoznamu"/>
        <w:numPr>
          <w:ilvl w:val="1"/>
          <w:numId w:val="411"/>
        </w:numPr>
        <w:spacing w:before="120" w:after="120"/>
        <w:ind w:left="851" w:hanging="425"/>
        <w:contextualSpacing w:val="0"/>
        <w:jc w:val="both"/>
      </w:pPr>
      <w:r>
        <w:t xml:space="preserve">zodpovedá za vývoj a prevádzku webového sídla </w:t>
      </w:r>
      <w:hyperlink r:id="rId219" w:history="1">
        <w:r>
          <w:rPr>
            <w:rStyle w:val="Hypertextovprepojenie"/>
          </w:rPr>
          <w:t>www.partnerskadohoda.gov.sk</w:t>
        </w:r>
      </w:hyperlink>
      <w:r>
        <w:t>;</w:t>
      </w:r>
    </w:p>
    <w:p w14:paraId="11D6C8A5" w14:textId="77777777" w:rsidR="000E1145" w:rsidRDefault="000E1145" w:rsidP="00997CB0">
      <w:pPr>
        <w:pStyle w:val="Odsekzoznamu"/>
        <w:numPr>
          <w:ilvl w:val="1"/>
          <w:numId w:val="411"/>
        </w:numPr>
        <w:spacing w:before="120" w:after="120"/>
        <w:ind w:left="851" w:hanging="425"/>
        <w:contextualSpacing w:val="0"/>
        <w:jc w:val="both"/>
      </w:pPr>
      <w:r>
        <w:t>koordinuje činnosť Pracovnej skupiny pre informovanie a komunikáciu;</w:t>
      </w:r>
    </w:p>
    <w:p w14:paraId="77DC2EAA" w14:textId="77777777" w:rsidR="000E1145" w:rsidRDefault="000E1145" w:rsidP="00997CB0">
      <w:pPr>
        <w:pStyle w:val="Odsekzoznamu"/>
        <w:numPr>
          <w:ilvl w:val="1"/>
          <w:numId w:val="411"/>
        </w:numPr>
        <w:spacing w:before="120" w:after="120"/>
        <w:ind w:left="851" w:hanging="425"/>
        <w:contextualSpacing w:val="0"/>
        <w:jc w:val="both"/>
      </w:pPr>
      <w:r>
        <w:t>vydáva štatút a rokovací poriadok Pracovnej skupiny pre informovanie a komunikáciu;</w:t>
      </w:r>
    </w:p>
    <w:p w14:paraId="54F72FF6" w14:textId="77777777" w:rsidR="000E1145" w:rsidRDefault="000E1145" w:rsidP="00997CB0">
      <w:pPr>
        <w:pStyle w:val="Odsekzoznamu"/>
        <w:numPr>
          <w:ilvl w:val="1"/>
          <w:numId w:val="411"/>
        </w:numPr>
        <w:spacing w:before="120" w:after="120"/>
        <w:ind w:left="851" w:hanging="425"/>
        <w:contextualSpacing w:val="0"/>
        <w:jc w:val="both"/>
      </w:pPr>
      <w:r>
        <w:t>predkladá Steering committee správu o komunikačných aktivitách RO na základe správ o vykonávaní OP predkladaných v rokoch 2017 a 2019 a v záverečnej správe o vykonávaní OP;</w:t>
      </w:r>
    </w:p>
    <w:p w14:paraId="29F7C21E" w14:textId="77777777" w:rsidR="000E1145" w:rsidRDefault="000E1145" w:rsidP="00997CB0">
      <w:pPr>
        <w:pStyle w:val="Odsekzoznamu"/>
        <w:numPr>
          <w:ilvl w:val="1"/>
          <w:numId w:val="411"/>
        </w:numPr>
        <w:spacing w:before="120" w:after="120"/>
        <w:ind w:left="851" w:hanging="425"/>
        <w:contextualSpacing w:val="0"/>
        <w:jc w:val="both"/>
      </w:pPr>
      <w:r>
        <w:t xml:space="preserve">realizuje špeciálne aktivity v týždni, ktorý pripadá na 9. mája; </w:t>
      </w:r>
    </w:p>
    <w:p w14:paraId="20DEB2E5" w14:textId="77777777" w:rsidR="000E1145" w:rsidRDefault="000E1145" w:rsidP="00997CB0">
      <w:pPr>
        <w:pStyle w:val="Odsekzoznamu"/>
        <w:numPr>
          <w:ilvl w:val="1"/>
          <w:numId w:val="411"/>
        </w:numPr>
        <w:spacing w:before="120" w:after="120"/>
        <w:ind w:left="851" w:hanging="425"/>
        <w:contextualSpacing w:val="0"/>
        <w:jc w:val="both"/>
      </w:pPr>
      <w:r>
        <w:lastRenderedPageBreak/>
        <w:t>zodpovedá za vydávanie štvrťročníku EUROKOMPAS;</w:t>
      </w:r>
    </w:p>
    <w:p w14:paraId="1A81C54C" w14:textId="77777777" w:rsidR="000E1145" w:rsidRDefault="000E1145" w:rsidP="00997CB0">
      <w:pPr>
        <w:pStyle w:val="Odsekzoznamu"/>
        <w:numPr>
          <w:ilvl w:val="1"/>
          <w:numId w:val="411"/>
        </w:numPr>
        <w:spacing w:before="120" w:after="120"/>
        <w:ind w:left="851" w:hanging="425"/>
        <w:contextualSpacing w:val="0"/>
        <w:jc w:val="both"/>
      </w:pPr>
      <w:r>
        <w:t>v spolupráci s CKO zabezpečuje ostatné aktivity v oblasti informovania a komunikácie (organizovanie workshopov, seminárov, konferencií, vydávanie letákov a brožúrok apod.)</w:t>
      </w:r>
      <w:r w:rsidR="00471F4F">
        <w:t>.</w:t>
      </w:r>
    </w:p>
    <w:p w14:paraId="7F7AC0BC" w14:textId="77777777" w:rsidR="000E1145" w:rsidRDefault="000E1145" w:rsidP="00997CB0">
      <w:pPr>
        <w:pStyle w:val="Odsekzoznamu"/>
        <w:numPr>
          <w:ilvl w:val="0"/>
          <w:numId w:val="193"/>
        </w:numPr>
        <w:spacing w:before="120" w:after="120"/>
        <w:ind w:left="426" w:hanging="426"/>
        <w:contextualSpacing w:val="0"/>
        <w:jc w:val="both"/>
      </w:pPr>
      <w:r>
        <w:t>Úradník pre informovanie a komunikáciu najmä:</w:t>
      </w:r>
    </w:p>
    <w:p w14:paraId="2340DB1E" w14:textId="77777777" w:rsidR="000E1145" w:rsidRDefault="000E1145" w:rsidP="00997CB0">
      <w:pPr>
        <w:pStyle w:val="Odsekzoznamu"/>
        <w:numPr>
          <w:ilvl w:val="1"/>
          <w:numId w:val="193"/>
        </w:numPr>
        <w:spacing w:before="120" w:after="120"/>
        <w:ind w:left="851" w:hanging="425"/>
        <w:contextualSpacing w:val="0"/>
        <w:jc w:val="both"/>
      </w:pPr>
      <w:r>
        <w:t>koordinuje informačné a komunikačné činnosti</w:t>
      </w:r>
      <w:r w:rsidR="00471F4F">
        <w:t>,</w:t>
      </w:r>
      <w:r>
        <w:t xml:space="preserve"> týkajúce sa jedného alebo viacerých fondov na</w:t>
      </w:r>
      <w:r w:rsidR="00CA2B60">
        <w:t> </w:t>
      </w:r>
      <w:r>
        <w:t>úrovni Slovenskej republiky</w:t>
      </w:r>
      <w:r w:rsidR="00CA2B60">
        <w:t>;</w:t>
      </w:r>
    </w:p>
    <w:p w14:paraId="0A22DA41" w14:textId="77777777" w:rsidR="000E1145" w:rsidRDefault="000E1145" w:rsidP="00997CB0">
      <w:pPr>
        <w:pStyle w:val="Odsekzoznamu"/>
        <w:numPr>
          <w:ilvl w:val="1"/>
          <w:numId w:val="193"/>
        </w:numPr>
        <w:spacing w:before="120" w:after="120"/>
        <w:ind w:left="851" w:hanging="425"/>
        <w:contextualSpacing w:val="0"/>
        <w:jc w:val="both"/>
      </w:pPr>
      <w:r>
        <w:t>zodpovedá za koordináciu Pracovnej skupiny pre informovanie a</w:t>
      </w:r>
      <w:r w:rsidR="00CA2B60">
        <w:t> </w:t>
      </w:r>
      <w:r>
        <w:t>komunikáciu</w:t>
      </w:r>
      <w:r w:rsidR="00CA2B60">
        <w:t>;</w:t>
      </w:r>
      <w:r>
        <w:t xml:space="preserve"> </w:t>
      </w:r>
    </w:p>
    <w:p w14:paraId="761BA69C" w14:textId="77777777" w:rsidR="000E1145" w:rsidRDefault="000E1145" w:rsidP="00997CB0">
      <w:pPr>
        <w:pStyle w:val="Odsekzoznamu"/>
        <w:numPr>
          <w:ilvl w:val="1"/>
          <w:numId w:val="193"/>
        </w:numPr>
        <w:spacing w:before="120" w:after="120"/>
        <w:ind w:left="851" w:hanging="425"/>
        <w:contextualSpacing w:val="0"/>
        <w:jc w:val="both"/>
      </w:pPr>
      <w:r>
        <w:t>zodpovedá za vytvorenie a údržbu webového sídla www.partnerskadohoda.gov.sk</w:t>
      </w:r>
      <w:r w:rsidR="00CA2B60">
        <w:t>;</w:t>
      </w:r>
      <w:r>
        <w:t xml:space="preserve"> </w:t>
      </w:r>
    </w:p>
    <w:p w14:paraId="1DD394F4" w14:textId="0334EC4F" w:rsidR="000E1145" w:rsidRDefault="000E1145" w:rsidP="00997CB0">
      <w:pPr>
        <w:pStyle w:val="Odsekzoznamu"/>
        <w:numPr>
          <w:ilvl w:val="1"/>
          <w:numId w:val="193"/>
        </w:numPr>
        <w:spacing w:before="120" w:after="120"/>
        <w:ind w:left="851" w:hanging="425"/>
        <w:contextualSpacing w:val="0"/>
        <w:jc w:val="both"/>
      </w:pPr>
      <w:r>
        <w:t>zodpovedá za poskytovanie prehľadu o komunikačných opatre</w:t>
      </w:r>
      <w:r w:rsidR="00CA2B60">
        <w:t>niach</w:t>
      </w:r>
      <w:r w:rsidR="00471F4F">
        <w:t>,</w:t>
      </w:r>
      <w:r w:rsidR="00CA2B60">
        <w:t xml:space="preserve"> vykonávaných na</w:t>
      </w:r>
      <w:r w:rsidR="00471F4F">
        <w:t> </w:t>
      </w:r>
      <w:r w:rsidR="00CA2B60">
        <w:t>úrovni SR;</w:t>
      </w:r>
    </w:p>
    <w:p w14:paraId="590605DE" w14:textId="77777777" w:rsidR="000E1145" w:rsidRDefault="000E1145" w:rsidP="00997CB0">
      <w:pPr>
        <w:pStyle w:val="Odsekzoznamu"/>
        <w:numPr>
          <w:ilvl w:val="1"/>
          <w:numId w:val="193"/>
        </w:numPr>
        <w:spacing w:before="120" w:after="120"/>
        <w:ind w:left="851" w:hanging="425"/>
        <w:contextualSpacing w:val="0"/>
        <w:jc w:val="both"/>
      </w:pPr>
      <w:r>
        <w:t>zúčastňuje sa na zasadnutiach Steering committee a pravidelne informuje o svojej činnosti</w:t>
      </w:r>
      <w:r w:rsidR="00CA2B60">
        <w:t>.</w:t>
      </w:r>
    </w:p>
    <w:p w14:paraId="571BFC73" w14:textId="77777777" w:rsidR="000E1145" w:rsidRDefault="000E1145" w:rsidP="00997CB0">
      <w:pPr>
        <w:pStyle w:val="Odsekzoznamu"/>
        <w:numPr>
          <w:ilvl w:val="0"/>
          <w:numId w:val="193"/>
        </w:numPr>
        <w:spacing w:before="120" w:after="120"/>
        <w:ind w:left="426" w:hanging="426"/>
        <w:contextualSpacing w:val="0"/>
        <w:jc w:val="both"/>
      </w:pPr>
      <w:r>
        <w:t>CKO v oblasti zabezpečovania informovania a komunikácie najmä</w:t>
      </w:r>
      <w:r w:rsidR="00CA2B60">
        <w:t>:</w:t>
      </w:r>
    </w:p>
    <w:p w14:paraId="67B0A9B5" w14:textId="77777777" w:rsidR="00CA2B60" w:rsidRDefault="000E1145" w:rsidP="00997CB0">
      <w:pPr>
        <w:pStyle w:val="Odsekzoznamu"/>
        <w:numPr>
          <w:ilvl w:val="1"/>
          <w:numId w:val="193"/>
        </w:numPr>
        <w:spacing w:before="120" w:after="120"/>
        <w:ind w:left="851" w:hanging="425"/>
        <w:contextualSpacing w:val="0"/>
        <w:jc w:val="both"/>
      </w:pPr>
      <w:r>
        <w:t>v spolupráci s ÚV SR realizuje informovanosť a komunikáciu o</w:t>
      </w:r>
      <w:r w:rsidR="00CA2B60">
        <w:t> </w:t>
      </w:r>
      <w:r>
        <w:t>aktivitách</w:t>
      </w:r>
      <w:r w:rsidR="00CA2B60">
        <w:t>,</w:t>
      </w:r>
      <w:r>
        <w:t xml:space="preserve"> ktoré mu vyplývajú zo záväzných dokumentov (napr. koordinácia a riadenie EŠIF, monitorovanie a hodnotenie EŠIF, príprava programového obdobia post 2020, dohľad nad procesom implementácie formou organizovania workshopov, seminárov, konferencií, vydávanie letákov a brožúrok, expertných mediálnych vstupov apod.)</w:t>
      </w:r>
      <w:r w:rsidR="00CA2B60">
        <w:t>;</w:t>
      </w:r>
    </w:p>
    <w:p w14:paraId="7F6B6E19" w14:textId="77777777" w:rsidR="000E1145" w:rsidRDefault="000E1145" w:rsidP="00997CB0">
      <w:pPr>
        <w:pStyle w:val="Odsekzoznamu"/>
        <w:numPr>
          <w:ilvl w:val="1"/>
          <w:numId w:val="193"/>
        </w:numPr>
        <w:spacing w:before="120" w:after="120"/>
        <w:ind w:left="851" w:hanging="425"/>
        <w:contextualSpacing w:val="0"/>
        <w:jc w:val="both"/>
      </w:pPr>
      <w:r>
        <w:t xml:space="preserve">pripravuje a realizuje podujatie o najlepších projektoch pre </w:t>
      </w:r>
      <w:r w:rsidR="00CA2B60">
        <w:t>programové obdobie 2007</w:t>
      </w:r>
      <w:r w:rsidR="00BF106A">
        <w:t xml:space="preserve"> </w:t>
      </w:r>
      <w:r w:rsidR="00CA2B60">
        <w:t>-</w:t>
      </w:r>
      <w:r w:rsidR="00BF106A">
        <w:t xml:space="preserve"> </w:t>
      </w:r>
      <w:r w:rsidR="00CA2B60">
        <w:t>2013 a</w:t>
      </w:r>
      <w:r w:rsidR="00BF106A">
        <w:t> </w:t>
      </w:r>
      <w:r w:rsidR="00CA2B60">
        <w:t>2014</w:t>
      </w:r>
      <w:r w:rsidR="00BF106A">
        <w:t xml:space="preserve"> </w:t>
      </w:r>
      <w:r w:rsidR="00CA2B60">
        <w:t>-</w:t>
      </w:r>
      <w:r w:rsidR="00BF106A">
        <w:t xml:space="preserve"> </w:t>
      </w:r>
      <w:r w:rsidR="00CA2B60">
        <w:t>2020.</w:t>
      </w:r>
    </w:p>
    <w:p w14:paraId="576BC41E" w14:textId="4F2520D2" w:rsidR="00B650E5" w:rsidRDefault="00CA2B60" w:rsidP="00997CB0">
      <w:pPr>
        <w:pStyle w:val="Odsekzoznamu"/>
        <w:numPr>
          <w:ilvl w:val="0"/>
          <w:numId w:val="193"/>
        </w:numPr>
        <w:spacing w:before="120" w:after="120"/>
        <w:ind w:left="426" w:hanging="426"/>
        <w:contextualSpacing w:val="0"/>
        <w:jc w:val="both"/>
      </w:pPr>
      <w:r>
        <w:t>ÚV SR</w:t>
      </w:r>
      <w:r w:rsidR="00B650E5">
        <w:t xml:space="preserve">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w:t>
      </w:r>
      <w:r>
        <w:t xml:space="preserve"> ÚV</w:t>
      </w:r>
      <w:r w:rsidR="00BF106A">
        <w:t> </w:t>
      </w:r>
      <w:r>
        <w:t>SR</w:t>
      </w:r>
      <w:r w:rsidR="00B650E5">
        <w:t xml:space="preserve"> monitorovať v rámci výročných správ o vykonávaní OP</w:t>
      </w:r>
      <w:r w:rsidR="00471F4F">
        <w:t>,</w:t>
      </w:r>
      <w:r w:rsidR="00B650E5">
        <w:t xml:space="preserve"> predkladaných v rokoch 2017 a 2019 a v záverečnej správe o vykonávaní OP. </w:t>
      </w:r>
    </w:p>
    <w:p w14:paraId="50A89F99" w14:textId="3C82C5A5" w:rsidR="00B650E5" w:rsidRDefault="00B650E5">
      <w:pPr>
        <w:pStyle w:val="Odsekzoznamu"/>
        <w:numPr>
          <w:ilvl w:val="0"/>
          <w:numId w:val="193"/>
        </w:numPr>
        <w:spacing w:before="120" w:after="120"/>
        <w:ind w:left="425" w:hanging="425"/>
        <w:contextualSpacing w:val="0"/>
        <w:jc w:val="both"/>
      </w:pPr>
      <w:r>
        <w:t xml:space="preserve">Webové sídlo </w:t>
      </w:r>
      <w:hyperlink r:id="rId220" w:history="1">
        <w:r w:rsidRPr="00673252">
          <w:rPr>
            <w:rStyle w:val="Hypertextovprepojenie"/>
          </w:rPr>
          <w:t>www.partnerskadohoda.gov.sk</w:t>
        </w:r>
      </w:hyperlink>
      <w:r>
        <w:t xml:space="preserve"> je hlavným a spoločným informačným nástrojom CKO, RO, ÚV SR a gestorov HP</w:t>
      </w:r>
      <w:r w:rsidR="00471F4F">
        <w:t>,</w:t>
      </w:r>
      <w:r>
        <w:t xml:space="preserve"> poskytujúci základné informácie o EŠIF potenciálnym žiadateľom o NFP, žiadateľom o NFP, prijímateľom a širokej verejnosti. Webové sídlo </w:t>
      </w:r>
      <w:hyperlink r:id="rId221" w:history="1">
        <w:r w:rsidRPr="00673252">
          <w:rPr>
            <w:rStyle w:val="Hypertextovprepojenie"/>
          </w:rPr>
          <w:t>www.partnerskadohoda.gov.sk</w:t>
        </w:r>
      </w:hyperlink>
      <w:r>
        <w:t xml:space="preserve"> bude medializované CKO a RO pomocou ostatných komunikačných opatrení (napr. odkazy na webové </w:t>
      </w:r>
      <w:r w:rsidR="00CA2B60">
        <w:t xml:space="preserve">sídlo </w:t>
      </w:r>
      <w:hyperlink r:id="rId222" w:history="1">
        <w:r w:rsidRPr="00673252">
          <w:rPr>
            <w:rStyle w:val="Hypertextovprepojenie"/>
          </w:rPr>
          <w:t>www.partnerskadohoda.gov.sk</w:t>
        </w:r>
      </w:hyperlink>
      <w:r>
        <w:t>). Za</w:t>
      </w:r>
      <w:r w:rsidR="00CA2B60">
        <w:t> </w:t>
      </w:r>
      <w:r>
        <w:t xml:space="preserve">fungovanie webového sídla </w:t>
      </w:r>
      <w:hyperlink r:id="rId223" w:history="1">
        <w:r w:rsidRPr="00FA1E63">
          <w:rPr>
            <w:rStyle w:val="Hypertextovprepojenie"/>
          </w:rPr>
          <w:t>www.partnerskadohoda.gov.sk</w:t>
        </w:r>
      </w:hyperlink>
      <w:r>
        <w:t xml:space="preserve"> je zodpovedný ÚV SR, pričom CKO a RO sú povinné poskytnúť aktívnu súčinnosť, keďže webové sídlo </w:t>
      </w:r>
      <w:hyperlink r:id="rId224" w:history="1">
        <w:r w:rsidRPr="00FA1E63">
          <w:rPr>
            <w:rStyle w:val="Hypertextovprepojenie"/>
          </w:rPr>
          <w:t>www.partnerskadohoda.gov.sk</w:t>
        </w:r>
      </w:hyperlink>
      <w:r>
        <w:t xml:space="preserve"> bude poskytovať aktuálne informácie o všetkých OP, preto sa na</w:t>
      </w:r>
      <w:r w:rsidR="00CA2B60">
        <w:t> </w:t>
      </w:r>
      <w:r>
        <w:t xml:space="preserve">obsahovej náplni webového sídla </w:t>
      </w:r>
      <w:hyperlink r:id="rId225" w:history="1">
        <w:r w:rsidRPr="00FA1E63">
          <w:rPr>
            <w:rStyle w:val="Hypertextovprepojenie"/>
          </w:rPr>
          <w:t>www.partnerskadohoda.gov.sk</w:t>
        </w:r>
      </w:hyperlink>
      <w:r>
        <w:t xml:space="preserve"> podieľa každý člen  </w:t>
      </w:r>
      <w:r w:rsidR="00CA2B60">
        <w:t xml:space="preserve">Pracovnej skupiny pre informovanie a komunikáciu </w:t>
      </w:r>
      <w:r>
        <w:t>formou zasielania podkladov a informácií za</w:t>
      </w:r>
      <w:r w:rsidR="00BF106A">
        <w:t> </w:t>
      </w:r>
      <w:r>
        <w:t xml:space="preserve">príslušný OP. </w:t>
      </w:r>
    </w:p>
    <w:p w14:paraId="6FFF8027"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226" w:history="1">
        <w:r w:rsidRPr="00FA1E63">
          <w:rPr>
            <w:rStyle w:val="Hypertextovprepojenie"/>
          </w:rPr>
          <w:t>www.partnerskadohoda.gov.sk</w:t>
        </w:r>
      </w:hyperlink>
      <w:r>
        <w:t xml:space="preserve"> obsahuje najmä nasledujúce informácie: </w:t>
      </w:r>
    </w:p>
    <w:p w14:paraId="37E454A0"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schválenú PD, schválené OP a ďalšie dokumenty spojené s implementáciou EŠIF; </w:t>
      </w:r>
    </w:p>
    <w:p w14:paraId="4D8F4CB9"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legislatívu SR a EÚ zameraná na EŠIF programového obdobia 2014 – 2020;</w:t>
      </w:r>
    </w:p>
    <w:p w14:paraId="0D7F43CE"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jednotlivých OP;</w:t>
      </w:r>
    </w:p>
    <w:p w14:paraId="6658ED35"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aktuálnom stave čerpania EŠIF;</w:t>
      </w:r>
    </w:p>
    <w:p w14:paraId="7C90ED02" w14:textId="77777777" w:rsidR="00B650E5" w:rsidRDefault="00B650E5">
      <w:pPr>
        <w:numPr>
          <w:ilvl w:val="0"/>
          <w:numId w:val="196"/>
        </w:numPr>
        <w:autoSpaceDE w:val="0"/>
        <w:autoSpaceDN w:val="0"/>
        <w:adjustRightInd w:val="0"/>
        <w:spacing w:before="120" w:after="120"/>
        <w:ind w:left="851" w:hanging="425"/>
        <w:jc w:val="both"/>
        <w:rPr>
          <w:color w:val="000000"/>
          <w:lang w:eastAsia="en-US"/>
        </w:rPr>
      </w:pPr>
      <w:r>
        <w:rPr>
          <w:color w:val="000000"/>
          <w:lang w:eastAsia="en-US"/>
        </w:rPr>
        <w:t xml:space="preserve">výročné/záverečné správy o vykonávaní OP a správy o pokroku pri vykonávaní PD; </w:t>
      </w:r>
    </w:p>
    <w:p w14:paraId="5EE14F00"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lastRenderedPageBreak/>
        <w:t>kontakty na CKO a jednotlivé RO a SO;</w:t>
      </w:r>
    </w:p>
    <w:p w14:paraId="04A094C9"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kontakty na zástupcov v rámci Integrovanej siete informačno-poradenských centier o OP EŠIF </w:t>
      </w:r>
    </w:p>
    <w:p w14:paraId="1F789812"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prepojenie na webové sídla jednotlivých RO, gestorov HP, EK, OCKÚ OLAF a iné webové sídla týkajúce sa problematiky EŠIF; </w:t>
      </w:r>
    </w:p>
    <w:p w14:paraId="706EB517"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časový harmonogram výziev a aktuálne informácie o zverejnených výzvach s prepojením na príslušné webové sídla RO; </w:t>
      </w:r>
    </w:p>
    <w:p w14:paraId="6226294A"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informácie o publikáciách vydaných ÚV SR, CKO, RO a OCKÚ OLAF, konferenciách a seminároch, stretnutiach s úspešnými predkladateľmi projektov a so zástupcami regionálnych kancelárií SR v Bruseli; </w:t>
      </w:r>
    </w:p>
    <w:p w14:paraId="6D0AF87C"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zoznam projektov, ktoré boli spolufinancované z EŠIF; </w:t>
      </w:r>
    </w:p>
    <w:p w14:paraId="58EBAFD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príklady dobrej praxe (názov, krátky opis projektu, fotografie) a mapu realizovaných projektov; </w:t>
      </w:r>
    </w:p>
    <w:p w14:paraId="64C6DD8B"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odborný slovník pojmov na zjednodušenie orientácie v oblasti EŠIF; </w:t>
      </w:r>
    </w:p>
    <w:p w14:paraId="3C2E0E0A"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archív informácií a dokumentov po dobe ich platnosti. </w:t>
      </w:r>
    </w:p>
    <w:p w14:paraId="4DDD68BA" w14:textId="20E322CE" w:rsidR="00B650E5" w:rsidRDefault="00B650E5">
      <w:pPr>
        <w:pStyle w:val="Odsekzoznamu"/>
        <w:numPr>
          <w:ilvl w:val="0"/>
          <w:numId w:val="193"/>
        </w:numPr>
        <w:spacing w:before="120" w:after="120"/>
        <w:ind w:left="425" w:hanging="425"/>
        <w:contextualSpacing w:val="0"/>
        <w:jc w:val="both"/>
      </w:pPr>
      <w:r>
        <w:t xml:space="preserve">Štvrťročník Eurokompas poskytuje všetkým záujemcom a ďalším subjektom kompletné a aktuálne informácie o príprave strategických dokumentov a implementácii OP v rámci PO 2014 - 2020 v písomnej forme.  </w:t>
      </w:r>
      <w:r w:rsidR="00CA2B60">
        <w:t xml:space="preserve">ÚV SR </w:t>
      </w:r>
      <w:r>
        <w:t>pripravuje vydávanie Eurokompasu v spolupráci s</w:t>
      </w:r>
      <w:r w:rsidR="00CA2B60">
        <w:t> </w:t>
      </w:r>
      <w:r>
        <w:t xml:space="preserve">RO jedenkrát za štvrťrok a distribuuje ho všetkým mestám a obciam SR, regionálnym informačným centrám CKO, samosprávnym krajom a iným zainteresovaným subjektom. </w:t>
      </w:r>
    </w:p>
    <w:p w14:paraId="42079245" w14:textId="77777777" w:rsidR="00B650E5" w:rsidRDefault="00B650E5">
      <w:pPr>
        <w:pStyle w:val="SRK3"/>
      </w:pPr>
      <w:bookmarkStart w:id="639" w:name="_Toc453234120"/>
      <w:bookmarkStart w:id="640" w:name="_Toc495649478"/>
      <w:r>
        <w:t>5.3.1 Integrovaná sieť informačno-poradenských centier</w:t>
      </w:r>
      <w:bookmarkEnd w:id="639"/>
      <w:r w:rsidR="00B971D8">
        <w:t xml:space="preserve"> pre EŠIF</w:t>
      </w:r>
      <w:bookmarkEnd w:id="640"/>
    </w:p>
    <w:p w14:paraId="37832DB8" w14:textId="77777777" w:rsidR="00B650E5" w:rsidRDefault="00B650E5">
      <w:pPr>
        <w:pStyle w:val="Odsekzoznamu"/>
        <w:numPr>
          <w:ilvl w:val="0"/>
          <w:numId w:val="313"/>
        </w:numPr>
        <w:spacing w:before="120" w:after="120"/>
        <w:ind w:left="425" w:hanging="425"/>
        <w:contextualSpacing w:val="0"/>
        <w:jc w:val="both"/>
      </w:pPr>
      <w:r>
        <w:t xml:space="preserve">CKO je gestorom integrovanej siete informačno-poradenských centier </w:t>
      </w:r>
      <w:r w:rsidR="00B971D8">
        <w:t xml:space="preserve">pre EŠIF </w:t>
      </w:r>
      <w:r>
        <w:t>so zastúpením v  regiónoch SR, ktorých cieľom je poskytovanie odborného poradenstva pre potenciálnych žiadateľov, žiadateľov a prijímateľov v oblasti EŠIF. CKO zabezpečí zriadenie integrovanej siete informačno-poradenských centier podľa predchádzajúcej vety najneskôr v roku 2016.</w:t>
      </w:r>
    </w:p>
    <w:p w14:paraId="3E7DBEB7" w14:textId="77777777" w:rsidR="00B650E5" w:rsidRDefault="00B650E5">
      <w:pPr>
        <w:pStyle w:val="Odsekzoznamu"/>
        <w:numPr>
          <w:ilvl w:val="0"/>
          <w:numId w:val="313"/>
        </w:numPr>
        <w:spacing w:before="120" w:after="120"/>
        <w:ind w:left="425" w:hanging="425"/>
        <w:contextualSpacing w:val="0"/>
        <w:jc w:val="both"/>
      </w:pPr>
      <w:r>
        <w:t>CKO koordinuje činnosť informačno-poradenských centier (ďalej „IPC“) a spolu s aktívnou spoluprácou s RO zabezpečuje nasledovné činnosti: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758"/>
        <w:gridCol w:w="3858"/>
        <w:gridCol w:w="38"/>
      </w:tblGrid>
      <w:tr w:rsidR="00B650E5" w14:paraId="4196AD29" w14:textId="77777777" w:rsidTr="000E6473">
        <w:trPr>
          <w:trHeight w:val="245"/>
          <w:jc w:val="center"/>
        </w:trPr>
        <w:tc>
          <w:tcPr>
            <w:tcW w:w="5758" w:type="dxa"/>
            <w:shd w:val="clear" w:color="auto" w:fill="95B3D7"/>
          </w:tcPr>
          <w:p w14:paraId="790A4845" w14:textId="77777777" w:rsidR="00B650E5" w:rsidRPr="000E6473" w:rsidRDefault="00B650E5" w:rsidP="000E6473">
            <w:pPr>
              <w:jc w:val="center"/>
              <w:rPr>
                <w:b/>
              </w:rPr>
            </w:pPr>
            <w:r w:rsidRPr="000E6473">
              <w:rPr>
                <w:b/>
                <w:sz w:val="22"/>
                <w:szCs w:val="22"/>
              </w:rPr>
              <w:t>Zabezpečenie činnosti</w:t>
            </w:r>
          </w:p>
        </w:tc>
        <w:tc>
          <w:tcPr>
            <w:tcW w:w="3858" w:type="dxa"/>
            <w:gridSpan w:val="2"/>
            <w:shd w:val="clear" w:color="auto" w:fill="95B3D7"/>
          </w:tcPr>
          <w:p w14:paraId="1A837E72" w14:textId="77777777" w:rsidR="00B650E5" w:rsidRPr="000E6473" w:rsidRDefault="00B650E5" w:rsidP="000E6473">
            <w:pPr>
              <w:jc w:val="center"/>
              <w:rPr>
                <w:b/>
              </w:rPr>
            </w:pPr>
            <w:r w:rsidRPr="000E6473">
              <w:rPr>
                <w:b/>
                <w:sz w:val="22"/>
                <w:szCs w:val="22"/>
              </w:rPr>
              <w:t>Zodpovedný subjekt</w:t>
            </w:r>
          </w:p>
        </w:tc>
      </w:tr>
      <w:tr w:rsidR="00B650E5" w14:paraId="681AB7F8"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4C7DDE40" w14:textId="77777777" w:rsidR="00B650E5" w:rsidRPr="000E6473" w:rsidRDefault="00B650E5" w:rsidP="000E6473">
            <w:pPr>
              <w:pStyle w:val="Odsekzoznamu"/>
              <w:numPr>
                <w:ilvl w:val="0"/>
                <w:numId w:val="311"/>
              </w:numPr>
            </w:pPr>
            <w:r w:rsidRPr="000E6473">
              <w:rPr>
                <w:sz w:val="22"/>
                <w:szCs w:val="22"/>
              </w:rPr>
              <w:t>informovanie širokej verejnosti o fungovaní IPC</w:t>
            </w:r>
          </w:p>
        </w:tc>
        <w:tc>
          <w:tcPr>
            <w:tcW w:w="3858" w:type="dxa"/>
            <w:vAlign w:val="center"/>
          </w:tcPr>
          <w:p w14:paraId="13C42DB8" w14:textId="77777777" w:rsidR="00B650E5" w:rsidRPr="000E6473" w:rsidRDefault="00B650E5" w:rsidP="000E6473">
            <w:pPr>
              <w:jc w:val="center"/>
            </w:pPr>
            <w:r w:rsidRPr="000E6473">
              <w:rPr>
                <w:sz w:val="22"/>
                <w:szCs w:val="22"/>
              </w:rPr>
              <w:t>CKO, RO</w:t>
            </w:r>
          </w:p>
        </w:tc>
      </w:tr>
      <w:tr w:rsidR="00B650E5" w14:paraId="10D37AEA"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641093E9" w14:textId="77777777" w:rsidR="00B650E5" w:rsidRPr="000E6473" w:rsidRDefault="00B650E5" w:rsidP="000E6473">
            <w:pPr>
              <w:pStyle w:val="Odsekzoznamu"/>
              <w:numPr>
                <w:ilvl w:val="0"/>
                <w:numId w:val="311"/>
              </w:numPr>
            </w:pPr>
            <w:r w:rsidRPr="000E6473">
              <w:rPr>
                <w:sz w:val="22"/>
                <w:szCs w:val="22"/>
              </w:rPr>
              <w:t>školenia pre zamestnancov IPC</w:t>
            </w:r>
          </w:p>
        </w:tc>
        <w:tc>
          <w:tcPr>
            <w:tcW w:w="3858" w:type="dxa"/>
            <w:vAlign w:val="center"/>
          </w:tcPr>
          <w:p w14:paraId="6B074448" w14:textId="77777777" w:rsidR="00B650E5" w:rsidRPr="000E6473" w:rsidRDefault="00B650E5" w:rsidP="000E6473">
            <w:pPr>
              <w:jc w:val="center"/>
            </w:pPr>
            <w:r w:rsidRPr="000E6473">
              <w:rPr>
                <w:sz w:val="22"/>
                <w:szCs w:val="22"/>
              </w:rPr>
              <w:t>CKO, RO</w:t>
            </w:r>
          </w:p>
        </w:tc>
      </w:tr>
      <w:tr w:rsidR="00B650E5" w14:paraId="316A93F6"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1C1F271F" w14:textId="77777777" w:rsidR="00B650E5" w:rsidRPr="000E6473" w:rsidRDefault="00B650E5" w:rsidP="000E6473">
            <w:pPr>
              <w:pStyle w:val="Odsekzoznamu"/>
              <w:numPr>
                <w:ilvl w:val="0"/>
                <w:numId w:val="311"/>
              </w:numPr>
            </w:pPr>
            <w:r w:rsidRPr="000E6473">
              <w:rPr>
                <w:sz w:val="22"/>
                <w:szCs w:val="22"/>
              </w:rPr>
              <w:t>pravidelné poskytovanie aktuálnych informácií o príslušnom OP zamestnancom IPC</w:t>
            </w:r>
          </w:p>
        </w:tc>
        <w:tc>
          <w:tcPr>
            <w:tcW w:w="3858" w:type="dxa"/>
            <w:vAlign w:val="center"/>
          </w:tcPr>
          <w:p w14:paraId="722C8801" w14:textId="77777777" w:rsidR="00B650E5" w:rsidRPr="000E6473" w:rsidRDefault="00B650E5" w:rsidP="000E6473">
            <w:pPr>
              <w:jc w:val="center"/>
            </w:pPr>
            <w:r w:rsidRPr="000E6473">
              <w:rPr>
                <w:sz w:val="22"/>
                <w:szCs w:val="22"/>
              </w:rPr>
              <w:t>RO</w:t>
            </w:r>
          </w:p>
        </w:tc>
      </w:tr>
      <w:tr w:rsidR="00B650E5" w14:paraId="35E344EC"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60BB191C" w14:textId="77777777" w:rsidR="00B650E5" w:rsidRPr="000E6473" w:rsidRDefault="00B650E5" w:rsidP="000E6473">
            <w:pPr>
              <w:pStyle w:val="Odsekzoznamu"/>
              <w:numPr>
                <w:ilvl w:val="0"/>
                <w:numId w:val="311"/>
              </w:numPr>
            </w:pPr>
            <w:r w:rsidRPr="000E6473">
              <w:rPr>
                <w:sz w:val="22"/>
                <w:szCs w:val="22"/>
              </w:rPr>
              <w:t>hodnotenie činnosti jednotlivých IPC na polročnej báze</w:t>
            </w:r>
          </w:p>
        </w:tc>
        <w:tc>
          <w:tcPr>
            <w:tcW w:w="3858" w:type="dxa"/>
            <w:vAlign w:val="center"/>
          </w:tcPr>
          <w:p w14:paraId="04BF31B9" w14:textId="77777777" w:rsidR="00B650E5" w:rsidRPr="000E6473" w:rsidRDefault="00B650E5" w:rsidP="000E6473">
            <w:pPr>
              <w:jc w:val="center"/>
            </w:pPr>
            <w:r w:rsidRPr="000E6473">
              <w:rPr>
                <w:sz w:val="22"/>
                <w:szCs w:val="22"/>
              </w:rPr>
              <w:t>CKO, RO</w:t>
            </w:r>
          </w:p>
        </w:tc>
      </w:tr>
      <w:tr w:rsidR="00B650E5" w14:paraId="16A21283"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6AD7ECD8" w14:textId="77777777" w:rsidR="00B650E5" w:rsidRPr="000E6473" w:rsidRDefault="00B650E5" w:rsidP="000E6473">
            <w:pPr>
              <w:pStyle w:val="Odsekzoznamu"/>
              <w:numPr>
                <w:ilvl w:val="0"/>
                <w:numId w:val="311"/>
              </w:numPr>
            </w:pPr>
            <w:r w:rsidRPr="000E6473">
              <w:rPr>
                <w:sz w:val="22"/>
                <w:szCs w:val="22"/>
              </w:rPr>
              <w:t>spolupráca so všetkými subjektmi zapojenými do implementácie EŠIF</w:t>
            </w:r>
          </w:p>
        </w:tc>
        <w:tc>
          <w:tcPr>
            <w:tcW w:w="3858" w:type="dxa"/>
            <w:vAlign w:val="center"/>
          </w:tcPr>
          <w:p w14:paraId="78A615DF" w14:textId="77777777" w:rsidR="00B650E5" w:rsidRPr="000E6473" w:rsidRDefault="00B650E5" w:rsidP="000E6473">
            <w:pPr>
              <w:jc w:val="center"/>
            </w:pPr>
            <w:r w:rsidRPr="000E6473">
              <w:rPr>
                <w:sz w:val="22"/>
                <w:szCs w:val="22"/>
              </w:rPr>
              <w:t>CKO, RO</w:t>
            </w:r>
          </w:p>
        </w:tc>
      </w:tr>
    </w:tbl>
    <w:p w14:paraId="62ACE0DD" w14:textId="77777777" w:rsidR="00B650E5" w:rsidRDefault="00B650E5">
      <w:pPr>
        <w:pStyle w:val="Odsekzoznamu"/>
        <w:numPr>
          <w:ilvl w:val="0"/>
          <w:numId w:val="313"/>
        </w:numPr>
        <w:spacing w:before="120" w:after="120"/>
        <w:ind w:left="425" w:hanging="425"/>
        <w:contextualSpacing w:val="0"/>
        <w:jc w:val="both"/>
      </w:pPr>
      <w:r>
        <w:t>Hlavnými činnosťami IPC sú:</w:t>
      </w:r>
    </w:p>
    <w:p w14:paraId="1D3B5DBF" w14:textId="77777777" w:rsidR="00B650E5" w:rsidRDefault="00B650E5">
      <w:pPr>
        <w:pStyle w:val="Odsekzoznamu"/>
        <w:numPr>
          <w:ilvl w:val="0"/>
          <w:numId w:val="312"/>
        </w:numPr>
        <w:spacing w:before="120" w:after="120"/>
        <w:ind w:left="851" w:hanging="425"/>
        <w:contextualSpacing w:val="0"/>
        <w:jc w:val="both"/>
        <w:rPr>
          <w:szCs w:val="20"/>
        </w:rPr>
      </w:pPr>
      <w:r>
        <w:rPr>
          <w:szCs w:val="20"/>
        </w:rPr>
        <w:t>spolupráca s CKO, ÚV SR a RO na príprave a realizácii informačných aktivít o možnostiach využívania EŠIF určených pre širšiu verejnosť;</w:t>
      </w:r>
    </w:p>
    <w:p w14:paraId="09882B9A"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spolupráca s RO a SO pri príprave a realizácii informačných aktivít určených pre špecifické cieľové skupiny; </w:t>
      </w:r>
    </w:p>
    <w:p w14:paraId="47FD63CC"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seminárov k zverejneným výzvam;</w:t>
      </w:r>
    </w:p>
    <w:p w14:paraId="5EEA736E" w14:textId="77777777" w:rsidR="00B650E5" w:rsidRDefault="00B650E5">
      <w:pPr>
        <w:pStyle w:val="Odsekzoznamu"/>
        <w:numPr>
          <w:ilvl w:val="0"/>
          <w:numId w:val="312"/>
        </w:numPr>
        <w:spacing w:before="120" w:after="120"/>
        <w:ind w:left="851" w:hanging="425"/>
        <w:contextualSpacing w:val="0"/>
        <w:jc w:val="both"/>
        <w:rPr>
          <w:szCs w:val="20"/>
        </w:rPr>
      </w:pPr>
      <w:r>
        <w:rPr>
          <w:szCs w:val="20"/>
        </w:rPr>
        <w:lastRenderedPageBreak/>
        <w:t>organizácia školení pre žiadateľov na podporu procesu prípravy ŽoNFP;</w:t>
      </w:r>
    </w:p>
    <w:p w14:paraId="635B397F"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prijímateľov na podporu procesu implementácie projektov;</w:t>
      </w:r>
    </w:p>
    <w:p w14:paraId="3DB9A49D"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tematickom zameraní projektových zámerov/ŽoNFP;</w:t>
      </w:r>
    </w:p>
    <w:p w14:paraId="15ECEEF5"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spracovaní projektových zámerov/ŽoNFP (finančné a nefinančné aspekty);</w:t>
      </w:r>
    </w:p>
    <w:p w14:paraId="3D97F144"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implementácii projektov (finančné a nefinančné aspekty);</w:t>
      </w:r>
    </w:p>
    <w:p w14:paraId="090F8364" w14:textId="77777777" w:rsidR="00B650E5" w:rsidRDefault="00B650E5">
      <w:pPr>
        <w:pStyle w:val="Odsekzoznamu"/>
        <w:numPr>
          <w:ilvl w:val="0"/>
          <w:numId w:val="312"/>
        </w:numPr>
        <w:spacing w:before="120" w:after="120"/>
        <w:ind w:left="851" w:hanging="425"/>
        <w:contextualSpacing w:val="0"/>
        <w:jc w:val="both"/>
        <w:rPr>
          <w:szCs w:val="20"/>
        </w:rPr>
      </w:pPr>
      <w:r>
        <w:rPr>
          <w:szCs w:val="20"/>
        </w:rPr>
        <w:t>podpora pri identifikácii partnerov pre šírenie informovanosti o EŠIF a potenciálnych žiadateľov.</w:t>
      </w:r>
    </w:p>
    <w:p w14:paraId="333043F5" w14:textId="77777777" w:rsidR="00B650E5" w:rsidRDefault="00B650E5">
      <w:pPr>
        <w:pStyle w:val="SRK2"/>
      </w:pPr>
      <w:bookmarkStart w:id="641" w:name="_Toc453234121"/>
      <w:bookmarkStart w:id="642" w:name="_Toc495649479"/>
      <w:r>
        <w:rPr>
          <w:rStyle w:val="Nadpis1Char"/>
          <w:sz w:val="36"/>
          <w:szCs w:val="26"/>
        </w:rPr>
        <w:t>5.4 Zabezpečovanie informovania a komunikácie na úrovni RO</w:t>
      </w:r>
      <w:bookmarkEnd w:id="641"/>
      <w:bookmarkEnd w:id="642"/>
    </w:p>
    <w:p w14:paraId="5DABE36C" w14:textId="77777777" w:rsidR="00B650E5" w:rsidRDefault="00B650E5">
      <w:pPr>
        <w:pStyle w:val="Odsekzoznamu"/>
        <w:numPr>
          <w:ilvl w:val="0"/>
          <w:numId w:val="198"/>
        </w:numPr>
        <w:spacing w:before="120" w:after="120"/>
        <w:ind w:left="425" w:hanging="425"/>
        <w:contextualSpacing w:val="0"/>
        <w:jc w:val="both"/>
      </w:pPr>
      <w:r>
        <w:t xml:space="preserve">RO je zodpovedný za dodržiavanie požiadaviek na informovanie a komunikáciu v súlade s legislatívou EÚ a SR. Pripravuje, realizuje, mení a dopĺňa komunikačnú stratégiu pre príslušný OP, za ktorý zodpovedá. </w:t>
      </w:r>
    </w:p>
    <w:p w14:paraId="264082C6" w14:textId="77777777" w:rsidR="00B650E5" w:rsidRDefault="00B650E5">
      <w:pPr>
        <w:pStyle w:val="Odsekzoznamu"/>
        <w:numPr>
          <w:ilvl w:val="0"/>
          <w:numId w:val="198"/>
        </w:numPr>
        <w:spacing w:before="120" w:after="120"/>
        <w:ind w:left="425" w:hanging="425"/>
        <w:contextualSpacing w:val="0"/>
        <w:jc w:val="both"/>
      </w:pPr>
      <w:r>
        <w:t xml:space="preserve">RO zabezpečí informovanie všetkých cieľových skupín minimálne: </w:t>
      </w:r>
    </w:p>
    <w:p w14:paraId="13E5A5EC"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úlohách EÚ, RO a MV; </w:t>
      </w:r>
    </w:p>
    <w:p w14:paraId="6C1B06DA" w14:textId="573252A0"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OP, jeho postavení a úlohe v rámci programového obdobia</w:t>
      </w:r>
      <w:r>
        <w:rPr>
          <w:color w:val="000000"/>
          <w:lang w:eastAsia="en-US"/>
        </w:rPr>
        <w:br/>
        <w:t xml:space="preserve">2014 </w:t>
      </w:r>
      <w:r w:rsidR="00471F4F">
        <w:rPr>
          <w:color w:val="000000"/>
          <w:lang w:eastAsia="en-US"/>
        </w:rPr>
        <w:t>–</w:t>
      </w:r>
      <w:r>
        <w:rPr>
          <w:color w:val="000000"/>
          <w:lang w:eastAsia="en-US"/>
        </w:rPr>
        <w:t xml:space="preserve"> 2020</w:t>
      </w:r>
      <w:r w:rsidR="00471F4F">
        <w:rPr>
          <w:color w:val="000000"/>
          <w:lang w:eastAsia="en-US"/>
        </w:rPr>
        <w:t>,</w:t>
      </w:r>
      <w:r>
        <w:rPr>
          <w:color w:val="000000"/>
          <w:lang w:eastAsia="en-US"/>
        </w:rPr>
        <w:t xml:space="preserve"> ako aj o jeho cieľoch; </w:t>
      </w:r>
    </w:p>
    <w:p w14:paraId="63E2DB45"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cieľoch relevantných HP; </w:t>
      </w:r>
    </w:p>
    <w:p w14:paraId="1102CC7F"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podmienkach poskytnutia príspevku, ktoré je potrebné splniť na získanie pomoci z EŠIF; </w:t>
      </w:r>
    </w:p>
    <w:p w14:paraId="336BE33A" w14:textId="3B6C4D55"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jednotlivých krokoch procesu získavania prostriedkov z EŠIF, </w:t>
      </w:r>
      <w:r w:rsidR="00C93F30">
        <w:rPr>
          <w:color w:val="000000"/>
          <w:lang w:eastAsia="en-US"/>
        </w:rPr>
        <w:t xml:space="preserve">t. j. </w:t>
      </w:r>
      <w:r>
        <w:rPr>
          <w:color w:val="000000"/>
          <w:lang w:eastAsia="en-US"/>
        </w:rPr>
        <w:t>zverejniť informácie o</w:t>
      </w:r>
      <w:r w:rsidR="00471F4F">
        <w:rPr>
          <w:color w:val="000000"/>
          <w:lang w:eastAsia="en-US"/>
        </w:rPr>
        <w:t> </w:t>
      </w:r>
      <w:r>
        <w:rPr>
          <w:color w:val="000000"/>
          <w:lang w:eastAsia="en-US"/>
        </w:rPr>
        <w:t xml:space="preserve">výzvach, podmienkach poskytnutia príspevku, schválených projektoch, atď.; </w:t>
      </w:r>
    </w:p>
    <w:p w14:paraId="4CF8FFA9"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kontaktoch na národnej, regionálnej alebo miestnej úrovni, ktoré môžu poskytnúť informácie o OP; </w:t>
      </w:r>
    </w:p>
    <w:p w14:paraId="0774DD33"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aktuálnom stave čerpania finančných prostriedkov za OP v *.cvs alebo *.xml formáte, ktorý je aktualizovaný v  mesačnom intervale; </w:t>
      </w:r>
    </w:p>
    <w:p w14:paraId="2956A919"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zozname projektov, ktorý je aktualizovaný v mesačnom intervale v *.cvs alebo *.xml formáte;</w:t>
      </w:r>
    </w:p>
    <w:p w14:paraId="7CA1E711"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náležitostiach definovaných v § 48 zákona o príspevku z EŠIF a ďalších skutočnostiach, ktoré sú povinne zverejňované podľa tohto alebo iných zákonov;</w:t>
      </w:r>
    </w:p>
    <w:p w14:paraId="6A2A5FD9"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potrebe chrániť finančné záujmy EÚ, o boji proti podvodom a korupcii v súvislosti s čerpaním prostriedkov EÚ v rámci EŠIF v minimálnom rozsahu určenom na úrovni pracovnej skupiny pre komunikáciu zriadenú pod </w:t>
      </w:r>
      <w:r>
        <w:t>Riadiacim výborom na ochranu finančných záujmov EÚ</w:t>
      </w:r>
      <w:r>
        <w:rPr>
          <w:color w:val="000000"/>
          <w:lang w:eastAsia="en-US"/>
        </w:rPr>
        <w:t>.</w:t>
      </w:r>
    </w:p>
    <w:p w14:paraId="76ABFE97" w14:textId="77777777" w:rsidR="00B650E5" w:rsidRDefault="00B650E5">
      <w:pPr>
        <w:pStyle w:val="Odsekzoznamu"/>
        <w:numPr>
          <w:ilvl w:val="0"/>
          <w:numId w:val="198"/>
        </w:numPr>
        <w:spacing w:before="120" w:after="120"/>
        <w:ind w:left="425" w:hanging="425"/>
        <w:contextualSpacing w:val="0"/>
        <w:jc w:val="both"/>
      </w:pPr>
      <w:r>
        <w:t xml:space="preserve">RO je zodpovedný za organizovanie minimálne týchto opatrení v oblasti informovania a komunikácie: </w:t>
      </w:r>
    </w:p>
    <w:p w14:paraId="3F52E33D" w14:textId="77777777" w:rsidR="00B650E5" w:rsidRDefault="00B650E5">
      <w:pPr>
        <w:numPr>
          <w:ilvl w:val="0"/>
          <w:numId w:val="199"/>
        </w:numPr>
        <w:spacing w:before="120" w:after="120"/>
        <w:ind w:left="851" w:hanging="425"/>
        <w:jc w:val="both"/>
        <w:rPr>
          <w:lang w:eastAsia="en-US"/>
        </w:rPr>
      </w:pPr>
      <w:r>
        <w:rPr>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14:paraId="69E462B7" w14:textId="44DF8860" w:rsidR="00B650E5" w:rsidRDefault="00B650E5">
      <w:pPr>
        <w:numPr>
          <w:ilvl w:val="0"/>
          <w:numId w:val="199"/>
        </w:numPr>
        <w:spacing w:before="120" w:after="120"/>
        <w:ind w:left="851" w:hanging="425"/>
        <w:jc w:val="both"/>
        <w:rPr>
          <w:lang w:eastAsia="en-US"/>
        </w:rPr>
      </w:pPr>
      <w:r>
        <w:rPr>
          <w:lang w:eastAsia="en-US"/>
        </w:rPr>
        <w:lastRenderedPageBreak/>
        <w:t>minimálne jedna veľká informačná aktivita (napr. celoštátna konferencia) raz za rok, ako je ustanovené v</w:t>
      </w:r>
      <w:r w:rsidR="00066A3D">
        <w:rPr>
          <w:lang w:eastAsia="en-US"/>
        </w:rPr>
        <w:t xml:space="preserve"> ročnom </w:t>
      </w:r>
      <w:r>
        <w:rPr>
          <w:lang w:eastAsia="en-US"/>
        </w:rPr>
        <w:t xml:space="preserve">komunikačnom pláne, ktorou sa prezentujú výsledky OP, vrátane veľkých projektov, ak je to vhodné; </w:t>
      </w:r>
    </w:p>
    <w:p w14:paraId="79ABF239" w14:textId="77777777" w:rsidR="00B650E5" w:rsidRDefault="00B650E5">
      <w:pPr>
        <w:numPr>
          <w:ilvl w:val="0"/>
          <w:numId w:val="199"/>
        </w:numPr>
        <w:spacing w:before="120" w:after="120"/>
        <w:ind w:left="851" w:hanging="425"/>
        <w:jc w:val="both"/>
        <w:rPr>
          <w:lang w:eastAsia="en-US"/>
        </w:rPr>
      </w:pPr>
      <w:r>
        <w:rPr>
          <w:lang w:eastAsia="en-US"/>
        </w:rPr>
        <w:t xml:space="preserve">vyvesenie európskej zástavy na jeden týždeň od 9. mája pred priestory každého RO; </w:t>
      </w:r>
    </w:p>
    <w:p w14:paraId="54787C8D" w14:textId="77777777" w:rsidR="00B650E5" w:rsidRDefault="00B650E5">
      <w:pPr>
        <w:numPr>
          <w:ilvl w:val="0"/>
          <w:numId w:val="199"/>
        </w:numPr>
        <w:spacing w:before="120" w:after="120"/>
        <w:ind w:left="851" w:hanging="425"/>
        <w:jc w:val="both"/>
        <w:rPr>
          <w:lang w:eastAsia="en-US"/>
        </w:rPr>
      </w:pPr>
      <w:r>
        <w:rPr>
          <w:lang w:eastAsia="en-US"/>
        </w:rPr>
        <w:t xml:space="preserve">zverejnenie informácií v súlade s ustanoveniami zákona o príspevku z EŠIF, resp. ustanovení Systému riadenia EŠIF. </w:t>
      </w:r>
    </w:p>
    <w:p w14:paraId="2D4F1334" w14:textId="4E7FA430" w:rsidR="00B650E5" w:rsidRDefault="00B650E5">
      <w:pPr>
        <w:pStyle w:val="Odsekzoznamu"/>
        <w:numPr>
          <w:ilvl w:val="0"/>
          <w:numId w:val="198"/>
        </w:numPr>
        <w:spacing w:before="120" w:after="120"/>
        <w:ind w:left="425" w:hanging="425"/>
        <w:contextualSpacing w:val="0"/>
        <w:jc w:val="both"/>
      </w:pPr>
      <w:r>
        <w:t>V rámci informovania všetkých cieľových skupín  RO  povinne využíva minimálne jedného z</w:t>
      </w:r>
      <w:r w:rsidR="00471F4F">
        <w:t> </w:t>
      </w:r>
      <w:r>
        <w:t xml:space="preserve">nasledovných partnerov spolupráce na komunikačných aktivitách, ktorý môže zabezpečiť čo najväčšie rozšírenie informácií: </w:t>
      </w:r>
    </w:p>
    <w:p w14:paraId="4DA06D88" w14:textId="77777777" w:rsidR="00B650E5" w:rsidRDefault="00B650E5">
      <w:pPr>
        <w:numPr>
          <w:ilvl w:val="0"/>
          <w:numId w:val="200"/>
        </w:numPr>
        <w:spacing w:before="120" w:after="120"/>
        <w:ind w:left="851" w:hanging="425"/>
        <w:jc w:val="both"/>
        <w:rPr>
          <w:lang w:eastAsia="en-US"/>
        </w:rPr>
      </w:pPr>
      <w:r>
        <w:rPr>
          <w:lang w:eastAsia="en-US"/>
        </w:rPr>
        <w:t xml:space="preserve">štátne, regionálne a miestne orgány a rozvojové agentúry; </w:t>
      </w:r>
    </w:p>
    <w:p w14:paraId="1E96EABA" w14:textId="77777777" w:rsidR="00B650E5" w:rsidRDefault="00B650E5">
      <w:pPr>
        <w:numPr>
          <w:ilvl w:val="0"/>
          <w:numId w:val="200"/>
        </w:numPr>
        <w:spacing w:before="120" w:after="120"/>
        <w:ind w:left="851" w:hanging="425"/>
        <w:jc w:val="both"/>
        <w:rPr>
          <w:lang w:eastAsia="en-US"/>
        </w:rPr>
      </w:pPr>
      <w:r>
        <w:rPr>
          <w:lang w:eastAsia="en-US"/>
        </w:rPr>
        <w:t xml:space="preserve">obchodné a profesijné združenia; </w:t>
      </w:r>
    </w:p>
    <w:p w14:paraId="1EB79FC3" w14:textId="77777777" w:rsidR="00B650E5" w:rsidRDefault="00B650E5">
      <w:pPr>
        <w:numPr>
          <w:ilvl w:val="0"/>
          <w:numId w:val="200"/>
        </w:numPr>
        <w:spacing w:before="120" w:after="120"/>
        <w:ind w:left="851" w:hanging="425"/>
        <w:jc w:val="both"/>
        <w:rPr>
          <w:lang w:eastAsia="en-US"/>
        </w:rPr>
      </w:pPr>
      <w:r>
        <w:rPr>
          <w:lang w:eastAsia="en-US"/>
        </w:rPr>
        <w:t xml:space="preserve">hospodárski a sociálni partneri; </w:t>
      </w:r>
    </w:p>
    <w:p w14:paraId="0578CC8B" w14:textId="77777777" w:rsidR="00B650E5" w:rsidRDefault="00B650E5">
      <w:pPr>
        <w:numPr>
          <w:ilvl w:val="0"/>
          <w:numId w:val="200"/>
        </w:numPr>
        <w:spacing w:before="120" w:after="120"/>
        <w:ind w:left="851" w:hanging="425"/>
        <w:jc w:val="both"/>
        <w:rPr>
          <w:lang w:eastAsia="en-US"/>
        </w:rPr>
      </w:pPr>
      <w:r>
        <w:rPr>
          <w:lang w:eastAsia="en-US"/>
        </w:rPr>
        <w:t xml:space="preserve">mimovládne organizácie; </w:t>
      </w:r>
    </w:p>
    <w:p w14:paraId="064B95AA" w14:textId="77777777" w:rsidR="00B650E5" w:rsidRDefault="00B650E5">
      <w:pPr>
        <w:numPr>
          <w:ilvl w:val="0"/>
          <w:numId w:val="200"/>
        </w:numPr>
        <w:spacing w:before="120" w:after="120"/>
        <w:ind w:left="851" w:hanging="425"/>
        <w:jc w:val="both"/>
        <w:rPr>
          <w:lang w:eastAsia="en-US"/>
        </w:rPr>
      </w:pPr>
      <w:r>
        <w:rPr>
          <w:lang w:eastAsia="en-US"/>
        </w:rPr>
        <w:t xml:space="preserve">organizácie zastupujúce podnikateľov; </w:t>
      </w:r>
    </w:p>
    <w:p w14:paraId="1CB951D5" w14:textId="77777777" w:rsidR="00B650E5" w:rsidRDefault="00B650E5">
      <w:pPr>
        <w:numPr>
          <w:ilvl w:val="0"/>
          <w:numId w:val="200"/>
        </w:numPr>
        <w:spacing w:before="120" w:after="120"/>
        <w:ind w:left="851" w:hanging="425"/>
        <w:jc w:val="both"/>
        <w:rPr>
          <w:lang w:eastAsia="en-US"/>
        </w:rPr>
      </w:pPr>
      <w:r>
        <w:rPr>
          <w:lang w:eastAsia="en-US"/>
        </w:rPr>
        <w:t xml:space="preserve">informačné centrá pri zastupiteľstvách Európy, ako aj zastúpenia EK v členských štátoch; </w:t>
      </w:r>
    </w:p>
    <w:p w14:paraId="0C851F44" w14:textId="77777777" w:rsidR="00B650E5" w:rsidRDefault="00B650E5">
      <w:pPr>
        <w:numPr>
          <w:ilvl w:val="0"/>
          <w:numId w:val="200"/>
        </w:numPr>
        <w:spacing w:before="120" w:after="120"/>
        <w:ind w:left="851" w:hanging="425"/>
        <w:jc w:val="both"/>
        <w:rPr>
          <w:lang w:eastAsia="en-US"/>
        </w:rPr>
      </w:pPr>
      <w:r>
        <w:rPr>
          <w:lang w:eastAsia="en-US"/>
        </w:rPr>
        <w:t xml:space="preserve">vzdelávacie inštitúcie. </w:t>
      </w:r>
    </w:p>
    <w:p w14:paraId="6A0D20BC" w14:textId="30A522E8" w:rsidR="00B650E5" w:rsidRDefault="00B650E5">
      <w:pPr>
        <w:pStyle w:val="Odsekzoznamu"/>
        <w:numPr>
          <w:ilvl w:val="0"/>
          <w:numId w:val="198"/>
        </w:numPr>
        <w:spacing w:before="120" w:after="120"/>
        <w:ind w:left="425" w:hanging="425"/>
        <w:contextualSpacing w:val="0"/>
        <w:jc w:val="both"/>
      </w:pPr>
      <w:r>
        <w:t xml:space="preserve">RO menuje kontaktnú osobu zodpovednú za informovanie a komunikáciu, ktorá je členom  </w:t>
      </w:r>
      <w:r w:rsidR="00CA2B60">
        <w:t xml:space="preserve">Pracovnej skupiny pre informovanie a komunikáciu </w:t>
      </w:r>
      <w:r>
        <w:t xml:space="preserve">a zároveň plní úlohy RO voči </w:t>
      </w:r>
      <w:r w:rsidR="00CA2B60">
        <w:t>ÚV</w:t>
      </w:r>
      <w:r w:rsidR="00471F4F">
        <w:t> </w:t>
      </w:r>
      <w:r w:rsidR="00CA2B60">
        <w:t>SR vo</w:t>
      </w:r>
      <w:r w:rsidR="00471F4F">
        <w:t> </w:t>
      </w:r>
      <w:r w:rsidR="00CA2B60">
        <w:t>vzťahu k oblasti informovania a komunikácie</w:t>
      </w:r>
      <w:r>
        <w:t>. Každý RO určí jednu osobu, ktorá bude zodpovedať za informovanie a komunikáciu na úrovni OP a informuje o tom EK (príslušné generálne riaditeľstvo). V prípade potreby príslušné RO môžu určiť jednu osobu pre niekoľko OP.</w:t>
      </w:r>
    </w:p>
    <w:p w14:paraId="14ADAC82" w14:textId="0671107D" w:rsidR="00B650E5" w:rsidRDefault="00B650E5">
      <w:pPr>
        <w:pStyle w:val="Odsekzoznamu"/>
        <w:numPr>
          <w:ilvl w:val="0"/>
          <w:numId w:val="198"/>
        </w:numPr>
        <w:spacing w:before="120" w:after="120"/>
        <w:ind w:left="425" w:hanging="425"/>
        <w:contextualSpacing w:val="0"/>
        <w:jc w:val="both"/>
      </w:pPr>
      <w:r>
        <w:t xml:space="preserve">RO je povinný poskytnúť aktívnu súčinnosť pri zverejňovaní všetkých aktuálnych informácií na webovom sídle </w:t>
      </w:r>
      <w:hyperlink r:id="rId227" w:history="1">
        <w:r w:rsidR="00AE1464" w:rsidRPr="00E0218C">
          <w:rPr>
            <w:rStyle w:val="Hypertextovprepojenie"/>
          </w:rPr>
          <w:t>www.partnerskadohoda.gov.sk</w:t>
        </w:r>
      </w:hyperlink>
      <w:r w:rsidR="007324D5">
        <w:t>,</w:t>
      </w:r>
      <w:r>
        <w:t xml:space="preserve"> a to ich zasielaním najneskôr v deň schválenia, resp. zverejnenia danej informácie na webovom sídle daného RO na emailové adresy stanovené </w:t>
      </w:r>
      <w:r w:rsidR="00CA2B60">
        <w:t>ÚV SR</w:t>
      </w:r>
      <w:r>
        <w:t xml:space="preserve">. RO okrem toho poskytuje aj informácie o časovom harmonograme zverejňovania výziev, zverejnených výzvach, ich zmenách a ďalšie informácie v rozsahu podľa Systému riadenia EŠIF a dokumentmi vydanými na jeho základe. </w:t>
      </w:r>
    </w:p>
    <w:p w14:paraId="65BFB364" w14:textId="77777777" w:rsidR="00B650E5" w:rsidRDefault="00B650E5">
      <w:pPr>
        <w:pStyle w:val="Odsekzoznamu"/>
        <w:numPr>
          <w:ilvl w:val="0"/>
          <w:numId w:val="198"/>
        </w:numPr>
        <w:spacing w:before="120" w:after="120"/>
        <w:ind w:left="425" w:hanging="425"/>
        <w:contextualSpacing w:val="0"/>
        <w:jc w:val="both"/>
      </w:pPr>
      <w:r>
        <w:t xml:space="preserve">RO vo výročných správach a záverečnej správe o vykonávaní OP, predkladaných v rokoch 2017 a 2019, ako aj v záverečnej správe o vykonávaní OP, v nadväznosti na prijaté opatrenia v oblasti informovania a komunikácie uvádza: </w:t>
      </w:r>
    </w:p>
    <w:p w14:paraId="0651FE11" w14:textId="77777777" w:rsidR="00B650E5" w:rsidRDefault="00B650E5">
      <w:pPr>
        <w:numPr>
          <w:ilvl w:val="0"/>
          <w:numId w:val="201"/>
        </w:numPr>
        <w:spacing w:before="120" w:after="120"/>
        <w:ind w:left="851" w:hanging="425"/>
        <w:jc w:val="both"/>
        <w:rPr>
          <w:lang w:eastAsia="en-US"/>
        </w:rPr>
      </w:pPr>
      <w:r>
        <w:rPr>
          <w:lang w:eastAsia="en-US"/>
        </w:rPr>
        <w:t xml:space="preserve">príklady informačných a komunikačných opatrení uskutočnených pri realizácii komunikačnej stratégie príslušného OP; </w:t>
      </w:r>
    </w:p>
    <w:p w14:paraId="128C7386" w14:textId="77777777" w:rsidR="00B650E5" w:rsidRDefault="00B650E5">
      <w:pPr>
        <w:numPr>
          <w:ilvl w:val="0"/>
          <w:numId w:val="201"/>
        </w:numPr>
        <w:spacing w:before="120" w:after="120"/>
        <w:ind w:left="851" w:hanging="425"/>
        <w:jc w:val="both"/>
        <w:rPr>
          <w:lang w:eastAsia="en-US"/>
        </w:rPr>
      </w:pPr>
      <w:r>
        <w:rPr>
          <w:lang w:eastAsia="en-US"/>
        </w:rPr>
        <w:t xml:space="preserve">nástroje/prostriedky realizácie opatrení informovania a komunikácie a ak je to možné, tiež elektronickú adresu, na ktorej sú zverejnené uvedené údaje; </w:t>
      </w:r>
    </w:p>
    <w:p w14:paraId="313888A3" w14:textId="77777777" w:rsidR="00B650E5" w:rsidRDefault="00B650E5">
      <w:pPr>
        <w:numPr>
          <w:ilvl w:val="0"/>
          <w:numId w:val="201"/>
        </w:numPr>
        <w:spacing w:before="120" w:after="120"/>
        <w:ind w:left="851" w:hanging="425"/>
        <w:jc w:val="both"/>
        <w:rPr>
          <w:lang w:eastAsia="en-US"/>
        </w:rPr>
      </w:pPr>
      <w:r>
        <w:rPr>
          <w:lang w:eastAsia="en-US"/>
        </w:rPr>
        <w:t xml:space="preserve">obsah významných zmien komunikačnej stratégie. </w:t>
      </w:r>
    </w:p>
    <w:p w14:paraId="60DEAE74" w14:textId="77777777" w:rsidR="00B650E5" w:rsidRDefault="00B650E5">
      <w:pPr>
        <w:pStyle w:val="Odsekzoznamu"/>
        <w:numPr>
          <w:ilvl w:val="0"/>
          <w:numId w:val="198"/>
        </w:numPr>
        <w:spacing w:before="120" w:after="120"/>
        <w:ind w:left="425" w:hanging="425"/>
        <w:contextualSpacing w:val="0"/>
        <w:jc w:val="both"/>
      </w:pPr>
      <w:r>
        <w:t xml:space="preserve">RO je povinný informovať aspoň raz do roka: </w:t>
      </w:r>
    </w:p>
    <w:p w14:paraId="59D77ECB" w14:textId="77777777" w:rsidR="00B650E5" w:rsidRDefault="00B650E5">
      <w:pPr>
        <w:numPr>
          <w:ilvl w:val="0"/>
          <w:numId w:val="202"/>
        </w:numPr>
        <w:spacing w:before="120" w:after="120"/>
        <w:ind w:left="851" w:hanging="425"/>
        <w:jc w:val="both"/>
        <w:rPr>
          <w:lang w:eastAsia="en-US"/>
        </w:rPr>
      </w:pPr>
      <w:r>
        <w:rPr>
          <w:lang w:eastAsia="en-US"/>
        </w:rPr>
        <w:t xml:space="preserve">o komunikačnej stratégii a pokroku pri jej implementácii cez komunikačné plány; </w:t>
      </w:r>
    </w:p>
    <w:p w14:paraId="3B2805BE" w14:textId="77777777" w:rsidR="00B650E5" w:rsidRDefault="00B650E5">
      <w:pPr>
        <w:numPr>
          <w:ilvl w:val="0"/>
          <w:numId w:val="202"/>
        </w:numPr>
        <w:spacing w:before="120" w:after="120"/>
        <w:ind w:left="851" w:hanging="425"/>
        <w:jc w:val="both"/>
        <w:rPr>
          <w:lang w:eastAsia="en-US"/>
        </w:rPr>
      </w:pPr>
      <w:r>
        <w:rPr>
          <w:lang w:eastAsia="en-US"/>
        </w:rPr>
        <w:t xml:space="preserve">o vykonaných opatreniach a aktivitách v oblasti informovania a komunikácie; </w:t>
      </w:r>
    </w:p>
    <w:p w14:paraId="09711541" w14:textId="77777777" w:rsidR="00B650E5" w:rsidRDefault="00B650E5">
      <w:pPr>
        <w:numPr>
          <w:ilvl w:val="0"/>
          <w:numId w:val="202"/>
        </w:numPr>
        <w:spacing w:before="120" w:after="120"/>
        <w:ind w:left="851" w:hanging="425"/>
        <w:jc w:val="both"/>
        <w:rPr>
          <w:lang w:eastAsia="en-US"/>
        </w:rPr>
      </w:pPr>
      <w:r>
        <w:rPr>
          <w:lang w:eastAsia="en-US"/>
        </w:rPr>
        <w:t xml:space="preserve">o použitých komunikačných prostriedkoch; </w:t>
      </w:r>
    </w:p>
    <w:p w14:paraId="5249202D" w14:textId="77777777" w:rsidR="00B650E5" w:rsidRDefault="00B650E5">
      <w:pPr>
        <w:numPr>
          <w:ilvl w:val="0"/>
          <w:numId w:val="202"/>
        </w:numPr>
        <w:spacing w:before="120" w:after="120"/>
        <w:ind w:left="851" w:hanging="425"/>
        <w:jc w:val="both"/>
        <w:rPr>
          <w:lang w:eastAsia="en-US"/>
        </w:rPr>
      </w:pPr>
      <w:r>
        <w:rPr>
          <w:lang w:eastAsia="en-US"/>
        </w:rPr>
        <w:t>o hlavných zmenách a doplnení komunikačnej stratégie;</w:t>
      </w:r>
    </w:p>
    <w:p w14:paraId="5A6435B6" w14:textId="77777777" w:rsidR="00B650E5" w:rsidRDefault="00B650E5">
      <w:pPr>
        <w:numPr>
          <w:ilvl w:val="0"/>
          <w:numId w:val="202"/>
        </w:numPr>
        <w:spacing w:before="120" w:after="120"/>
        <w:ind w:left="851" w:hanging="425"/>
        <w:jc w:val="both"/>
        <w:rPr>
          <w:lang w:eastAsia="en-US"/>
        </w:rPr>
      </w:pPr>
      <w:r>
        <w:rPr>
          <w:lang w:eastAsia="en-US"/>
        </w:rPr>
        <w:lastRenderedPageBreak/>
        <w:t>o plánovaných informačných a komunikačných aktivitách, ktoré sa budú vykonávať v nasledujúcom roku.</w:t>
      </w:r>
    </w:p>
    <w:p w14:paraId="516D7F60" w14:textId="77777777" w:rsidR="00B650E5" w:rsidRDefault="00B650E5">
      <w:pPr>
        <w:pStyle w:val="Odsekzoznamu"/>
        <w:numPr>
          <w:ilvl w:val="0"/>
          <w:numId w:val="198"/>
        </w:numPr>
        <w:ind w:left="426" w:hanging="426"/>
        <w:jc w:val="both"/>
      </w:pPr>
      <w:r>
        <w:t xml:space="preserve">Zabezpečovanie informovania a komunikácie na úrovni ENRF sa riadi nariadením o ENRF, prílohou V -  Informácie a oznámenie o podpore z ENRF. </w:t>
      </w:r>
    </w:p>
    <w:p w14:paraId="70BC742B" w14:textId="77777777" w:rsidR="00B650E5" w:rsidRDefault="00B650E5">
      <w:pPr>
        <w:pStyle w:val="SRK2"/>
      </w:pPr>
      <w:bookmarkStart w:id="643" w:name="_Toc453234122"/>
      <w:bookmarkStart w:id="644" w:name="_Toc495649480"/>
      <w:r>
        <w:rPr>
          <w:rStyle w:val="Nadpis1Char"/>
          <w:sz w:val="36"/>
          <w:szCs w:val="26"/>
        </w:rPr>
        <w:t>5.5 Komunikačná stratégia</w:t>
      </w:r>
      <w:bookmarkEnd w:id="643"/>
      <w:bookmarkEnd w:id="644"/>
    </w:p>
    <w:p w14:paraId="08C17DDA" w14:textId="77777777" w:rsidR="00B650E5" w:rsidRDefault="00B650E5">
      <w:pPr>
        <w:pStyle w:val="Odsekzoznamu"/>
        <w:numPr>
          <w:ilvl w:val="0"/>
          <w:numId w:val="203"/>
        </w:numPr>
        <w:spacing w:before="120" w:after="120"/>
        <w:ind w:left="425" w:hanging="425"/>
        <w:contextualSpacing w:val="0"/>
        <w:jc w:val="both"/>
      </w:pPr>
      <w:r>
        <w:t>Spoločnú komunikačnú stratégiu možno vypracovať pre niekoľko OP. V komunikačnej stratégii sa v súlade so zásadou proporcionality zohľadní veľkosť OP. ÚV SR vydáva vzor</w:t>
      </w:r>
      <w:r>
        <w:rPr>
          <w:rStyle w:val="Odkaznapoznmkupodiarou"/>
        </w:rPr>
        <w:footnoteReference w:id="159"/>
      </w:r>
      <w:r>
        <w:t xml:space="preserve"> Komunikačnej stratégie. V prípade OP RH RO nevypracováva komunikačnú stratégiu.</w:t>
      </w:r>
    </w:p>
    <w:p w14:paraId="0205BACA" w14:textId="77777777" w:rsidR="00B650E5" w:rsidRDefault="00B650E5">
      <w:pPr>
        <w:pStyle w:val="Odsekzoznamu"/>
        <w:numPr>
          <w:ilvl w:val="0"/>
          <w:numId w:val="203"/>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ÚV SR určí jeden MV, ktorý bude po porade s ďalšími príslušnými MV zodpovedať za schválenie spoločnej komunikačnej stratégie a akýchkoľvek následných revízií. ÚV SR alebo RO môžu  v prípade potreby počas programového obdobia komunikačnú stratégiu revidovať. </w:t>
      </w:r>
    </w:p>
    <w:p w14:paraId="30DB7967" w14:textId="191B89C6" w:rsidR="00B650E5" w:rsidRDefault="00B650E5">
      <w:pPr>
        <w:pStyle w:val="Odsekzoznamu"/>
        <w:numPr>
          <w:ilvl w:val="0"/>
          <w:numId w:val="203"/>
        </w:numPr>
        <w:spacing w:before="120" w:after="120"/>
        <w:ind w:left="425" w:hanging="425"/>
        <w:contextualSpacing w:val="0"/>
        <w:jc w:val="both"/>
      </w:pPr>
      <w:r>
        <w:t xml:space="preserve">Komunikačné stratégie rozvinú </w:t>
      </w:r>
      <w:r w:rsidR="00CA2B60">
        <w:t>ÚV SR</w:t>
      </w:r>
      <w:r>
        <w:t xml:space="preserve"> a RO do ročných komunikačných plánov. </w:t>
      </w:r>
    </w:p>
    <w:p w14:paraId="6ECD29BA" w14:textId="77777777" w:rsidR="00B650E5" w:rsidRDefault="00B650E5">
      <w:pPr>
        <w:pStyle w:val="Odsekzoznamu"/>
        <w:numPr>
          <w:ilvl w:val="0"/>
          <w:numId w:val="203"/>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14:paraId="4FC6B616" w14:textId="06F1FDE0"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komunikačnú stratégiu do 7 pracovných dní od jej schválenia. </w:t>
      </w:r>
      <w:r w:rsidR="00CA2B60">
        <w:t>ÚV SR</w:t>
      </w:r>
      <w:r>
        <w:t xml:space="preserve"> berie túto komunikačnú stratégiu na vedomie.</w:t>
      </w:r>
    </w:p>
    <w:p w14:paraId="15444B07" w14:textId="69CA3D06"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každý </w:t>
      </w:r>
      <w:r w:rsidR="00066A3D">
        <w:t xml:space="preserve">ročný </w:t>
      </w:r>
      <w:r>
        <w:t xml:space="preserve">komunikačný plán do 7 pracovných dní od jeho schválenia. </w:t>
      </w:r>
      <w:r w:rsidR="00CA2B60">
        <w:t>ÚV SR</w:t>
      </w:r>
      <w:r>
        <w:t xml:space="preserve"> berie </w:t>
      </w:r>
      <w:r w:rsidR="00066A3D">
        <w:t xml:space="preserve">ročný </w:t>
      </w:r>
      <w:r>
        <w:t>komunikačný plán na vedomie.</w:t>
      </w:r>
    </w:p>
    <w:p w14:paraId="77FF07A2" w14:textId="77777777" w:rsidR="00B650E5" w:rsidRDefault="00B650E5">
      <w:pPr>
        <w:pStyle w:val="Odsekzoznamu"/>
        <w:numPr>
          <w:ilvl w:val="0"/>
          <w:numId w:val="203"/>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14:paraId="0DD4C59F" w14:textId="77777777" w:rsidR="00B650E5" w:rsidRDefault="00B650E5">
      <w:pPr>
        <w:numPr>
          <w:ilvl w:val="0"/>
          <w:numId w:val="204"/>
        </w:numPr>
        <w:spacing w:before="120" w:after="120"/>
        <w:ind w:left="851" w:hanging="425"/>
        <w:jc w:val="both"/>
        <w:rPr>
          <w:lang w:eastAsia="en-US"/>
        </w:rPr>
      </w:pPr>
      <w:r>
        <w:rPr>
          <w:lang w:eastAsia="en-US"/>
        </w:rPr>
        <w:t xml:space="preserve">informovanie potenciálnych žiadateľov, žiadateľov a prijímateľov; </w:t>
      </w:r>
    </w:p>
    <w:p w14:paraId="36AE0A4D" w14:textId="77777777" w:rsidR="00B650E5" w:rsidRDefault="00B650E5">
      <w:pPr>
        <w:numPr>
          <w:ilvl w:val="0"/>
          <w:numId w:val="204"/>
        </w:numPr>
        <w:spacing w:before="120" w:after="120"/>
        <w:ind w:left="851" w:hanging="425"/>
        <w:jc w:val="both"/>
        <w:rPr>
          <w:lang w:eastAsia="en-US"/>
        </w:rPr>
      </w:pPr>
      <w:r>
        <w:rPr>
          <w:lang w:eastAsia="en-US"/>
        </w:rPr>
        <w:t>opatrenia informovanosti a komunikácie pre verejnosť.</w:t>
      </w:r>
    </w:p>
    <w:p w14:paraId="4DCE05E3" w14:textId="77777777" w:rsidR="00B650E5" w:rsidRDefault="00B650E5">
      <w:pPr>
        <w:pStyle w:val="Odsekzoznamu"/>
        <w:numPr>
          <w:ilvl w:val="0"/>
          <w:numId w:val="203"/>
        </w:numPr>
        <w:spacing w:before="120" w:after="120"/>
        <w:ind w:left="425" w:hanging="425"/>
        <w:contextualSpacing w:val="0"/>
        <w:jc w:val="both"/>
      </w:pPr>
      <w:r>
        <w:t>Komunikačná stratégia vypracovaná RO, prípadne členským štátom, zahŕňa tieto prvky:</w:t>
      </w:r>
    </w:p>
    <w:p w14:paraId="73C4AE1A"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prijatého prístupu vrátane hlavných informačných a komunikačných opatrení prijatých členským štátom alebo RO, zameraného na potenciálnych žiadateľov, žiadateľov, prijímateľov a širokú verejnosť;</w:t>
      </w:r>
    </w:p>
    <w:p w14:paraId="5B581713"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materiálov, ktoré budú k dispozícii vo formátoch prístupných pre osoby so zdravotným postihnutím;</w:t>
      </w:r>
    </w:p>
    <w:p w14:paraId="5D7A2904"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podpory, ktorú prijímatelia dostanú na svoje komunikačné činnosti,</w:t>
      </w:r>
    </w:p>
    <w:p w14:paraId="3284549F"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 xml:space="preserve">orientačný rozpočet na vykonanie stratégie; </w:t>
      </w:r>
    </w:p>
    <w:p w14:paraId="19AF2D42"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orgánov verejnej správy vrátane ľudských zdrojov, ktoré sú zodpovedné za vykonávanie informačných a komunikačných opatrení;</w:t>
      </w:r>
    </w:p>
    <w:p w14:paraId="7067FA1E"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opatrenia na vykonanie informačných a komunikačných opatrení vrátane webového sídla alebo webového portálu, na ktorom takéto údaje možno nájsť;</w:t>
      </w:r>
    </w:p>
    <w:p w14:paraId="5FF33321"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lastRenderedPageBreak/>
        <w:t>naznačenie, ako sa informačné a komunikačné opatrenia budú posudzovať z hľadiska viditeľnosti politiky súdržnosti a informovanosti o nej, o OP, o projektoch a úlohách, ktoré zohrávajú fondy a EÚ;</w:t>
      </w:r>
    </w:p>
    <w:p w14:paraId="0FFD57ED"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kde to je vhodné, opis využitia hlavných výsledkov predchádzajúceho OP;</w:t>
      </w:r>
    </w:p>
    <w:p w14:paraId="0522D7E6"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každoročné doplnenie, vymedzujúce informačné a komunikačné činnosti, ktoré majú byť vykonané v nasledujúcom roku, v podobe schváleného ročného komunikačného plánu.</w:t>
      </w:r>
    </w:p>
    <w:bookmarkEnd w:id="634"/>
    <w:p w14:paraId="24C139E5" w14:textId="77777777" w:rsidR="00B650E5" w:rsidRDefault="00B650E5">
      <w:pPr>
        <w:spacing w:before="120" w:after="120"/>
        <w:jc w:val="both"/>
        <w:rPr>
          <w:lang w:eastAsia="en-US"/>
        </w:rPr>
      </w:pPr>
    </w:p>
    <w:p w14:paraId="23D6C788" w14:textId="77777777" w:rsidR="00B650E5" w:rsidRDefault="00B650E5">
      <w:pPr>
        <w:spacing w:before="120" w:after="120"/>
        <w:jc w:val="both"/>
        <w:rPr>
          <w:lang w:eastAsia="en-US"/>
        </w:rPr>
      </w:pPr>
    </w:p>
    <w:sectPr w:rsidR="00B650E5" w:rsidSect="003B2753">
      <w:pgSz w:w="11906" w:h="16838"/>
      <w:pgMar w:top="1440" w:right="991"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84C785B" w14:textId="77777777" w:rsidR="00D90541" w:rsidRDefault="00D90541">
      <w:r>
        <w:separator/>
      </w:r>
    </w:p>
  </w:endnote>
  <w:endnote w:type="continuationSeparator" w:id="0">
    <w:p w14:paraId="55E66A20" w14:textId="77777777" w:rsidR="00D90541" w:rsidRDefault="00D90541">
      <w:r>
        <w:continuationSeparator/>
      </w:r>
    </w:p>
  </w:endnote>
  <w:endnote w:type="continuationNotice" w:id="1">
    <w:p w14:paraId="32E8F523" w14:textId="77777777" w:rsidR="00D90541" w:rsidRDefault="00D9054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Arial"/>
    <w:panose1 w:val="00000000000000000000"/>
    <w:charset w:val="00"/>
    <w:family w:val="swiss"/>
    <w:notTrueType/>
    <w:pitch w:val="default"/>
    <w:sig w:usb0="00000001" w:usb1="00000000" w:usb2="00000000" w:usb3="00000000" w:csb0="00000003" w:csb1="00000000"/>
  </w:font>
  <w:font w:name="Arial Narrow">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4002EFF" w:usb1="C000E47F" w:usb2="00000009" w:usb3="00000000" w:csb0="000001FF" w:csb1="00000000"/>
  </w:font>
  <w:font w:name="Helvetica">
    <w:panose1 w:val="020B0604020202020204"/>
    <w:charset w:val="EE"/>
    <w:family w:val="swiss"/>
    <w:pitch w:val="variable"/>
    <w:sig w:usb0="E0002AFF" w:usb1="C0007843" w:usb2="00000009" w:usb3="00000000" w:csb0="000001FF" w:csb1="00000000"/>
  </w:font>
  <w:font w:name="TimesNewRoma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A295F9" w14:textId="279A5894" w:rsidR="00DF4E07" w:rsidRDefault="00DF4E07" w:rsidP="000E6473">
    <w:pPr>
      <w:pStyle w:val="Pta"/>
      <w:pBdr>
        <w:top w:val="thinThickSmallGap" w:sz="24" w:space="1" w:color="622423"/>
      </w:pBdr>
      <w:tabs>
        <w:tab w:val="clear" w:pos="4536"/>
        <w:tab w:val="clear" w:pos="9072"/>
        <w:tab w:val="right" w:pos="9835"/>
      </w:tabs>
      <w:rPr>
        <w:rFonts w:ascii="Arial Narrow" w:hAnsi="Arial Narrow"/>
        <w:sz w:val="20"/>
        <w:szCs w:val="20"/>
      </w:rPr>
    </w:pPr>
    <w:r>
      <w:rPr>
        <w:noProof/>
      </w:rPr>
      <w:drawing>
        <wp:anchor distT="0" distB="0" distL="114300" distR="114300" simplePos="0" relativeHeight="251657728" behindDoc="1" locked="0" layoutInCell="1" allowOverlap="1" wp14:anchorId="245662A1" wp14:editId="21128BDD">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1"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sz w:val="20"/>
        <w:szCs w:val="20"/>
      </w:rPr>
      <w:fldChar w:fldCharType="begin"/>
    </w:r>
    <w:r>
      <w:rPr>
        <w:rFonts w:ascii="Arial Narrow" w:hAnsi="Arial Narrow"/>
        <w:sz w:val="20"/>
        <w:szCs w:val="20"/>
      </w:rPr>
      <w:instrText>PAGE   \* MERGEFORMAT</w:instrText>
    </w:r>
    <w:r>
      <w:rPr>
        <w:rFonts w:ascii="Arial Narrow" w:hAnsi="Arial Narrow"/>
        <w:sz w:val="20"/>
        <w:szCs w:val="20"/>
      </w:rPr>
      <w:fldChar w:fldCharType="separate"/>
    </w:r>
    <w:r w:rsidR="00AF4615">
      <w:rPr>
        <w:rFonts w:ascii="Arial Narrow" w:hAnsi="Arial Narrow"/>
        <w:noProof/>
        <w:sz w:val="20"/>
        <w:szCs w:val="20"/>
      </w:rPr>
      <w:t>1</w:t>
    </w:r>
    <w:r>
      <w:rPr>
        <w:rFonts w:ascii="Arial Narrow" w:hAnsi="Arial Narrow"/>
        <w:sz w:val="20"/>
        <w:szCs w:val="20"/>
      </w:rPr>
      <w:fldChar w:fldCharType="end"/>
    </w:r>
  </w:p>
  <w:p w14:paraId="6A603EEE" w14:textId="77777777" w:rsidR="00DF4E07" w:rsidRDefault="00DF4E07">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DEA6E1B" w14:textId="77777777" w:rsidR="00D90541" w:rsidRDefault="00D90541">
      <w:r>
        <w:separator/>
      </w:r>
    </w:p>
  </w:footnote>
  <w:footnote w:type="continuationSeparator" w:id="0">
    <w:p w14:paraId="458D1577" w14:textId="77777777" w:rsidR="00D90541" w:rsidRDefault="00D90541">
      <w:r>
        <w:continuationSeparator/>
      </w:r>
    </w:p>
  </w:footnote>
  <w:footnote w:type="continuationNotice" w:id="1">
    <w:p w14:paraId="74EB17E3" w14:textId="77777777" w:rsidR="00D90541" w:rsidRDefault="00D90541"/>
  </w:footnote>
  <w:footnote w:id="2">
    <w:p w14:paraId="5F8C5ACD" w14:textId="7137823A" w:rsidR="00DF4E07" w:rsidRDefault="00DF4E07" w:rsidP="00A01843">
      <w:pPr>
        <w:pStyle w:val="Textpoznmkypodiarou"/>
        <w:jc w:val="both"/>
      </w:pPr>
      <w:r>
        <w:rPr>
          <w:rStyle w:val="Odkaznapoznmkupodiarou"/>
        </w:rPr>
        <w:footnoteRef/>
      </w:r>
      <w:r>
        <w:t xml:space="preserve"> ÚV SR vykonáva úlohy v zmysle Systému riadenia EŠIF v nadväznosti na plnenie úlohy vlády SR podľa § 4 zákona o príspevku z EŠIF ako orgán, ktorý plní úlohy</w:t>
      </w:r>
      <w:r w:rsidRPr="0057476E">
        <w:t xml:space="preserve"> spojené s odborným, organizačným a technickým zabezpečovaním činnosti vlády</w:t>
      </w:r>
      <w:r>
        <w:t xml:space="preserve"> podľa §1b kompetenčného zákona</w:t>
      </w:r>
      <w:r w:rsidRPr="0057476E">
        <w:t>.</w:t>
      </w:r>
      <w:r>
        <w:t xml:space="preserve"> </w:t>
      </w:r>
      <w:r w:rsidRPr="006929A4">
        <w:t>ÚV SR je v zmysle § 24, ods. 1 ústredným orgánom štátnej správy pre</w:t>
      </w:r>
      <w:r>
        <w:t> </w:t>
      </w:r>
      <w:r w:rsidRPr="006929A4">
        <w:t>štátnozamestnanecké vzťahy a právne vzťahy pri výkone práce vo verejnom záujme. Na základe tejto kompetencie vykonáva ÚV SR niektoré kompetencie v súvislosti s administratívnymi kapacitami</w:t>
      </w:r>
      <w:r>
        <w:t>.</w:t>
      </w:r>
    </w:p>
  </w:footnote>
  <w:footnote w:id="3">
    <w:p w14:paraId="2684492F" w14:textId="798BCECC" w:rsidR="00DF4E07" w:rsidRDefault="00DF4E07" w:rsidP="000E286B">
      <w:pPr>
        <w:pStyle w:val="Textpoznmkypodiarou"/>
        <w:jc w:val="both"/>
      </w:pPr>
      <w:r>
        <w:rPr>
          <w:rStyle w:val="Odkaznapoznmkupodiarou"/>
        </w:rPr>
        <w:footnoteRef/>
      </w:r>
      <w:r>
        <w:t xml:space="preserve"> Činnosti spojené s koordináciou, prípravou a implementáciou procesov týkajúcich sa komunikácie a informovanosti,   ako aj činnosti vyplývajúce z plnenia Partnerskej dohody v oblasti vzdelávania administratívnych kapacít </w:t>
      </w:r>
      <w:r w:rsidRPr="00823788">
        <w:t xml:space="preserve"> </w:t>
      </w:r>
      <w:r>
        <w:t>zamest</w:t>
      </w:r>
      <w:r w:rsidRPr="00823788">
        <w:t xml:space="preserve">nancov pôsobiacich v systéme riadenia, kontroly a auditu EŠIF </w:t>
      </w:r>
      <w:r>
        <w:t xml:space="preserve">od 1. 6. 2016 vykonáva Úrad vlády Slovenskej republiky. </w:t>
      </w:r>
    </w:p>
  </w:footnote>
  <w:footnote w:id="4">
    <w:p w14:paraId="3BF85A54" w14:textId="03895F53" w:rsidR="00DF4E07" w:rsidRDefault="00DF4E07">
      <w:pPr>
        <w:pStyle w:val="Textpoznmkypodiarou"/>
      </w:pPr>
      <w:r>
        <w:rPr>
          <w:rStyle w:val="Odkaznapoznmkupodiarou"/>
        </w:rPr>
        <w:footnoteRef/>
      </w:r>
      <w:r>
        <w:t xml:space="preserve"> Vzor CKO č. 28 - </w:t>
      </w:r>
      <w:r w:rsidRPr="002B314A">
        <w:t>Zmluva o NFP (bez partnerov)</w:t>
      </w:r>
    </w:p>
  </w:footnote>
  <w:footnote w:id="5">
    <w:p w14:paraId="41AE2294" w14:textId="77777777" w:rsidR="00DF4E07" w:rsidRDefault="00DF4E07" w:rsidP="00DE5D89">
      <w:pPr>
        <w:pStyle w:val="Textpoznmkypodiarou"/>
        <w:jc w:val="both"/>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6">
    <w:p w14:paraId="50716E57" w14:textId="77777777" w:rsidR="00DF4E07" w:rsidRDefault="00DF4E07">
      <w:pPr>
        <w:pStyle w:val="Textpoznmkypodiarou"/>
      </w:pPr>
      <w:r>
        <w:rPr>
          <w:rStyle w:val="Odkaznapoznmkupodiarou"/>
        </w:rPr>
        <w:footnoteRef/>
      </w:r>
      <w:r>
        <w:t xml:space="preserve"> čl. 124 ods. 5 a 6 všeobecného nariadenia</w:t>
      </w:r>
    </w:p>
  </w:footnote>
  <w:footnote w:id="7">
    <w:p w14:paraId="2AA2F2FF" w14:textId="77777777" w:rsidR="00DF4E07" w:rsidRDefault="00DF4E07" w:rsidP="006C6864">
      <w:pPr>
        <w:pStyle w:val="Textpoznmkypodiarou"/>
        <w:jc w:val="both"/>
      </w:pPr>
      <w:r w:rsidRPr="009078F6">
        <w:rPr>
          <w:rStyle w:val="Odkaznapoznmkupodiarou"/>
        </w:rPr>
        <w:footnoteRef/>
      </w:r>
      <w:r>
        <w:t xml:space="preserve"> </w:t>
      </w:r>
      <w:r w:rsidRPr="00DE5D89">
        <w:t>Napriek skutočnosti, že číselník merateľných ukazovateľov v prípade jeho zmien nepodlieha pripomienkovému konaniu, doručená žiadosť o zmenu číselníka merateľných ukazovateľov bude spolu s posúdením na úrovni CKO zároveň zaslaná aj členom pracovnej skupiny pre monitorovanie EŠIF. Stanovisko k predloženej žiadosti o zmenu je potrebné zaslať najneskôr 2 pracovné dni od doručenia žiadosti členom pracovnej skupiny pre monitorovanie EŠIF.</w:t>
      </w:r>
    </w:p>
  </w:footnote>
  <w:footnote w:id="8">
    <w:p w14:paraId="4850EFFC" w14:textId="77777777" w:rsidR="00DF4E07" w:rsidRDefault="00DF4E07" w:rsidP="00DE5D89">
      <w:pPr>
        <w:pStyle w:val="Textpoznmkypodiarou"/>
        <w:jc w:val="both"/>
      </w:pPr>
      <w:r w:rsidRPr="009078F6">
        <w:rPr>
          <w:rStyle w:val="Odkaznapoznmkupodiarou"/>
        </w:rPr>
        <w:footnoteRef/>
      </w:r>
      <w:r w:rsidRPr="009078F6">
        <w:t xml:space="preserve"> V prípade pracovnej skupiny zriadenej gestorom HP </w:t>
      </w:r>
      <w:r w:rsidRPr="009078F6">
        <w:rPr>
          <w:lang w:eastAsia="en-US"/>
        </w:rPr>
        <w:t>rovnosť medzi mužmi a ženami a nediskriminácia môže štatút pracovnej skupiny urči</w:t>
      </w:r>
      <w:r w:rsidRPr="00DE5D89">
        <w:rPr>
          <w:lang w:eastAsia="en-US"/>
        </w:rPr>
        <w:t>ť</w:t>
      </w:r>
      <w:r w:rsidRPr="009078F6">
        <w:rPr>
          <w:lang w:eastAsia="en-US"/>
        </w:rPr>
        <w:t>, že hlasovacie právo budú mať aj členovia, ktorí sú zástupcami iných ako uvedených subjektov</w:t>
      </w:r>
      <w:r>
        <w:rPr>
          <w:lang w:eastAsia="en-US"/>
        </w:rPr>
        <w:t>.</w:t>
      </w:r>
    </w:p>
  </w:footnote>
  <w:footnote w:id="9">
    <w:p w14:paraId="64137E19" w14:textId="77777777" w:rsidR="00DF4E07" w:rsidRDefault="00DF4E07">
      <w:pPr>
        <w:pStyle w:val="Textpoznmkypodiarou"/>
      </w:pPr>
      <w:r>
        <w:rPr>
          <w:rStyle w:val="Odkaznapoznmkupodiarou"/>
        </w:rPr>
        <w:footnoteRef/>
      </w:r>
      <w:r>
        <w:t xml:space="preserve"> </w:t>
      </w:r>
      <w:r w:rsidRPr="0013742D">
        <w:t>MP CKO č. 11 k zabezpečeniu koordinácie synergických účinkov medzi EŠIF a inými nástrojmi podpory EÚ a SR</w:t>
      </w:r>
    </w:p>
  </w:footnote>
  <w:footnote w:id="10">
    <w:p w14:paraId="5AD95FF8" w14:textId="77777777" w:rsidR="00DF4E07" w:rsidRDefault="00DF4E07">
      <w:pPr>
        <w:pStyle w:val="Textpoznmkypodiarou"/>
      </w:pPr>
      <w:r>
        <w:rPr>
          <w:rStyle w:val="Odkaznapoznmkupodiarou"/>
        </w:rPr>
        <w:footnoteRef/>
      </w:r>
      <w:r>
        <w:t xml:space="preserve"> MP CKO č. 11 </w:t>
      </w:r>
      <w:r w:rsidRPr="00682D0A">
        <w:t>k zabezpečeniu koordinácie synergických účinkov medzi EŠIF a inými nástrojmi podpory EÚ a SR</w:t>
      </w:r>
    </w:p>
  </w:footnote>
  <w:footnote w:id="11">
    <w:p w14:paraId="60439398" w14:textId="77777777" w:rsidR="00DF4E07" w:rsidRDefault="00DF4E07" w:rsidP="00B9604E">
      <w:pPr>
        <w:pStyle w:val="Textpoznmkypodiarou"/>
      </w:pPr>
      <w:r>
        <w:rPr>
          <w:rStyle w:val="Odkaznapoznmkupodiarou"/>
        </w:rPr>
        <w:footnoteRef/>
      </w:r>
      <w:r>
        <w:t xml:space="preserve"> Príloha č. 1 k MP ÚV SR č. 16 pre informovanie a komunikáciu EŠIF – Komunikačná stratégia</w:t>
      </w:r>
    </w:p>
  </w:footnote>
  <w:footnote w:id="12">
    <w:p w14:paraId="1B821AA4" w14:textId="481AA654" w:rsidR="00DF4E07" w:rsidRDefault="00DF4E07">
      <w:pPr>
        <w:pStyle w:val="Textpoznmkypodiarou"/>
      </w:pPr>
      <w:r>
        <w:rPr>
          <w:rStyle w:val="Odkaznapoznmkupodiarou"/>
        </w:rPr>
        <w:footnoteRef/>
      </w:r>
      <w:r>
        <w:t xml:space="preserve"> MP CKO č. 3 </w:t>
      </w:r>
      <w:r w:rsidRPr="0045286B">
        <w:t>k procesu určenia riadiacich orgánov a certifikačného orgánu a k procesu monitorovania plnenia kritérií určenia</w:t>
      </w:r>
    </w:p>
  </w:footnote>
  <w:footnote w:id="13">
    <w:p w14:paraId="1147888A" w14:textId="5DCB96B8" w:rsidR="00DF4E07" w:rsidRPr="003C62F7" w:rsidRDefault="00DF4E07" w:rsidP="00DE5D89">
      <w:pPr>
        <w:pStyle w:val="Textpoznmkypodiarou"/>
        <w:jc w:val="both"/>
      </w:pPr>
      <w:r w:rsidRPr="003C62F7">
        <w:rPr>
          <w:rStyle w:val="Odkaznapoznmkupodiarou"/>
        </w:rPr>
        <w:footnoteRef/>
      </w:r>
      <w:r w:rsidRPr="003C62F7">
        <w:t xml:space="preserve"> ,,</w:t>
      </w:r>
      <w:r w:rsidRPr="00997CB0">
        <w:t>Sťažnosťou“ v kontexte definovanej povinnosti RO sa rozumie celkový systém opravných prostriedkov dostupných v súlade s právnym poriadkom SR, ktorý umožňuje žiadateľovi/prijímateľovi účinne domáhať sa ochrany svojich práv/právom chránených záujmov vo vzťahu k RO, a to 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vydávaní čiastkovej správy z kontroly/správy z kontroly (návrh čiastkovej správy z kontroly – správa z kontroly) v súlade s postupom upraveným v zákone o finančnej kontrole. Vybavovanie sťažností v súlade so zákonom o sťažnostiach podlieha režimu upravenému v tomto zákone, pričom využitie sťažností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 j. proti rozhodnutiu o schválení žiadosti o NFP, neschválení žiadosti o NFP, zastavení konania o žiadosti o NFP vydaným podľa zákona o príspevku z EŠIF.</w:t>
      </w:r>
    </w:p>
  </w:footnote>
  <w:footnote w:id="14">
    <w:p w14:paraId="004DCE2F" w14:textId="77777777" w:rsidR="00DF4E07" w:rsidRPr="003C62F7" w:rsidRDefault="00DF4E07" w:rsidP="00997CB0">
      <w:pPr>
        <w:pStyle w:val="Textpoznmkypodiarou"/>
        <w:jc w:val="both"/>
      </w:pPr>
      <w:r w:rsidRPr="003C62F7">
        <w:rPr>
          <w:rStyle w:val="Odkaznapoznmkupodiarou"/>
        </w:rPr>
        <w:footnoteRef/>
      </w:r>
      <w:r w:rsidRPr="003C62F7">
        <w:t xml:space="preserve"> V zmysle MP CKO č. 3 k procesu určenia riadiacich orgánov a certifikačného orgánu a k procesu monitorovania plnenia kritérií určenia</w:t>
      </w:r>
      <w:r w:rsidRPr="00997CB0">
        <w:t>.</w:t>
      </w:r>
    </w:p>
  </w:footnote>
  <w:footnote w:id="15">
    <w:p w14:paraId="43EB8F74" w14:textId="77777777" w:rsidR="00DF4E07" w:rsidRDefault="00DF4E07">
      <w:pPr>
        <w:pStyle w:val="Textpoznmkypodiarou"/>
      </w:pPr>
      <w:r>
        <w:rPr>
          <w:rStyle w:val="Odkaznapoznmkupodiarou"/>
        </w:rPr>
        <w:footnoteRef/>
      </w:r>
      <w:r>
        <w:t xml:space="preserve"> Vzor CKO č. 1 - </w:t>
      </w:r>
      <w:r w:rsidRPr="002B314A">
        <w:t>Štatút monitorovacieho výboru pre operačný program na programové obdobie 2014</w:t>
      </w:r>
      <w:r>
        <w:t xml:space="preserve"> </w:t>
      </w:r>
      <w:r w:rsidRPr="002B314A">
        <w:t>-</w:t>
      </w:r>
      <w:r>
        <w:t xml:space="preserve"> </w:t>
      </w:r>
      <w:r w:rsidRPr="002B314A">
        <w:t>2020</w:t>
      </w:r>
    </w:p>
  </w:footnote>
  <w:footnote w:id="16">
    <w:p w14:paraId="3EEB3FB1" w14:textId="77777777" w:rsidR="00DF4E07" w:rsidRDefault="00DF4E07">
      <w:pPr>
        <w:pStyle w:val="Textpoznmkypodiarou"/>
      </w:pPr>
      <w:r>
        <w:rPr>
          <w:rStyle w:val="Odkaznapoznmkupodiarou"/>
        </w:rPr>
        <w:footnoteRef/>
      </w:r>
      <w:r>
        <w:t xml:space="preserve"> Vzor CKO č. 2 - </w:t>
      </w:r>
      <w:r w:rsidRPr="002B314A">
        <w:t>Rokovací poriadok monitorovacieho výboru pre operačný program na programové obdobie 2014</w:t>
      </w:r>
      <w:r>
        <w:t xml:space="preserve"> </w:t>
      </w:r>
      <w:r w:rsidRPr="002B314A">
        <w:t>-</w:t>
      </w:r>
      <w:r>
        <w:t xml:space="preserve"> </w:t>
      </w:r>
      <w:r w:rsidRPr="002B314A">
        <w:t>2020</w:t>
      </w:r>
    </w:p>
  </w:footnote>
  <w:footnote w:id="17">
    <w:p w14:paraId="61F73666" w14:textId="77777777" w:rsidR="00DF4E07" w:rsidRPr="00B31279" w:rsidRDefault="00DF4E07" w:rsidP="00DE5D89">
      <w:pPr>
        <w:pStyle w:val="Textpoznmkypodiarou"/>
        <w:jc w:val="both"/>
      </w:pPr>
      <w:r w:rsidRPr="00997CB0">
        <w:rPr>
          <w:rStyle w:val="Odkaznapoznmkupodiarou"/>
        </w:rPr>
        <w:footnoteRef/>
      </w:r>
      <w:r w:rsidRPr="00997CB0">
        <w:t xml:space="preserve"> RO definuje rozsah, pravidlá a postupy týkajúce sa riadenia rizík na základe usmernenia Ministerstva financií Slovenskej republiky k riadeniu a analýze rizík (Finančný spravodajca č. 1/2006) alebo medzinárodných metodík riadenia rizík (</w:t>
      </w:r>
      <w:hyperlink r:id="rId1" w:history="1">
        <w:r w:rsidRPr="00997CB0">
          <w:rPr>
            <w:rStyle w:val="Hypertextovprepojenie"/>
          </w:rPr>
          <w:t>http://www.issai.org/intosai-guidance-for-good-governance-(intosai-gov)/)</w:t>
        </w:r>
      </w:hyperlink>
      <w:r w:rsidRPr="00997CB0">
        <w:t>. Z hľadiska skúseností z programového obdobia 2007 - 2013 v prípade celkového systému riadenia rizík sa RO odporúča zamerať aj na nasledovné oblasti - informačný systém a vykazovanie, legislatíva (vrátane výkladových pravidiel), administratívne kapacity, absorpčná kapacita (pravidlo n + 3, nenaplnenie indikátorov a finančných míľnikov, nedostatok kvalitných projektov, obmedzená kapacita prijímateľov).</w:t>
      </w:r>
    </w:p>
  </w:footnote>
  <w:footnote w:id="18">
    <w:p w14:paraId="63EEE3BC" w14:textId="666203EE" w:rsidR="00DF4E07" w:rsidRDefault="00DF4E07">
      <w:pPr>
        <w:pStyle w:val="Textpoznmkypodiarou"/>
      </w:pPr>
      <w:r>
        <w:rPr>
          <w:rStyle w:val="Odkaznapoznmkupodiarou"/>
        </w:rPr>
        <w:footnoteRef/>
      </w:r>
      <w:r>
        <w:t xml:space="preserve"> Vzor CKO č. 1 - </w:t>
      </w:r>
      <w:r w:rsidRPr="00625031">
        <w:t>Štatút monitorovacieho výboru pre operačný program na programové obdobie 2014</w:t>
      </w:r>
      <w:r>
        <w:t xml:space="preserve"> </w:t>
      </w:r>
      <w:r w:rsidRPr="00625031">
        <w:t>-</w:t>
      </w:r>
      <w:r>
        <w:t xml:space="preserve"> </w:t>
      </w:r>
      <w:r w:rsidRPr="00625031">
        <w:t>2020</w:t>
      </w:r>
    </w:p>
  </w:footnote>
  <w:footnote w:id="19">
    <w:p w14:paraId="5EA386BA" w14:textId="77777777" w:rsidR="00DF4E07" w:rsidRDefault="00DF4E07">
      <w:pPr>
        <w:pStyle w:val="Textpoznmkypodiarou"/>
      </w:pPr>
      <w:r>
        <w:rPr>
          <w:rStyle w:val="Odkaznapoznmkupodiarou"/>
        </w:rPr>
        <w:footnoteRef/>
      </w:r>
      <w:r>
        <w:t xml:space="preserve"> Vzor CKO č. 2 - </w:t>
      </w:r>
      <w:r w:rsidRPr="00625031">
        <w:t>Rokovací poriadok monitorovacieho výboru pre operačný program na programové obdobie 2014</w:t>
      </w:r>
      <w:r>
        <w:t xml:space="preserve"> </w:t>
      </w:r>
      <w:r w:rsidRPr="00625031">
        <w:t>-</w:t>
      </w:r>
      <w:r>
        <w:t xml:space="preserve"> </w:t>
      </w:r>
      <w:r w:rsidRPr="00625031">
        <w:t>2020</w:t>
      </w:r>
    </w:p>
  </w:footnote>
  <w:footnote w:id="20">
    <w:p w14:paraId="427468D5" w14:textId="77777777" w:rsidR="00DF4E07" w:rsidRDefault="00DF4E07" w:rsidP="00997CB0">
      <w:pPr>
        <w:pStyle w:val="Textpoznmkypodiarou"/>
        <w:jc w:val="both"/>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21">
    <w:p w14:paraId="06E6965D" w14:textId="77777777" w:rsidR="00DF4E07" w:rsidRDefault="00DF4E07">
      <w:pPr>
        <w:pStyle w:val="Textpoznmkypodiarou"/>
      </w:pPr>
      <w:r>
        <w:rPr>
          <w:rStyle w:val="Odkaznapoznmkupodiarou"/>
        </w:rPr>
        <w:footnoteRef/>
      </w:r>
      <w:r>
        <w:t xml:space="preserve"> Vzor CKO č. 3 - </w:t>
      </w:r>
      <w:r w:rsidRPr="00625031">
        <w:t>Manuál procedúr</w:t>
      </w:r>
    </w:p>
  </w:footnote>
  <w:footnote w:id="22">
    <w:p w14:paraId="57231F3D" w14:textId="77777777" w:rsidR="00DF4E07" w:rsidRDefault="00DF4E07">
      <w:pPr>
        <w:pStyle w:val="Textpoznmkypodiarou"/>
      </w:pPr>
      <w:r>
        <w:rPr>
          <w:rStyle w:val="Odkaznapoznmkupodiarou"/>
        </w:rPr>
        <w:footnoteRef/>
      </w:r>
      <w:r>
        <w:t xml:space="preserve"> Vzor CKO č. 3 - </w:t>
      </w:r>
      <w:r w:rsidRPr="00625031">
        <w:t>Manuál procedúr</w:t>
      </w:r>
    </w:p>
  </w:footnote>
  <w:footnote w:id="23">
    <w:p w14:paraId="79723C80" w14:textId="593DC1A9" w:rsidR="00DF4E07" w:rsidRDefault="00DF4E07">
      <w:pPr>
        <w:pStyle w:val="Textpoznmkypodiarou"/>
      </w:pPr>
      <w:r>
        <w:rPr>
          <w:rStyle w:val="Odkaznapoznmkupodiarou"/>
        </w:rPr>
        <w:footnoteRef/>
      </w:r>
      <w:r>
        <w:t xml:space="preserve"> Príloha č. 1 k MP CKO č. 3 – Vzor opisov systémov riadenia a kontroly</w:t>
      </w:r>
    </w:p>
  </w:footnote>
  <w:footnote w:id="24">
    <w:p w14:paraId="2E87F66F" w14:textId="313B686E" w:rsidR="00DF4E07" w:rsidRDefault="00DF4E07">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25">
    <w:p w14:paraId="3105C496" w14:textId="77777777" w:rsidR="00DF4E07" w:rsidRDefault="00DF4E07">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26">
    <w:p w14:paraId="4553742D" w14:textId="77777777" w:rsidR="00DF4E07" w:rsidRDefault="00DF4E07">
      <w:pPr>
        <w:pStyle w:val="Textpoznmkypodiarou"/>
      </w:pPr>
      <w:r>
        <w:rPr>
          <w:rStyle w:val="Odkaznapoznmkupodiarou"/>
        </w:rPr>
        <w:footnoteRef/>
      </w:r>
      <w:r>
        <w:t xml:space="preserve"> Vzor CKO č. 15 - </w:t>
      </w:r>
      <w:r w:rsidRPr="00625031">
        <w:t>Žiadosť o poskytnutie nenávratného finančného príspevku/Projektový zámer</w:t>
      </w:r>
    </w:p>
  </w:footnote>
  <w:footnote w:id="27">
    <w:p w14:paraId="2D9CB957" w14:textId="77777777" w:rsidR="00DF4E07" w:rsidRDefault="00DF4E07">
      <w:pPr>
        <w:pStyle w:val="Textpoznmkypodiarou"/>
      </w:pPr>
      <w:r>
        <w:rPr>
          <w:rStyle w:val="Odkaznapoznmkupodiarou"/>
        </w:rPr>
        <w:footnoteRef/>
      </w:r>
      <w:r>
        <w:t xml:space="preserve"> MP CKO č. 28 k overovaniu vybraných podmienok poskytnutia príspevku prostredníctvom ITMS2014+</w:t>
      </w:r>
    </w:p>
  </w:footnote>
  <w:footnote w:id="28">
    <w:p w14:paraId="707F1405" w14:textId="77777777" w:rsidR="00DF4E07" w:rsidRDefault="00DF4E07">
      <w:pPr>
        <w:pStyle w:val="Textpoznmkypodiarou"/>
      </w:pPr>
      <w:r>
        <w:rPr>
          <w:rStyle w:val="Odkaznapoznmkupodiarou"/>
        </w:rPr>
        <w:footnoteRef/>
      </w:r>
      <w:r>
        <w:t xml:space="preserve"> RO budú priebežne informované o nasadení integrácie ITMS 2014+ s príslušným registrom</w:t>
      </w:r>
    </w:p>
  </w:footnote>
  <w:footnote w:id="29">
    <w:p w14:paraId="563006B7" w14:textId="77777777" w:rsidR="00DF4E07" w:rsidRDefault="00DF4E07">
      <w:pPr>
        <w:pStyle w:val="Textpoznmkypodiarou"/>
      </w:pPr>
      <w:r>
        <w:rPr>
          <w:rStyle w:val="Odkaznapoznmkupodiarou"/>
        </w:rPr>
        <w:footnoteRef/>
      </w:r>
      <w:r>
        <w:t xml:space="preserve"> </w:t>
      </w:r>
      <w:r w:rsidRPr="009078F6">
        <w:t xml:space="preserve">Napr. </w:t>
      </w:r>
      <w:r w:rsidRPr="00DE5D89">
        <w:t>zákon</w:t>
      </w:r>
      <w:r w:rsidRPr="009078F6">
        <w:t xml:space="preserve"> </w:t>
      </w:r>
      <w:r w:rsidRPr="007A00B7">
        <w:rPr>
          <w:szCs w:val="22"/>
          <w:lang w:eastAsia="en-US"/>
        </w:rPr>
        <w:t>o štátnej službe</w:t>
      </w:r>
      <w:r w:rsidRPr="007A00B7">
        <w:t>, zákon o výkone práce</w:t>
      </w:r>
      <w:r w:rsidRPr="009078F6">
        <w:t xml:space="preserve"> vo verejnom záujme, §</w:t>
      </w:r>
      <w:r>
        <w:t xml:space="preserve"> 4 a § 22 kompetenčného zákona.</w:t>
      </w:r>
    </w:p>
  </w:footnote>
  <w:footnote w:id="30">
    <w:p w14:paraId="0B7E80E9" w14:textId="77777777" w:rsidR="00DF4E07" w:rsidRDefault="00DF4E07" w:rsidP="00946874">
      <w:pPr>
        <w:pStyle w:val="Textpoznmkypodiarou"/>
      </w:pPr>
      <w:r>
        <w:rPr>
          <w:rStyle w:val="Odkaznapoznmkupodiarou"/>
        </w:rPr>
        <w:footnoteRef/>
      </w:r>
      <w:r>
        <w:t xml:space="preserve"> </w:t>
      </w:r>
      <w:r w:rsidRPr="00B24B22">
        <w:t>Zákon č. 91/2016 Z. z. o trestnej zodpovednosti právnických osôb a o zmene a doplnení niektorých zákonov</w:t>
      </w:r>
    </w:p>
  </w:footnote>
  <w:footnote w:id="31">
    <w:p w14:paraId="7961E8E3" w14:textId="4EEAD07C" w:rsidR="00DF4E07" w:rsidRDefault="00DF4E07" w:rsidP="00957F10">
      <w:pPr>
        <w:pStyle w:val="Textpoznmkypodiarou"/>
      </w:pPr>
      <w:r>
        <w:rPr>
          <w:rStyle w:val="Odkaznapoznmkupodiarou"/>
        </w:rPr>
        <w:footnoteRef/>
      </w:r>
      <w:r>
        <w:t xml:space="preserve"> </w:t>
      </w:r>
      <w:r w:rsidRPr="00B24B22">
        <w:t xml:space="preserve">Zákon </w:t>
      </w:r>
      <w:r w:rsidRPr="00D76084">
        <w:t>o registri partnerov verejného sektora</w:t>
      </w:r>
    </w:p>
  </w:footnote>
  <w:footnote w:id="32">
    <w:p w14:paraId="3C303344" w14:textId="77777777" w:rsidR="00DF4E07" w:rsidRDefault="00DF4E07">
      <w:pPr>
        <w:pStyle w:val="Textpoznmkypodiarou"/>
      </w:pPr>
      <w:r>
        <w:rPr>
          <w:rStyle w:val="Odkaznapoznmkupodiarou"/>
        </w:rPr>
        <w:footnoteRef/>
      </w:r>
      <w:r>
        <w:t xml:space="preserve"> Súčasťou hodnotiacich kritérií sú napr. aj prípadné kritériá stanovené uzneseniami vlády SR, </w:t>
      </w:r>
      <w:r w:rsidRPr="00970543">
        <w:t>ak boli riadne schválené príslušným MV za dotknutý operačný program.</w:t>
      </w:r>
    </w:p>
  </w:footnote>
  <w:footnote w:id="33">
    <w:p w14:paraId="202B99A3" w14:textId="77777777" w:rsidR="00DF4E07" w:rsidRDefault="00DF4E07">
      <w:pPr>
        <w:pStyle w:val="Textpoznmkypodiarou"/>
      </w:pPr>
      <w:r>
        <w:rPr>
          <w:rStyle w:val="Odkaznapoznmkupodiarou"/>
        </w:rPr>
        <w:footnoteRef/>
      </w:r>
      <w:r>
        <w:t xml:space="preserve"> Vzor CKO č. 5 - </w:t>
      </w:r>
      <w:r w:rsidRPr="00625031">
        <w:t>Harmonogram výziev</w:t>
      </w:r>
    </w:p>
  </w:footnote>
  <w:footnote w:id="34">
    <w:p w14:paraId="43B1C533" w14:textId="77777777" w:rsidR="00DF4E07" w:rsidRDefault="00DF4E07">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p>
  </w:footnote>
  <w:footnote w:id="35">
    <w:p w14:paraId="15E71E34" w14:textId="77777777" w:rsidR="00DF4E07" w:rsidRDefault="00DF4E07">
      <w:pPr>
        <w:pStyle w:val="Textpoznmkypodiarou"/>
      </w:pPr>
      <w:r w:rsidRPr="002505DB">
        <w:rPr>
          <w:rStyle w:val="Odkaznapoznmkupodiarou"/>
        </w:rPr>
        <w:footnoteRef/>
      </w:r>
      <w:r w:rsidRPr="002505DB">
        <w:t xml:space="preserve"> </w:t>
      </w:r>
      <w:r w:rsidRPr="00DE5D89">
        <w:t>Vzor CKO č. 6 - Test štátnej pomoci</w:t>
      </w:r>
    </w:p>
  </w:footnote>
  <w:footnote w:id="36">
    <w:p w14:paraId="5E7E8136" w14:textId="77777777" w:rsidR="00DF4E07" w:rsidRDefault="00DF4E07">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37">
    <w:p w14:paraId="362FEA08" w14:textId="77777777" w:rsidR="00DF4E07" w:rsidRDefault="00DF4E07">
      <w:pPr>
        <w:pStyle w:val="Textpoznmkypodiarou"/>
      </w:pPr>
      <w:r>
        <w:rPr>
          <w:rStyle w:val="Odkaznapoznmkupodiarou"/>
        </w:rPr>
        <w:footnoteRef/>
      </w:r>
      <w:r>
        <w:t xml:space="preserve"> Za finálny návrh výzvy sa považuje výzva s dopracovanými jednotlivými časťami, záväzným kódom výzvy a kompletnými prílohami (v prípade, že prílohy výzvy podliehajú schváleniu inými orgánmi, musia byť tieto prílohy v čase predloženia návrhu výzvy už schválené).</w:t>
      </w:r>
    </w:p>
  </w:footnote>
  <w:footnote w:id="38">
    <w:p w14:paraId="67320095" w14:textId="77777777" w:rsidR="00DF4E07" w:rsidRDefault="00DF4E07">
      <w:pPr>
        <w:pStyle w:val="Textpoznmkypodiarou"/>
      </w:pPr>
      <w:r>
        <w:rPr>
          <w:rStyle w:val="Odkaznapoznmkupodiarou"/>
        </w:rPr>
        <w:footnoteRef/>
      </w:r>
      <w:r>
        <w:t xml:space="preserve"> Vzor CKO č. 7 - </w:t>
      </w:r>
      <w:r w:rsidRPr="002505DB">
        <w:t>Výzva na predkladanie projektových zámerov/výzva/vyzvanie</w:t>
      </w:r>
    </w:p>
  </w:footnote>
  <w:footnote w:id="39">
    <w:p w14:paraId="044D3F81" w14:textId="77777777" w:rsidR="00DF4E07" w:rsidRDefault="00DF4E07">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40">
    <w:p w14:paraId="2289F681" w14:textId="77777777" w:rsidR="00DF4E07" w:rsidRDefault="00DF4E07">
      <w:pPr>
        <w:pStyle w:val="Textpoznmkypodiarou"/>
      </w:pPr>
      <w:r>
        <w:rPr>
          <w:rStyle w:val="Odkaznapoznmkupodiarou"/>
        </w:rPr>
        <w:footnoteRef/>
      </w:r>
      <w:r>
        <w:t xml:space="preserve"> Vzor CKO č. 7 - </w:t>
      </w:r>
      <w:r w:rsidRPr="002505DB">
        <w:t>Výzva na predkladanie projektových zámerov/výzva/vyzvanie</w:t>
      </w:r>
    </w:p>
  </w:footnote>
  <w:footnote w:id="41">
    <w:p w14:paraId="21C28703" w14:textId="77777777" w:rsidR="00DF4E07" w:rsidRDefault="00DF4E07">
      <w:pPr>
        <w:pStyle w:val="Textpoznmkypodiarou"/>
      </w:pPr>
      <w:r>
        <w:rPr>
          <w:rStyle w:val="Odkaznapoznmkupodiarou"/>
        </w:rPr>
        <w:footnoteRef/>
      </w:r>
      <w:r>
        <w:t xml:space="preserve"> Vzor CKO č. 7 - </w:t>
      </w:r>
      <w:r w:rsidRPr="002505DB">
        <w:t>Výzva na predkladanie projektových zámerov/výzva/vyzvanie</w:t>
      </w:r>
    </w:p>
  </w:footnote>
  <w:footnote w:id="42">
    <w:p w14:paraId="3EC230E4" w14:textId="77777777" w:rsidR="00DF4E07" w:rsidRDefault="00DF4E07">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43">
    <w:p w14:paraId="3ADA7A83" w14:textId="77777777" w:rsidR="00DF4E07" w:rsidRDefault="00DF4E07" w:rsidP="005B4F8F">
      <w:pPr>
        <w:pStyle w:val="Textpoznmkypodiarou"/>
        <w:jc w:val="both"/>
      </w:pPr>
      <w:r>
        <w:rPr>
          <w:rStyle w:val="Odkaznapoznmkupodiarou"/>
        </w:rPr>
        <w:footnoteRef/>
      </w:r>
      <w:r>
        <w:t xml:space="preserve"> Takéto prílohy musia spĺňať š</w:t>
      </w:r>
      <w:r w:rsidRPr="00997CB0">
        <w:rPr>
          <w:lang w:eastAsia="en-GB"/>
        </w:rPr>
        <w:t xml:space="preserve">tandardy pre formáty elektronických dokumentov podpísateľných elektronickým podpisom v zmysle platného </w:t>
      </w:r>
      <w:r w:rsidRPr="00FB01E4">
        <w:t>Výnos</w:t>
      </w:r>
      <w:r>
        <w:t>u</w:t>
      </w:r>
      <w:r w:rsidRPr="00FB01E4">
        <w:t xml:space="preserve"> MF SR č. 55/2014 Z.</w:t>
      </w:r>
      <w:r>
        <w:t xml:space="preserve"> </w:t>
      </w:r>
      <w:r w:rsidRPr="00FB01E4">
        <w:t xml:space="preserve">z. </w:t>
      </w:r>
      <w:r w:rsidRPr="00997CB0">
        <w:rPr>
          <w:lang w:eastAsia="en-GB"/>
        </w:rPr>
        <w:t>o štandardoch pre informačné systémy verejnej správy.</w:t>
      </w:r>
    </w:p>
  </w:footnote>
  <w:footnote w:id="44">
    <w:p w14:paraId="6A9ACBB4" w14:textId="77777777" w:rsidR="00DF4E07" w:rsidRDefault="00DF4E07"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45">
    <w:p w14:paraId="4F85A99B" w14:textId="77777777" w:rsidR="00DF4E07" w:rsidRDefault="00DF4E07"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46">
    <w:p w14:paraId="55C88AC1" w14:textId="214D1777" w:rsidR="00DF4E07" w:rsidRDefault="00DF4E07">
      <w:pPr>
        <w:pStyle w:val="Textpoznmkypodiarou"/>
      </w:pPr>
      <w:r>
        <w:rPr>
          <w:rStyle w:val="Odkaznapoznmkupodiarou"/>
        </w:rPr>
        <w:footnoteRef/>
      </w:r>
      <w:r>
        <w:t xml:space="preserve"> Vzor CKO č. 19 - </w:t>
      </w:r>
      <w:r w:rsidRPr="002505DB">
        <w:t>Výzva na doplnenie projektového zámeru/</w:t>
      </w:r>
      <w:r>
        <w:t>ŽoNFP</w:t>
      </w:r>
    </w:p>
  </w:footnote>
  <w:footnote w:id="47">
    <w:p w14:paraId="097FFA17" w14:textId="77777777" w:rsidR="00DF4E07" w:rsidRDefault="00DF4E07"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48">
    <w:p w14:paraId="0DA9EE05" w14:textId="77777777" w:rsidR="00DF4E07" w:rsidRDefault="00DF4E07">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49">
    <w:p w14:paraId="2F233470" w14:textId="61225A78" w:rsidR="00DF4E07" w:rsidRDefault="00DF4E07" w:rsidP="00990546">
      <w:pPr>
        <w:pStyle w:val="Textpoznmkypodiarou"/>
        <w:jc w:val="both"/>
      </w:pPr>
      <w:r>
        <w:rPr>
          <w:rStyle w:val="Odkaznapoznmkupodiarou"/>
        </w:rPr>
        <w:footnoteRef/>
      </w:r>
      <w:r>
        <w:t xml:space="preserve"> Hodnotiace hárky ŽoNFP, resp. závery z hodnotenia každej ŽoNFP, vypracované pred termínom, stanoveným na zapracovanie zmien, vyplývajúcich z verzie č. 5  Systému riadenia EŠIF, nie je RO povinný dodatočne vložiť do ITMS 2014+.</w:t>
      </w:r>
    </w:p>
  </w:footnote>
  <w:footnote w:id="50">
    <w:p w14:paraId="749F7032" w14:textId="7DF58F12" w:rsidR="00DF4E07" w:rsidRDefault="00DF4E07" w:rsidP="00DE5D89">
      <w:pPr>
        <w:pStyle w:val="Textpoznmkypodiarou"/>
        <w:jc w:val="both"/>
      </w:pPr>
      <w:r>
        <w:rPr>
          <w:rStyle w:val="Odkaznapoznmkupodiarou"/>
        </w:rPr>
        <w:footnoteRef/>
      </w:r>
      <w:r>
        <w:t xml:space="preserve"> Vzor CKO č. 22 - </w:t>
      </w:r>
      <w:r w:rsidRPr="00625031">
        <w:t xml:space="preserve">Rozhodnutia o </w:t>
      </w:r>
      <w:r>
        <w:t>ŽoNFP</w:t>
      </w:r>
      <w:r w:rsidRPr="00625031">
        <w:t xml:space="preserve"> (rozhodnutie o schválení, neschválení a zastavení konania)</w:t>
      </w:r>
      <w:r>
        <w:t>,</w:t>
      </w:r>
      <w:r w:rsidRPr="004A3C6A">
        <w:t xml:space="preserve"> resp. vzor č. 30</w:t>
      </w:r>
      <w:r>
        <w:t xml:space="preserve"> – Rozhodnutie o schválení ŽoNFP</w:t>
      </w:r>
      <w:r w:rsidRPr="004A3C6A">
        <w:t xml:space="preserve"> (platí pre prípady, keď poskytovateľ a prijímateľ sú tá istá osoba</w:t>
      </w:r>
      <w:r>
        <w:t>).</w:t>
      </w:r>
    </w:p>
  </w:footnote>
  <w:footnote w:id="51">
    <w:p w14:paraId="23A02142" w14:textId="77777777" w:rsidR="00DF4E07" w:rsidRDefault="00DF4E07">
      <w:pPr>
        <w:pStyle w:val="Textpoznmkypodiarou"/>
      </w:pPr>
      <w:r>
        <w:rPr>
          <w:rStyle w:val="Odkaznapoznmkupodiarou"/>
        </w:rPr>
        <w:footnoteRef/>
      </w:r>
      <w:r>
        <w:t xml:space="preserve"> Vzor CKO č. 24 - </w:t>
      </w:r>
      <w:r w:rsidRPr="002505DB">
        <w:t>Záverečná správa výzvy</w:t>
      </w:r>
    </w:p>
  </w:footnote>
  <w:footnote w:id="52">
    <w:p w14:paraId="51289474" w14:textId="277806E0" w:rsidR="00DF4E07" w:rsidRDefault="00DF4E07" w:rsidP="00997CB0">
      <w:pPr>
        <w:pStyle w:val="Textpoznmkypodiarou"/>
        <w:jc w:val="both"/>
      </w:pPr>
      <w:r>
        <w:rPr>
          <w:rStyle w:val="Odkaznapoznmkupodiarou"/>
        </w:rPr>
        <w:footnoteRef/>
      </w:r>
      <w:r>
        <w:t xml:space="preserve"> Údaje o odborných hodnotiteľoch, ktorí hodnotili ŽoNFP pred termínom, stanoveným na zapracovanie zmien, vyplývajúcich z verzie č. 5 Systému riadenia EŠIF, nie je RO povinný dodatočne vložiť do ITMS 2014+. </w:t>
      </w:r>
      <w:r w:rsidRPr="00997CB0">
        <w:t>Podrobnosti vkladania zoznamu do ITMS 2014+ oznámi CKO riadiacim orgánom e-mailom.</w:t>
      </w:r>
    </w:p>
  </w:footnote>
  <w:footnote w:id="53">
    <w:p w14:paraId="1CD3F7D1" w14:textId="77777777" w:rsidR="00DF4E07" w:rsidRDefault="00DF4E07">
      <w:pPr>
        <w:pStyle w:val="Textpoznmkypodiarou"/>
      </w:pPr>
      <w:r>
        <w:rPr>
          <w:rStyle w:val="Odkaznapoznmkupodiarou"/>
        </w:rPr>
        <w:footnoteRef/>
      </w:r>
      <w:r>
        <w:t xml:space="preserve"> Vzor CKO č. 20 - </w:t>
      </w:r>
      <w:r w:rsidRPr="002505DB">
        <w:t>Hodnotiaca správa projektového zámeru</w:t>
      </w:r>
    </w:p>
  </w:footnote>
  <w:footnote w:id="54">
    <w:p w14:paraId="0AD6BFF5" w14:textId="77777777" w:rsidR="00DF4E07" w:rsidRDefault="00DF4E07">
      <w:pPr>
        <w:pStyle w:val="Textpoznmkypodiarou"/>
      </w:pPr>
      <w:r>
        <w:rPr>
          <w:rStyle w:val="Odkaznapoznmkupodiarou"/>
        </w:rPr>
        <w:footnoteRef/>
      </w:r>
      <w:r>
        <w:t xml:space="preserve"> Vzor CKO č. 23 - </w:t>
      </w:r>
      <w:r w:rsidRPr="002505DB">
        <w:t>Záverečná správa výzvy na predkladanie projektových zámerov</w:t>
      </w:r>
    </w:p>
  </w:footnote>
  <w:footnote w:id="55">
    <w:p w14:paraId="6B8EC1DD" w14:textId="42AC8D73" w:rsidR="00DF4E07" w:rsidRDefault="00DF4E07">
      <w:pPr>
        <w:pStyle w:val="Textpoznmkypodiarou"/>
      </w:pPr>
      <w:r>
        <w:rPr>
          <w:rStyle w:val="Odkaznapoznmkupodiarou"/>
        </w:rPr>
        <w:footnoteRef/>
      </w:r>
      <w:r>
        <w:t xml:space="preserve"> Vzor CKO č. 28 - </w:t>
      </w:r>
      <w:r w:rsidRPr="00625031">
        <w:t>Zmluva o NFP (bez partnerov)</w:t>
      </w:r>
    </w:p>
  </w:footnote>
  <w:footnote w:id="56">
    <w:p w14:paraId="5EB02D66" w14:textId="77777777" w:rsidR="00DF4E07" w:rsidRDefault="00DF4E07">
      <w:pPr>
        <w:pStyle w:val="Textpoznmkypodiarou"/>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57">
    <w:p w14:paraId="27CA9479" w14:textId="77777777" w:rsidR="00DF4E07" w:rsidRDefault="00DF4E07">
      <w:pPr>
        <w:pStyle w:val="Textpoznmkypodiarou"/>
      </w:pPr>
      <w:r>
        <w:rPr>
          <w:rStyle w:val="Odkaznapoznmkupodiarou"/>
        </w:rPr>
        <w:footnoteRef/>
      </w:r>
      <w:r>
        <w:t xml:space="preserve"> </w:t>
      </w:r>
      <w:r w:rsidRPr="0013742D">
        <w:t>MP CKO č. 19 k zabezpečeniu pohľadávky RO</w:t>
      </w:r>
    </w:p>
  </w:footnote>
  <w:footnote w:id="58">
    <w:p w14:paraId="21AEA772" w14:textId="77777777" w:rsidR="00DF4E07" w:rsidRDefault="00DF4E07" w:rsidP="00997CB0">
      <w:pPr>
        <w:pStyle w:val="Textpoznmkypodiarou"/>
        <w:jc w:val="both"/>
      </w:pPr>
      <w:r>
        <w:rPr>
          <w:rStyle w:val="Odkaznapoznmkupodiarou"/>
        </w:rPr>
        <w:footnoteRef/>
      </w:r>
      <w:r>
        <w:t xml:space="preserve"> </w:t>
      </w:r>
      <w:r w:rsidRPr="00332581">
        <w:t xml:space="preserve">Monitorovanie počas realizácie projektu v rámci programov spolupráce Interreg V-A </w:t>
      </w:r>
      <w:r>
        <w:t>je odlišné. Kľúčové informácie o postupe realizácie každého z partnerov projektu sú poskytované v rámci monitorovacích správ, ktoré predkladá každý z partnerov projektu s finančnou účasťou v rámci monitorovacích správ. Monitorovacie obdobia a termíny predkladania monitorovacích správ sú uvedené v zmluve o poskytnutí NFP. Monitorovacie správy sú predkladané spolu so zoznamom deklarovaných výdavkov, alebo samostatne. Ďalšia časť monitoringu počas realizácie projektu je zameraná na zber údajov za celý projekt a vykonáva sa prostredníctvom Súhrnných monitorovacích správ, ktoré predkladá hlavný prijímateľ projektu. Hlavný prijímateľ projektu predkladá Súhrnnú monitorovaciu správu za projekt spolu so ŽoP, resp. samostatne, ak ŽoP za dané obdobie nepredkladá.</w:t>
      </w:r>
    </w:p>
    <w:p w14:paraId="445A90D0" w14:textId="77777777" w:rsidR="00DF4E07" w:rsidRDefault="00DF4E07" w:rsidP="00997CB0">
      <w:pPr>
        <w:pStyle w:val="Textpoznmkypodiarou"/>
        <w:jc w:val="both"/>
      </w:pPr>
      <w:r>
        <w:t>Bližšie podmienky a postupy týkajúce sa monitorovania projektov sú uvedené v programovej dokumentácii jednotlivých programov spolupráce.</w:t>
      </w:r>
    </w:p>
  </w:footnote>
  <w:footnote w:id="59">
    <w:p w14:paraId="61725194" w14:textId="77777777" w:rsidR="00DF4E07" w:rsidRDefault="00DF4E07">
      <w:pPr>
        <w:pStyle w:val="Textpoznmkypodiarou"/>
      </w:pPr>
      <w:r>
        <w:rPr>
          <w:rStyle w:val="Odkaznapoznmkupodiarou"/>
        </w:rPr>
        <w:footnoteRef/>
      </w:r>
      <w:r>
        <w:t xml:space="preserve"> Vzor CKO č. 26 - </w:t>
      </w:r>
      <w:r w:rsidRPr="00625031">
        <w:t>Doplňujúce monitorovacie údaje k žiadosti o platbu</w:t>
      </w:r>
    </w:p>
  </w:footnote>
  <w:footnote w:id="60">
    <w:p w14:paraId="79B088AF" w14:textId="77777777" w:rsidR="00DF4E07" w:rsidRDefault="00DF4E07">
      <w:pPr>
        <w:pStyle w:val="Textpoznmkypodiarou"/>
      </w:pPr>
      <w:r>
        <w:rPr>
          <w:rStyle w:val="Odkaznapoznmkupodiarou"/>
        </w:rPr>
        <w:footnoteRef/>
      </w:r>
      <w:r>
        <w:t xml:space="preserve"> Vzor CKO č. 25 - </w:t>
      </w:r>
      <w:r w:rsidRPr="00625031">
        <w:t>Monitorovacia správa projektu</w:t>
      </w:r>
    </w:p>
  </w:footnote>
  <w:footnote w:id="61">
    <w:p w14:paraId="04788D53" w14:textId="77777777" w:rsidR="00DF4E07" w:rsidRDefault="00DF4E07">
      <w:pPr>
        <w:pStyle w:val="Textpoznmkypodiarou"/>
      </w:pPr>
      <w:r>
        <w:rPr>
          <w:rStyle w:val="Odkaznapoznmkupodiarou"/>
        </w:rPr>
        <w:footnoteRef/>
      </w:r>
      <w:r>
        <w:t xml:space="preserve"> Vzor CKO č. 27 - </w:t>
      </w:r>
      <w:r w:rsidRPr="00625031">
        <w:t>Následná monitorovacia správa projektu</w:t>
      </w:r>
    </w:p>
  </w:footnote>
  <w:footnote w:id="62">
    <w:p w14:paraId="1FD2646C" w14:textId="77777777" w:rsidR="00DF4E07" w:rsidRDefault="00DF4E07">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63">
    <w:p w14:paraId="656350B5" w14:textId="77777777" w:rsidR="00DF4E07" w:rsidRDefault="00DF4E07">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64">
    <w:p w14:paraId="2E1C28EA" w14:textId="77777777" w:rsidR="00DF4E07" w:rsidRDefault="00DF4E07">
      <w:pPr>
        <w:pStyle w:val="Textpoznmkypodiarou"/>
      </w:pPr>
      <w:r>
        <w:rPr>
          <w:rStyle w:val="Odkaznapoznmkupodiarou"/>
        </w:rPr>
        <w:footnoteRef/>
      </w:r>
      <w:r>
        <w:t xml:space="preserve"> § 2 ods. 2 písm. h) zákona o finančnej kontrole</w:t>
      </w:r>
    </w:p>
  </w:footnote>
  <w:footnote w:id="65">
    <w:p w14:paraId="095A67D6" w14:textId="70BB58F4" w:rsidR="00DF4E07" w:rsidRDefault="00DF4E07">
      <w:pPr>
        <w:pStyle w:val="Textpoznmkypodiarou"/>
      </w:pPr>
      <w:r>
        <w:rPr>
          <w:rStyle w:val="Odkaznapoznmkupodiarou"/>
        </w:rPr>
        <w:footnoteRef/>
      </w:r>
      <w:r>
        <w:t xml:space="preserve"> Keďže</w:t>
      </w:r>
      <w:r w:rsidRPr="006C1C05">
        <w:t xml:space="preserve"> zákon o finančnej kontrole výslovne neustanovuje formu akou má štatutárny orgán určiť vedúceho zamestnanca, je v kompetencií štatutárneho orgánu akou formou tento úkon vykoná</w:t>
      </w:r>
      <w:r>
        <w:t>.</w:t>
      </w:r>
    </w:p>
  </w:footnote>
  <w:footnote w:id="66">
    <w:p w14:paraId="6C4E3383" w14:textId="77777777" w:rsidR="00DF4E07" w:rsidRDefault="00DF4E07">
      <w:pPr>
        <w:pStyle w:val="Textpoznmkypodiarou"/>
      </w:pPr>
      <w:r>
        <w:rPr>
          <w:rStyle w:val="Odkaznapoznmkupodiarou"/>
        </w:rPr>
        <w:footnoteRef/>
      </w:r>
      <w:r>
        <w:t xml:space="preserve"> V zmysle ustanovenia § 22 ods. 2 zákona o finančnej kontrole</w:t>
      </w:r>
    </w:p>
  </w:footnote>
  <w:footnote w:id="67">
    <w:p w14:paraId="0F1B2054" w14:textId="77777777" w:rsidR="00DF4E07" w:rsidRDefault="00DF4E07">
      <w:pPr>
        <w:pStyle w:val="Textpoznmkypodiarou"/>
      </w:pPr>
      <w:r>
        <w:rPr>
          <w:rStyle w:val="Odkaznapoznmkupodiarou"/>
        </w:rPr>
        <w:footnoteRef/>
      </w:r>
      <w:r>
        <w:t xml:space="preserve"> Vzor CKO č. 13 - </w:t>
      </w:r>
      <w:r w:rsidRPr="00625031">
        <w:t>Kontrolné zoznamy ku kontrole projektu (okrem kontroly verejného obstarávania/obstarávania)</w:t>
      </w:r>
    </w:p>
  </w:footnote>
  <w:footnote w:id="68">
    <w:p w14:paraId="78AB755B" w14:textId="77777777" w:rsidR="00DF4E07" w:rsidRDefault="00DF4E07" w:rsidP="00517B1D">
      <w:pPr>
        <w:pStyle w:val="Textpoznmkypodiarou"/>
      </w:pPr>
      <w:r>
        <w:rPr>
          <w:rStyle w:val="Odkaznapoznmkupodiarou"/>
        </w:rPr>
        <w:footnoteRef/>
      </w:r>
      <w:r>
        <w:t xml:space="preserve"> V zmysle ustanovenia § 22 ods. 7 zákona o finančnej kontrole                                       </w:t>
      </w:r>
    </w:p>
  </w:footnote>
  <w:footnote w:id="69">
    <w:p w14:paraId="64C20C6F" w14:textId="77777777" w:rsidR="00DF4E07" w:rsidRDefault="00DF4E07" w:rsidP="00A47F6E">
      <w:pPr>
        <w:pStyle w:val="Textpoznmkypodiarou"/>
      </w:pPr>
      <w:r>
        <w:rPr>
          <w:rStyle w:val="Odkaznapoznmkupodiarou"/>
        </w:rPr>
        <w:footnoteRef/>
      </w:r>
      <w:r>
        <w:t xml:space="preserve"> Napríklad § 39 zákona Slovenskej národnej rady č. 323/1992 Zb. o notároch a notárskej činnosti (Notársky poriadok) v znení neskorších predpisov, § 23 zákona č. 586/2003 Z. z. o advokácií a o zmene a doplnení zákona č. 455/1991 Zb. o živnostenskom podnikaní (živnostenský zákon) v znení neskorších predpisov v znení zákona č. 297/2008 Z. z.</w:t>
      </w:r>
    </w:p>
  </w:footnote>
  <w:footnote w:id="70">
    <w:p w14:paraId="0363D937" w14:textId="77777777" w:rsidR="00DF4E07" w:rsidRDefault="00DF4E07">
      <w:pPr>
        <w:pStyle w:val="Textpoznmkypodiarou"/>
      </w:pPr>
      <w:r>
        <w:rPr>
          <w:rStyle w:val="Odkaznapoznmkupodiarou"/>
        </w:rPr>
        <w:footnoteRef/>
      </w:r>
      <w:r>
        <w:t xml:space="preserve"> Zákon Národnej rady Slovenskej republiky č. 46/1993 Z. z. v znení neskorších predpisov, </w:t>
      </w:r>
    </w:p>
    <w:p w14:paraId="2890D31F" w14:textId="77777777" w:rsidR="00DF4E07" w:rsidRDefault="00DF4E07">
      <w:pPr>
        <w:pStyle w:val="Textpoznmkypodiarou"/>
      </w:pPr>
      <w:r>
        <w:t>zákon č. 198/1994 Z. z. v znení neskorších predpisov,</w:t>
      </w:r>
    </w:p>
    <w:p w14:paraId="57001252" w14:textId="77777777" w:rsidR="00DF4E07" w:rsidRDefault="00DF4E07">
      <w:pPr>
        <w:pStyle w:val="Textpoznmkypodiarou"/>
      </w:pPr>
      <w:r>
        <w:t>zákon č. 215/2004 Z. z. v znení neskorších predpisov.</w:t>
      </w:r>
    </w:p>
    <w:p w14:paraId="38CBA743" w14:textId="77777777" w:rsidR="00DF4E07" w:rsidRDefault="00DF4E07">
      <w:pPr>
        <w:pStyle w:val="Textpoznmkypodiarou"/>
      </w:pPr>
    </w:p>
  </w:footnote>
  <w:footnote w:id="71">
    <w:p w14:paraId="77DC7626" w14:textId="77777777" w:rsidR="00DF4E07" w:rsidRDefault="00DF4E07">
      <w:pPr>
        <w:pStyle w:val="Textpoznmkypodiarou"/>
      </w:pPr>
      <w:r>
        <w:rPr>
          <w:rStyle w:val="Odkaznapoznmkupodiarou"/>
        </w:rPr>
        <w:footnoteRef/>
      </w:r>
      <w:r>
        <w:t xml:space="preserve"> Náklady  vyžadovaných úradne osvedčených </w:t>
      </w:r>
      <w:r w:rsidRPr="0070333D">
        <w:t>kópií znáša ich požadovateľ,  preto</w:t>
      </w:r>
      <w:r>
        <w:t xml:space="preserve"> je potrebné zvážiť hospodárnosť a nevyhnutnosť takejto požiadavky.  </w:t>
      </w:r>
    </w:p>
  </w:footnote>
  <w:footnote w:id="72">
    <w:p w14:paraId="5FAD9493" w14:textId="5D03D65E" w:rsidR="00DF4E07" w:rsidRDefault="00DF4E07">
      <w:pPr>
        <w:pStyle w:val="Textpoznmkypodiarou"/>
      </w:pPr>
      <w:r>
        <w:rPr>
          <w:rStyle w:val="Odkaznapoznmkupodiarou"/>
        </w:rPr>
        <w:footnoteRef/>
      </w:r>
      <w:r>
        <w:t xml:space="preserve"> Napríklad civilný sporový poriadok, civilný mimosporový poriadok, správny poriadok, zákon Slovenskej národnej rady č. 372/1990 Zb.  o priestupoch v znení neskorších predpisov </w:t>
      </w:r>
    </w:p>
  </w:footnote>
  <w:footnote w:id="73">
    <w:p w14:paraId="2129C683" w14:textId="77777777" w:rsidR="00DF4E07" w:rsidRDefault="00DF4E07" w:rsidP="00DE5D89">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w:t>
      </w:r>
      <w:r>
        <w:t xml:space="preserve"> </w:t>
      </w:r>
      <w:r w:rsidRPr="00DE5D89">
        <w:t>j. zaúčtovanie poskytnutého preddavku,  prijatie faktúry, zúčtovanie rozdielu (preplatok/nedoplatok)</w:t>
      </w:r>
      <w:r>
        <w:t>.</w:t>
      </w:r>
    </w:p>
  </w:footnote>
  <w:footnote w:id="74">
    <w:p w14:paraId="5AB153C6" w14:textId="77777777" w:rsidR="00DF4E07" w:rsidRDefault="00DF4E07">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75">
    <w:p w14:paraId="578AFFD7" w14:textId="772E660A" w:rsidR="00DF4E07" w:rsidRDefault="00DF4E07" w:rsidP="00C03CE9">
      <w:pPr>
        <w:pStyle w:val="Textpoznmkypodiarou"/>
        <w:jc w:val="both"/>
      </w:pPr>
      <w:r>
        <w:rPr>
          <w:rStyle w:val="Odkaznapoznmkupodiarou"/>
        </w:rPr>
        <w:footnoteRef/>
      </w:r>
      <w:r>
        <w:t xml:space="preserve">) </w:t>
      </w:r>
      <w:r w:rsidRPr="00283980">
        <w:t>Napríklad zákon č. 523/200</w:t>
      </w:r>
      <w:r>
        <w:t>4</w:t>
      </w:r>
      <w:r w:rsidRPr="00283980">
        <w:t xml:space="preserve"> Z. z. v znení neskorších predpisov,</w:t>
      </w:r>
      <w:r>
        <w:t xml:space="preserve"> </w:t>
      </w:r>
      <w:r w:rsidRPr="00283980">
        <w:t>zákon č. 583/2004 Z. z</w:t>
      </w:r>
      <w:r>
        <w:t xml:space="preserve">. v znení neskorších predpisov, </w:t>
      </w:r>
      <w:r w:rsidRPr="00283980">
        <w:t>zákon č. 25/2006 Z. z. o verejnom obstarávaní a o zmene a doplnení niektorých zákonov v znení neskorších predpisov,</w:t>
      </w:r>
      <w:r>
        <w:t xml:space="preserve"> zákon č. 343/2015 Z. z. o verejnom obstarávaní a o zmene a doplnení niektorých zákonov v znení neskorších predpisov, </w:t>
      </w:r>
      <w:r w:rsidRPr="005A1A1E">
        <w:t>zákon č. 528/2008 Z. z. o pomoci a podpore poskytovanej z fondov Európskej únie v znení neskorších predpisov</w:t>
      </w:r>
      <w:r>
        <w:t>,</w:t>
      </w:r>
      <w:r w:rsidRPr="00283980">
        <w:t xml:space="preserve"> Dohoda medzi Európskou úniou, Islandom, Lichtenštajnským kniežatstvom a Nórskym kráľovstvom o finančnom mechanizme EHP</w:t>
      </w:r>
      <w:r>
        <w:t xml:space="preserve"> na obdobie rokov 2009 – 2014 (</w:t>
      </w:r>
      <w:r w:rsidRPr="00283980">
        <w:t>Ú. v. EÚ L 291,</w:t>
      </w:r>
      <w:r>
        <w:t xml:space="preserve"> </w:t>
      </w:r>
      <w:r w:rsidRPr="00283980">
        <w:t>09.</w:t>
      </w:r>
      <w:r>
        <w:t xml:space="preserve"> </w:t>
      </w:r>
      <w:r w:rsidRPr="00283980">
        <w:t>11.</w:t>
      </w:r>
      <w:r>
        <w:t xml:space="preserve"> </w:t>
      </w:r>
      <w:r w:rsidRPr="00283980">
        <w:t>2010), Dohoda medzi Nórskym kráľovstvom a </w:t>
      </w:r>
      <w:r>
        <w:t>E</w:t>
      </w:r>
      <w:r w:rsidRPr="00283980">
        <w:t>urópskou úniou o nórskom finančnom mechanizme</w:t>
      </w:r>
      <w:r>
        <w:t xml:space="preserve"> na obdobie rokov 2009 – 2014 (</w:t>
      </w:r>
      <w:r w:rsidRPr="00283980">
        <w:t>Ú. v. EÚ L 291, 09.</w:t>
      </w:r>
      <w:r>
        <w:t xml:space="preserve"> </w:t>
      </w:r>
      <w:r w:rsidRPr="00283980">
        <w:t>11. 2010),</w:t>
      </w:r>
      <w:r>
        <w:t xml:space="preserve"> </w:t>
      </w:r>
      <w:r w:rsidRPr="00A3725E">
        <w:rPr>
          <w:rFonts w:cs="Calibri"/>
        </w:rPr>
        <w:t>Zmluva o Európskej únii a Zmluva o fungovaní Európskej únie (Ú. v. EÚ C 326, 26. 10. 2012)</w:t>
      </w:r>
      <w:r>
        <w:rPr>
          <w:rFonts w:cs="Calibri"/>
        </w:rPr>
        <w:t>,</w:t>
      </w:r>
      <w:r>
        <w:t xml:space="preserve"> </w:t>
      </w:r>
      <w:r w:rsidRPr="00AD7893">
        <w:t>nariadeni</w:t>
      </w:r>
      <w:r>
        <w:t>e</w:t>
      </w:r>
      <w:r w:rsidRPr="00AD7893">
        <w:t xml:space="preserve"> Európskeho parlamentu a Rady (EÚ, Euratom) č. 966/2012 z 25. októbra 2012 o rozpočtových pravidlách, ktoré sa vzťahujú na všeobecný rozpočet Únie, a zrušení nariadenia Rady (ES, Euratom) č. 1605/2002</w:t>
      </w:r>
      <w:r>
        <w:t xml:space="preserve"> </w:t>
      </w:r>
      <w:r w:rsidRPr="00AD7893">
        <w:t>(Ú. v. EÚ L 298, 26.</w:t>
      </w:r>
      <w:r>
        <w:t xml:space="preserve"> </w:t>
      </w:r>
      <w:r w:rsidRPr="00AD7893">
        <w:t>10.</w:t>
      </w:r>
      <w:r>
        <w:t xml:space="preserve"> </w:t>
      </w:r>
      <w:r w:rsidRPr="00AD7893">
        <w:t>2012)</w:t>
      </w:r>
      <w:r>
        <w:t xml:space="preserve"> v platnom znení</w:t>
      </w:r>
      <w:r w:rsidRPr="00283980">
        <w:t>, nariadenie</w:t>
      </w:r>
      <w:r>
        <w:t xml:space="preserve"> (EÚ)</w:t>
      </w:r>
      <w:r w:rsidRPr="00283980">
        <w:t xml:space="preserve"> č. 1303/2013, nariadenie Európskeho parlamentu a </w:t>
      </w:r>
      <w:r>
        <w:t>R</w:t>
      </w:r>
      <w:r w:rsidRPr="00283980">
        <w:t>ady (EÚ) č. 1305/2013 zo 17. decembra 2013 o podpore rozvoja vidieka prostredníctvom Európskeho poľnohospodárskeho fondu pre rozvoj vidieka (EPFRV) a o zrušení nariadenia Rady (ES) č. 1698/2005 (Ú. v. EÚ L 3</w:t>
      </w:r>
      <w:r>
        <w:t>47</w:t>
      </w:r>
      <w:r w:rsidRPr="00283980">
        <w:t>, 20.</w:t>
      </w:r>
      <w:r>
        <w:t xml:space="preserve"> </w:t>
      </w:r>
      <w:r w:rsidRPr="00283980">
        <w:t>12. 2013)</w:t>
      </w:r>
      <w:r>
        <w:t xml:space="preserve"> v platnom znení</w:t>
      </w:r>
      <w:r w:rsidRPr="00283980">
        <w:t xml:space="preserve">, </w:t>
      </w:r>
      <w:r>
        <w:rPr>
          <w:bCs/>
        </w:rPr>
        <w:t>vykonávacie nariadenie komisie</w:t>
      </w:r>
      <w:r w:rsidRPr="00B024EF">
        <w:rPr>
          <w:bCs/>
        </w:rPr>
        <w:t> (EÚ) č. 215/2014</w:t>
      </w:r>
      <w:r>
        <w:rPr>
          <w:bCs/>
        </w:rPr>
        <w:t xml:space="preserve"> </w:t>
      </w:r>
      <w:r w:rsidRPr="00B024EF">
        <w:rPr>
          <w:bCs/>
        </w:rPr>
        <w:t>zo 7. marca 2014,</w:t>
      </w:r>
      <w:r>
        <w:rPr>
          <w:bCs/>
        </w:rPr>
        <w:t xml:space="preserve"> </w:t>
      </w:r>
      <w:r w:rsidRPr="00B024EF">
        <w:rPr>
          <w:bCs/>
        </w:rPr>
        <w:t>ktorým sa stanovujú pravidlá vykonávania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v súvislosti s metodikami poskytovania podpory na riešenie zmeny klímy, určovaním čiastkových cieľov a zámerov vo výkonnostnom rámci a nomenklatúrou kategórií intervencií pre európske štrukturálne a investičné fondy</w:t>
      </w:r>
      <w:r>
        <w:rPr>
          <w:bCs/>
        </w:rPr>
        <w:t xml:space="preserve"> (</w:t>
      </w:r>
      <w:r w:rsidRPr="00445F97">
        <w:rPr>
          <w:bCs/>
        </w:rPr>
        <w:t>Ú. v. EÚ L 69, 8.3.2014</w:t>
      </w:r>
      <w:r>
        <w:rPr>
          <w:bCs/>
        </w:rPr>
        <w:t>) v platnom znení</w:t>
      </w:r>
      <w:r w:rsidRPr="00445F97">
        <w:rPr>
          <w:bCs/>
        </w:rPr>
        <w:t xml:space="preserve">, </w:t>
      </w:r>
      <w:r>
        <w:t xml:space="preserve"> </w:t>
      </w:r>
      <w:r w:rsidRPr="009407C8">
        <w:t>zákon o príspevku z EŠIF</w:t>
      </w:r>
      <w:r>
        <w:t>.</w:t>
      </w:r>
    </w:p>
  </w:footnote>
  <w:footnote w:id="76">
    <w:p w14:paraId="0A85B027" w14:textId="12D3F89C" w:rsidR="00DF4E07" w:rsidRDefault="00DF4E07" w:rsidP="00AD5656">
      <w:pPr>
        <w:pStyle w:val="Textpoznmkypodiarou"/>
        <w:jc w:val="both"/>
      </w:pPr>
      <w:r w:rsidRPr="00A16FDE">
        <w:rPr>
          <w:rStyle w:val="Odkaznapoznmkupodiarou"/>
        </w:rPr>
        <w:footnoteRef/>
      </w:r>
      <w:r w:rsidRPr="00A16FDE">
        <w:t xml:space="preserve">) </w:t>
      </w:r>
      <w:r>
        <w:t xml:space="preserve">Napríklad zákon č. 71/1967 Zb. o správnom konaní (správny poriadok) v znení neskorších predpisov, zákon č. 238/1998 Z. z. o príspevku na pohreb v znení neskorších predpisov, zákon č. 600/2003 Z. z. o prídavku na dieťa o zmene a doplnení zákona č. 461/2003 Z. z. o sociálnom poistení v znení neskorších predpisov, zákon č. 627/2005 Z. z. o príspevkoch na podporu náhradnej starostlivosti o dieťa v znení neskorších predpisov, zákon č. 543/2007 Z. z. </w:t>
      </w:r>
      <w:r w:rsidRPr="00A3725E">
        <w:rPr>
          <w:rFonts w:cs="Calibri"/>
        </w:rPr>
        <w:t>o pôsobnosti orgánov štátnej správy pri poskytovaní podpory v pôdohospodárstve a rozvoji vidieka</w:t>
      </w:r>
      <w:r>
        <w:t xml:space="preserve"> v znení neskorších predpisov, zákon č. 528/2008 Z. z. v znení neskorších predpisov, zákon č. 571/2009 Z. z. o rodičovskom príspevku a o zmene a doplnení niektorých zákonov v znení neskorších predpisov, zákon č. 383/2013 Z. z. o príspevku pri narodení dieťaťa a príspevku na viac súčasne narodených detí a o zmene a doplnení niektorých zákonov </w:t>
      </w:r>
      <w:r w:rsidRPr="00A3725E">
        <w:rPr>
          <w:rFonts w:cs="Calibri"/>
        </w:rPr>
        <w:t xml:space="preserve">v znení </w:t>
      </w:r>
      <w:r>
        <w:rPr>
          <w:rFonts w:cs="Calibri"/>
        </w:rPr>
        <w:t>neskorších predpisov</w:t>
      </w:r>
      <w:r>
        <w:t xml:space="preserve">, </w:t>
      </w:r>
      <w:r w:rsidRPr="009407C8">
        <w:t xml:space="preserve">zákon o príspevku z EŠIF </w:t>
      </w:r>
      <w:r>
        <w:t>.</w:t>
      </w:r>
    </w:p>
  </w:footnote>
  <w:footnote w:id="77">
    <w:p w14:paraId="45C381DD" w14:textId="77777777" w:rsidR="00DF4E07" w:rsidRDefault="00DF4E07" w:rsidP="00AD5656">
      <w:pPr>
        <w:pStyle w:val="Textpoznmkypodiarou"/>
        <w:jc w:val="both"/>
      </w:pPr>
      <w:r w:rsidRPr="00A16FDE">
        <w:rPr>
          <w:rStyle w:val="Odkaznapoznmkupodiarou"/>
        </w:rPr>
        <w:footnoteRef/>
      </w:r>
      <w:r w:rsidRPr="00A16FDE">
        <w:t>) Napríklad Občiansky zákonník v znení neskorších predpisov, Obchodný zákonník v znení neskorších predpisov.</w:t>
      </w:r>
    </w:p>
  </w:footnote>
  <w:footnote w:id="78">
    <w:p w14:paraId="7859CFE0" w14:textId="77777777" w:rsidR="00DF4E07" w:rsidRDefault="00DF4E07">
      <w:pPr>
        <w:pStyle w:val="Textpoznmkypodiarou"/>
      </w:pPr>
      <w:r>
        <w:rPr>
          <w:rStyle w:val="Odkaznapoznmkupodiarou"/>
        </w:rPr>
        <w:footnoteRef/>
      </w:r>
      <w:r>
        <w:t xml:space="preserve"> Č</w:t>
      </w:r>
      <w:r w:rsidRPr="006C1C05">
        <w:t>l. 2 bod 36 a 38 nariadenia (EÚ)č. 1303/2013</w:t>
      </w:r>
      <w:r>
        <w:t>.</w:t>
      </w:r>
    </w:p>
  </w:footnote>
  <w:footnote w:id="79">
    <w:p w14:paraId="2888C75A" w14:textId="63CAE789" w:rsidR="00DF4E07" w:rsidRDefault="00DF4E07">
      <w:pPr>
        <w:pStyle w:val="Textpoznmkypodiarou"/>
      </w:pPr>
      <w:r>
        <w:rPr>
          <w:rStyle w:val="Odkaznapoznmkupodiarou"/>
        </w:rPr>
        <w:footnoteRef/>
      </w:r>
      <w:r>
        <w:t xml:space="preserve"> </w:t>
      </w:r>
      <w:r w:rsidRPr="00997CB0">
        <w:t>Napr. podľa § 7 ods. 6, § 20 ods. 1 písm. c), d) a</w:t>
      </w:r>
      <w:r w:rsidRPr="00F12951">
        <w:t> </w:t>
      </w:r>
      <w:r w:rsidRPr="00997CB0">
        <w:t xml:space="preserve">e) zákona </w:t>
      </w:r>
      <w:r w:rsidRPr="009407C8">
        <w:t xml:space="preserve">o príspevku z EŠIF </w:t>
      </w:r>
      <w:r>
        <w:t>.</w:t>
      </w:r>
    </w:p>
  </w:footnote>
  <w:footnote w:id="80">
    <w:p w14:paraId="22548EA8" w14:textId="77777777" w:rsidR="00DF4E07" w:rsidRDefault="00DF4E07">
      <w:pPr>
        <w:pStyle w:val="Textpoznmkypodiarou"/>
      </w:pPr>
      <w:r>
        <w:rPr>
          <w:rStyle w:val="Odkaznapoznmkupodiarou"/>
        </w:rPr>
        <w:footnoteRef/>
      </w:r>
      <w:r>
        <w:t xml:space="preserve"> Vzor CKO č. 11 - </w:t>
      </w:r>
      <w:r w:rsidRPr="00625031">
        <w:t xml:space="preserve">Návrh </w:t>
      </w:r>
      <w:r>
        <w:t>čiastkovej správy z kontroly/</w:t>
      </w:r>
      <w:r w:rsidRPr="00625031">
        <w:t>správy z kontroly</w:t>
      </w:r>
    </w:p>
  </w:footnote>
  <w:footnote w:id="81">
    <w:p w14:paraId="20F17709" w14:textId="77777777" w:rsidR="00DF4E07" w:rsidRDefault="00DF4E07">
      <w:pPr>
        <w:pStyle w:val="Textpoznmkypodiarou"/>
      </w:pPr>
      <w:r>
        <w:rPr>
          <w:rStyle w:val="Odkaznapoznmkupodiarou"/>
        </w:rPr>
        <w:footnoteRef/>
      </w:r>
      <w:r>
        <w:t xml:space="preserve"> Vzor CKO č. 12 – Čiastková správa z kontroly/</w:t>
      </w:r>
      <w:r w:rsidRPr="00625031">
        <w:t>Správa z kontroly</w:t>
      </w:r>
    </w:p>
  </w:footnote>
  <w:footnote w:id="82">
    <w:p w14:paraId="6A7049FE" w14:textId="77777777" w:rsidR="00DF4E07" w:rsidRDefault="00DF4E07">
      <w:pPr>
        <w:pStyle w:val="Textpoznmkypodiarou"/>
      </w:pPr>
      <w:r>
        <w:rPr>
          <w:rStyle w:val="Odkaznapoznmkupodiarou"/>
        </w:rPr>
        <w:footnoteRef/>
      </w:r>
      <w:r>
        <w:t xml:space="preserve"> Vzor CKO č. 9 - </w:t>
      </w:r>
      <w:r w:rsidRPr="00625031">
        <w:t xml:space="preserve">Poverenie na vykonanie </w:t>
      </w:r>
      <w:r>
        <w:t xml:space="preserve">finančnej </w:t>
      </w:r>
      <w:r w:rsidRPr="00625031">
        <w:t>kontroly na mieste</w:t>
      </w:r>
    </w:p>
  </w:footnote>
  <w:footnote w:id="83">
    <w:p w14:paraId="70D3782D" w14:textId="7A214D48" w:rsidR="00DF4E07" w:rsidRPr="002458C7" w:rsidRDefault="00DF4E07" w:rsidP="00DE5D89">
      <w:pPr>
        <w:pStyle w:val="Textpoznmkypodiarou"/>
        <w:jc w:val="both"/>
      </w:pPr>
      <w:r w:rsidRPr="00997CB0">
        <w:rPr>
          <w:rStyle w:val="Odkaznapoznmkupodiarou"/>
        </w:rPr>
        <w:footnoteRef/>
      </w:r>
      <w:r w:rsidRPr="00997CB0">
        <w:t xml:space="preserve"> V prípade, ak rozsah kontrolovaných finančných prostriedkov nepokrýva celý súbor výdavkov, RO sa odporúča pri výbere vzorky postupovať podľa Medzinárodných audítorských štandardov vydaných organizáciou IFAC</w:t>
      </w:r>
    </w:p>
  </w:footnote>
  <w:footnote w:id="84">
    <w:p w14:paraId="7BB64D8E" w14:textId="77777777" w:rsidR="00DF4E07" w:rsidRPr="002458C7" w:rsidRDefault="00DF4E07" w:rsidP="00DE5D89">
      <w:pPr>
        <w:pStyle w:val="Textpoznmkypodiarou"/>
        <w:jc w:val="both"/>
      </w:pPr>
      <w:r w:rsidRPr="00997CB0">
        <w:rPr>
          <w:rStyle w:val="Odkaznapoznmkupodiarou"/>
        </w:rPr>
        <w:footnoteRef/>
      </w:r>
      <w:r w:rsidRPr="00997CB0">
        <w:t xml:space="preserve"> Analýza rizík sa vypracuje v rámci kontroly žiadosti o platbu. Súčasťou analýzy rizík je aj záver o potrebe vykonať finančnú kontrolu na mieste pred preplatením/zúčtovaním ŽoP; uvedené nemá vplyv na povinnosť vykonať finančnú kontrolu na mieste na základe záverov auditov, kontrol alebo certifikačných overovaní.</w:t>
      </w:r>
    </w:p>
  </w:footnote>
  <w:footnote w:id="85">
    <w:p w14:paraId="1BCA407E" w14:textId="77777777" w:rsidR="00DF4E07" w:rsidRPr="002458C7" w:rsidRDefault="00DF4E07">
      <w:pPr>
        <w:pStyle w:val="Textpoznmkypodiarou"/>
      </w:pPr>
      <w:r w:rsidRPr="002458C7">
        <w:rPr>
          <w:rStyle w:val="Odkaznapoznmkupodiarou"/>
        </w:rPr>
        <w:footnoteRef/>
      </w:r>
      <w:r w:rsidRPr="002458C7">
        <w:t xml:space="preserve"> Vzor CKO č. 8 - Riziková analýza žiadosti o platbu k finančnej kontrole na mieste</w:t>
      </w:r>
    </w:p>
  </w:footnote>
  <w:footnote w:id="86">
    <w:p w14:paraId="3918D7A6" w14:textId="77777777" w:rsidR="00DF4E07" w:rsidRPr="002458C7" w:rsidRDefault="00DF4E07">
      <w:pPr>
        <w:pStyle w:val="Textpoznmkypodiarou"/>
      </w:pPr>
      <w:r w:rsidRPr="002458C7">
        <w:rPr>
          <w:rStyle w:val="Odkaznapoznmkupodiarou"/>
        </w:rPr>
        <w:footnoteRef/>
      </w:r>
      <w:r w:rsidRPr="002458C7">
        <w:t xml:space="preserve"> Vzor CKO č. 10 - Oznámenie o výkone finančnej kontroly na mieste</w:t>
      </w:r>
    </w:p>
  </w:footnote>
  <w:footnote w:id="87">
    <w:p w14:paraId="235178A1" w14:textId="66C49A44" w:rsidR="00DF4E07" w:rsidRDefault="00DF4E07" w:rsidP="00997CB0">
      <w:pPr>
        <w:contextualSpacing/>
        <w:jc w:val="both"/>
      </w:pPr>
      <w:r w:rsidRPr="000E286B">
        <w:rPr>
          <w:rStyle w:val="Odkaznapoznmkupodiarou"/>
          <w:sz w:val="20"/>
          <w:szCs w:val="20"/>
        </w:rPr>
        <w:footnoteRef/>
      </w:r>
      <w:r>
        <w:t xml:space="preserve"> </w:t>
      </w:r>
      <w:r w:rsidRPr="0017309C">
        <w:rPr>
          <w:sz w:val="20"/>
          <w:szCs w:val="20"/>
        </w:rPr>
        <w:t xml:space="preserve">Napríklad </w:t>
      </w:r>
      <w:r>
        <w:rPr>
          <w:sz w:val="20"/>
          <w:szCs w:val="20"/>
        </w:rPr>
        <w:t>c</w:t>
      </w:r>
      <w:r w:rsidRPr="006F3C0A">
        <w:rPr>
          <w:sz w:val="20"/>
          <w:szCs w:val="20"/>
        </w:rPr>
        <w:t xml:space="preserve">ivilný sporový poriadok, </w:t>
      </w:r>
      <w:r>
        <w:rPr>
          <w:sz w:val="20"/>
          <w:szCs w:val="20"/>
        </w:rPr>
        <w:t>c</w:t>
      </w:r>
      <w:r w:rsidRPr="006F3C0A">
        <w:rPr>
          <w:sz w:val="20"/>
          <w:szCs w:val="20"/>
        </w:rPr>
        <w:t>ivilný mimosporový poriadok</w:t>
      </w:r>
      <w:r w:rsidRPr="0017309C">
        <w:rPr>
          <w:sz w:val="20"/>
          <w:szCs w:val="20"/>
        </w:rPr>
        <w:t xml:space="preserve">, </w:t>
      </w:r>
      <w:r>
        <w:rPr>
          <w:sz w:val="20"/>
          <w:szCs w:val="20"/>
        </w:rPr>
        <w:t>správny poriadok</w:t>
      </w:r>
      <w:r w:rsidRPr="0017309C">
        <w:rPr>
          <w:sz w:val="20"/>
          <w:szCs w:val="20"/>
        </w:rPr>
        <w:t>, zákon Slovenskej národnej rady č. 372/1990 Zb. o priestupkoch v znení neskorších predpisov, zákon Národnej rady Slovenskej republiky č. 171/1993 Z. z. v znení neskorších predpisov, zákon č. 136/2001 Z. z. o ochrane hospodárskej súťaže a o zmene a doplnení zákona Slovenskej národnej rady č. 347/1990 Zb. o organizácií ministerstiev a ostatných ústredných orgánov štátnej správy Slovenskej republiky v znení neskorších predpisov v znení neskorších predpisov, zákon č. 153/ 2001 Z. z. o prokuratúre v znení neskorších predpisov.</w:t>
      </w:r>
      <w:r>
        <w:t xml:space="preserve">    </w:t>
      </w:r>
    </w:p>
  </w:footnote>
  <w:footnote w:id="88">
    <w:p w14:paraId="078D6C58" w14:textId="77777777" w:rsidR="00DF4E07" w:rsidRDefault="00DF4E07" w:rsidP="002D40A7">
      <w:pPr>
        <w:pStyle w:val="Textpoznmkypodiarou"/>
        <w:jc w:val="both"/>
      </w:pPr>
      <w:r w:rsidRPr="00C11ACB">
        <w:rPr>
          <w:rStyle w:val="Odkaznapoznmkupodiarou"/>
        </w:rPr>
        <w:footnoteRef/>
      </w:r>
      <w:r>
        <w:t xml:space="preserve">) Napríklad § 39 zákona Slovenskej národnej rady č. 323/1992 Zb. o notároch a notárskej činnosti (Notársky poriadok) v znení neskorších predpisov, § 23 zákona č. 586/2003 Z. z. o advokácii a o zmene a doplnení zákona č. 455/1991 Zb. o živnostenskom podnikaní ( živnostenský zákon) v znení neskorších predpisov </w:t>
      </w:r>
      <w:r w:rsidRPr="00A3725E">
        <w:rPr>
          <w:rFonts w:cs="Calibri"/>
        </w:rPr>
        <w:t>v znení zákona č. 297/2008 Z. z.</w:t>
      </w:r>
    </w:p>
  </w:footnote>
  <w:footnote w:id="89">
    <w:p w14:paraId="578213C1" w14:textId="77777777" w:rsidR="00DF4E07" w:rsidRDefault="00DF4E07" w:rsidP="00DE5D89">
      <w:pPr>
        <w:pStyle w:val="Textpoznmkypodiarou"/>
        <w:jc w:val="both"/>
      </w:pPr>
      <w:r>
        <w:rPr>
          <w:rStyle w:val="Odkaznapoznmkupodiarou"/>
        </w:rPr>
        <w:footnoteRef/>
      </w:r>
      <w:r>
        <w:t xml:space="preserve"> RO je povinný vykonať kontrolu dodania predmetu plnenia pri využití preddavkových platieb formou administratívnej finančnej kontroly (ak to povaha kontroly umožňuje, využije sa forma administratívnej finančnej kontroly ŽoP) alebo finančnej kontroly na mieste. RO výkonom kontroly musí získať dostatočné uistenie o reálnom dodaní predmetu plnenia.</w:t>
      </w:r>
      <w:r w:rsidRPr="00DE5D89">
        <w:t xml:space="preserve"> Za týmto účelom RO vykoná</w:t>
      </w:r>
      <w:r>
        <w:t xml:space="preserve"> finančnú</w:t>
      </w:r>
      <w:r w:rsidRPr="00DE5D89">
        <w:t xml:space="preserve"> kontrolu na mieste v prípadoch, ak z predloženej dokumentácie k zúčtovaniu preddavkovej platby </w:t>
      </w:r>
      <w:r>
        <w:t>môže vzniknúť pochybnosť</w:t>
      </w:r>
      <w:r w:rsidRPr="00DE5D89">
        <w:t>, že predmet plnenia bol dodaný alebo že bol dodaný v súlade so zmluvnými podmienkami, resp. existuje akékoľvek podozrenie, že mohlo dôjsť k neoprávneným výdavkom, zneužitiu alebo neúčelnému použitiu preddavkovej platby</w:t>
      </w:r>
      <w:r>
        <w:t>.</w:t>
      </w:r>
    </w:p>
  </w:footnote>
  <w:footnote w:id="90">
    <w:p w14:paraId="343CBE43" w14:textId="77777777" w:rsidR="00DF4E07" w:rsidRDefault="00DF4E07">
      <w:pPr>
        <w:pStyle w:val="Textpoznmkypodiarou"/>
      </w:pPr>
      <w:r>
        <w:rPr>
          <w:rStyle w:val="Odkaznapoznmkupodiarou"/>
        </w:rPr>
        <w:footnoteRef/>
      </w:r>
      <w:r>
        <w:t xml:space="preserve"> MP CKO č. 6 </w:t>
      </w:r>
      <w:r w:rsidRPr="0013742D">
        <w:t>k pravidlám oprávnenosti pre najčastejšie sa vyskytujúce skupiny výdavkov</w:t>
      </w:r>
    </w:p>
  </w:footnote>
  <w:footnote w:id="91">
    <w:p w14:paraId="195BE071" w14:textId="77777777" w:rsidR="00DF4E07" w:rsidRDefault="00DF4E07">
      <w:pPr>
        <w:pStyle w:val="Textpoznmkypodiarou"/>
      </w:pPr>
      <w:r>
        <w:rPr>
          <w:rStyle w:val="Odkaznapoznmkupodiarou"/>
        </w:rPr>
        <w:footnoteRef/>
      </w:r>
      <w:r>
        <w:t xml:space="preserve"> </w:t>
      </w:r>
      <w:r w:rsidRPr="00997CB0">
        <w:rPr>
          <w:sz w:val="18"/>
          <w:szCs w:val="18"/>
        </w:rPr>
        <w:t>§ 20 ods. 2 písm. a) zákona o finančnej kontrole.</w:t>
      </w:r>
    </w:p>
  </w:footnote>
  <w:footnote w:id="92">
    <w:p w14:paraId="74BE0931" w14:textId="77777777" w:rsidR="00DF4E07" w:rsidRDefault="00DF4E07" w:rsidP="00DE5D89">
      <w:pPr>
        <w:pStyle w:val="Textpoznmkypodiarou"/>
        <w:jc w:val="both"/>
      </w:pPr>
      <w:r w:rsidRPr="00DE5D89">
        <w:rPr>
          <w:rStyle w:val="Odkaznapoznmkupodiarou"/>
          <w:sz w:val="18"/>
          <w:szCs w:val="18"/>
        </w:rPr>
        <w:footnoteRef/>
      </w:r>
      <w:r w:rsidRPr="00DE5D89">
        <w:rPr>
          <w:sz w:val="18"/>
          <w:szCs w:val="18"/>
        </w:rPr>
        <w:t xml:space="preserve"> V prípade systému predfinancovania vyčlenenie deklarovaných výdavkov</w:t>
      </w:r>
      <w:r>
        <w:rPr>
          <w:sz w:val="18"/>
          <w:szCs w:val="18"/>
        </w:rPr>
        <w:t xml:space="preserve"> do predmetu samostatnej kontroly</w:t>
      </w:r>
      <w:r w:rsidRPr="00DE5D89">
        <w:rPr>
          <w:sz w:val="18"/>
          <w:szCs w:val="18"/>
        </w:rPr>
        <w:t xml:space="preserve"> sa realizuje na úrovni zodpovedajúceho účtovného dokladu.</w:t>
      </w:r>
    </w:p>
  </w:footnote>
  <w:footnote w:id="93">
    <w:p w14:paraId="39739B35" w14:textId="77777777" w:rsidR="00DF4E07" w:rsidRDefault="00DF4E07">
      <w:pPr>
        <w:pStyle w:val="Textpoznmkypodiarou"/>
      </w:pPr>
      <w:r>
        <w:rPr>
          <w:rStyle w:val="Odkaznapoznmkupodiarou"/>
        </w:rPr>
        <w:footnoteRef/>
      </w:r>
      <w:r>
        <w:t xml:space="preserve"> </w:t>
      </w:r>
      <w:r w:rsidRPr="00900169">
        <w:t>MP CKO č. 13 k posudzovaniu konfliktu záujmov v procese verejného obstarávania</w:t>
      </w:r>
    </w:p>
  </w:footnote>
  <w:footnote w:id="94">
    <w:p w14:paraId="23160437" w14:textId="77777777" w:rsidR="00DF4E07" w:rsidRDefault="00DF4E07">
      <w:pPr>
        <w:pStyle w:val="Textpoznmkypodiarou"/>
      </w:pPr>
      <w:r>
        <w:rPr>
          <w:rStyle w:val="Odkaznapoznmkupodiarou"/>
        </w:rPr>
        <w:footnoteRef/>
      </w:r>
      <w:r>
        <w:t xml:space="preserve"> MP CKO č. 18 </w:t>
      </w:r>
      <w:r w:rsidRPr="00900169">
        <w:t>k overovaniu hospodárnosti výdavkov</w:t>
      </w:r>
    </w:p>
  </w:footnote>
  <w:footnote w:id="95">
    <w:p w14:paraId="1EAC8228" w14:textId="77777777" w:rsidR="00DF4E07" w:rsidRDefault="00DF4E07">
      <w:pPr>
        <w:pStyle w:val="Textpoznmkypodiarou"/>
      </w:pPr>
      <w:r>
        <w:rPr>
          <w:rStyle w:val="Odkaznapoznmkupodiarou"/>
        </w:rPr>
        <w:footnoteRef/>
      </w:r>
      <w:r>
        <w:t xml:space="preserve"> Vzor CKO č. 14 - </w:t>
      </w:r>
      <w:r w:rsidRPr="002B314A">
        <w:t>Kontrolné zoznamy ku kontrole verejného obstarávania a obstarávania</w:t>
      </w:r>
    </w:p>
  </w:footnote>
  <w:footnote w:id="96">
    <w:p w14:paraId="5B09F9A5" w14:textId="77777777" w:rsidR="00DF4E07" w:rsidRDefault="00DF4E07" w:rsidP="00DC65AE">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97">
    <w:p w14:paraId="28BB02DD" w14:textId="77777777" w:rsidR="00DF4E07" w:rsidRDefault="00DF4E07" w:rsidP="000820AC">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98">
    <w:p w14:paraId="29699C8C" w14:textId="77777777" w:rsidR="00DF4E07" w:rsidRDefault="00DF4E07" w:rsidP="00DE5D89">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99">
    <w:p w14:paraId="53A76C8B" w14:textId="1EB9DC3E" w:rsidR="00DF4E07" w:rsidRDefault="00DF4E07">
      <w:pPr>
        <w:pStyle w:val="Textpoznmkypodiarou"/>
        <w:jc w:val="both"/>
      </w:pPr>
      <w:r>
        <w:rPr>
          <w:rStyle w:val="Odkaznapoznmkupodiarou"/>
        </w:rPr>
        <w:footnoteRef/>
      </w:r>
      <w:r>
        <w:t xml:space="preserve"> ex ante finančná oprava:  individuálne zníženie hodnoty deklarovaných výdavkov z dôvodu zistení porušenia legislatívy SR alebo EÚ, najmä v oblasti VO. Výška individuálnej ex 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100">
    <w:p w14:paraId="58FBE77D" w14:textId="77777777" w:rsidR="00DF4E07" w:rsidRDefault="00DF4E07" w:rsidP="00DE5D89">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01">
    <w:p w14:paraId="52EC7BD4" w14:textId="77777777" w:rsidR="00DF4E07" w:rsidRDefault="00DF4E07" w:rsidP="00DE5D89">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02">
    <w:p w14:paraId="5557508D" w14:textId="77777777" w:rsidR="00DF4E07" w:rsidRDefault="00DF4E07" w:rsidP="00BB45A7">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03">
    <w:p w14:paraId="11BA1794" w14:textId="77777777" w:rsidR="00DF4E07" w:rsidRDefault="00DF4E07">
      <w:pPr>
        <w:pStyle w:val="Textpoznmkypodiarou"/>
      </w:pPr>
      <w:r>
        <w:rPr>
          <w:rStyle w:val="Odkaznapoznmkupodiarou"/>
        </w:rPr>
        <w:footnoteRef/>
      </w:r>
      <w:r>
        <w:t xml:space="preserve"> MP CKO č. 14 </w:t>
      </w:r>
      <w:r w:rsidRPr="00EA2B51">
        <w:t xml:space="preserve">k zadávaniu zákaziek v hodnote nad </w:t>
      </w:r>
      <w:r>
        <w:t>1</w:t>
      </w:r>
      <w:r w:rsidRPr="00EA2B51">
        <w:t>5 000 EUR</w:t>
      </w:r>
    </w:p>
  </w:footnote>
  <w:footnote w:id="104">
    <w:p w14:paraId="2B2740E3" w14:textId="77777777" w:rsidR="00DF4E07" w:rsidRDefault="00DF4E07" w:rsidP="00953734">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05">
    <w:p w14:paraId="1BF1202E" w14:textId="77777777" w:rsidR="00DF4E07" w:rsidRDefault="00DF4E07" w:rsidP="00DE5D89">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06">
    <w:p w14:paraId="0C6C44C7" w14:textId="77777777" w:rsidR="00DF4E07" w:rsidRDefault="00DF4E07">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07">
    <w:p w14:paraId="30974562" w14:textId="77777777" w:rsidR="00DF4E07" w:rsidRDefault="00DF4E07">
      <w:pPr>
        <w:pStyle w:val="Textpoznmkypodiarou"/>
      </w:pPr>
      <w:r>
        <w:rPr>
          <w:rStyle w:val="Odkaznapoznmkupodiarou"/>
        </w:rPr>
        <w:footnoteRef/>
      </w:r>
      <w:r>
        <w:t xml:space="preserve"> MP CKO č. 12 pre programové obdobie 2014 - 2020 k </w:t>
      </w:r>
      <w:r w:rsidRPr="00BF6123">
        <w:t>zadávaniu zákaziek nespadajúcich p</w:t>
      </w:r>
      <w:r>
        <w:t>od zákon o verejnom obstarávaní</w:t>
      </w:r>
    </w:p>
  </w:footnote>
  <w:footnote w:id="108">
    <w:p w14:paraId="364D9832" w14:textId="77777777" w:rsidR="00DF4E07" w:rsidRDefault="00DF4E07">
      <w:pPr>
        <w:pStyle w:val="Textpoznmkypodiarou"/>
      </w:pPr>
      <w:r>
        <w:rPr>
          <w:rStyle w:val="Odkaznapoznmkupodiarou"/>
          <w:sz w:val="24"/>
          <w:szCs w:val="24"/>
        </w:rPr>
        <w:footnoteRef/>
      </w:r>
      <w:r>
        <w:rPr>
          <w:sz w:val="24"/>
          <w:szCs w:val="24"/>
        </w:rPr>
        <w:t xml:space="preserve"> </w:t>
      </w:r>
      <w:r w:rsidRPr="000E286B">
        <w:t xml:space="preserve">Vzor CKO č. 32 - Analýza rizík </w:t>
      </w:r>
      <w:r w:rsidRPr="00B917F3">
        <w:t>pod</w:t>
      </w:r>
      <w:r w:rsidRPr="000E286B">
        <w:t>limitných zákaziek</w:t>
      </w:r>
      <w:r>
        <w:t xml:space="preserve"> bez využitia elektronického trhoviska</w:t>
      </w:r>
    </w:p>
  </w:footnote>
  <w:footnote w:id="109">
    <w:p w14:paraId="59D4769A" w14:textId="77777777" w:rsidR="00DF4E07" w:rsidRDefault="00DF4E07" w:rsidP="00997CB0">
      <w:pPr>
        <w:pStyle w:val="Textpoznmkypodiarou"/>
        <w:jc w:val="both"/>
      </w:pPr>
      <w:r>
        <w:rPr>
          <w:rStyle w:val="Odkaznapoznmkupodiarou"/>
        </w:rPr>
        <w:footnoteRef/>
      </w:r>
      <w:r>
        <w:t xml:space="preserve"> Do dátumu nadobudnutia účinnosti metodického pokynu </w:t>
      </w:r>
      <w:r w:rsidRPr="004D6BC8">
        <w:t xml:space="preserve">je možné primerane aplikovať rizikové indikátory podľa verzie 4 </w:t>
      </w:r>
      <w:r>
        <w:t>S</w:t>
      </w:r>
      <w:r w:rsidRPr="004D6BC8">
        <w:t>ystému riadenia</w:t>
      </w:r>
      <w:r>
        <w:t xml:space="preserve"> EŠIF.</w:t>
      </w:r>
    </w:p>
  </w:footnote>
  <w:footnote w:id="110">
    <w:p w14:paraId="46D6D3E0" w14:textId="77777777" w:rsidR="00DF4E07" w:rsidRDefault="00DF4E07">
      <w:pPr>
        <w:pStyle w:val="Textpoznmkypodiarou"/>
      </w:pPr>
      <w:r>
        <w:rPr>
          <w:rStyle w:val="Odkaznapoznmkupodiarou"/>
        </w:rPr>
        <w:footnoteRef/>
      </w:r>
      <w:r>
        <w:t xml:space="preserve"> Protiprávne konanie – napr. trestné činy v zmysle § 261 a §266 Trestného zákona</w:t>
      </w:r>
    </w:p>
  </w:footnote>
  <w:footnote w:id="111">
    <w:p w14:paraId="3A8B21BA" w14:textId="77777777" w:rsidR="00DF4E07" w:rsidRDefault="00DF4E07">
      <w:pPr>
        <w:pStyle w:val="Textpoznmkypodiarou"/>
        <w:jc w:val="both"/>
      </w:pPr>
      <w:r>
        <w:rPr>
          <w:rStyle w:val="Odkaznapoznmkupodiarou"/>
        </w:rPr>
        <w:footnoteRef/>
      </w:r>
      <w:r>
        <w:t xml:space="preserve"> Zoznam vychádza z dokumentu EÚ „Information Note on Fraud Indicators for ERDF, ESF and CF“ zo dňa 18.2.2009 a štúdiou pre EK realizovanou PwC, Ecorys a Utrecht University „Identifying and reducing corruption in public procurement in the EU“ zo dňa 30.06.2013</w:t>
      </w:r>
    </w:p>
  </w:footnote>
  <w:footnote w:id="112">
    <w:p w14:paraId="06999EE3" w14:textId="77777777" w:rsidR="00DF4E07" w:rsidRDefault="00DF4E07">
      <w:pPr>
        <w:pStyle w:val="Textpoznmkypodiarou"/>
      </w:pPr>
      <w:r>
        <w:rPr>
          <w:rStyle w:val="Odkaznapoznmkupodiarou"/>
        </w:rPr>
        <w:footnoteRef/>
      </w:r>
      <w:r>
        <w:t xml:space="preserve"> Označenie „Verejný obstarávateľ“ sa vzťahuje aj na osobu podľa § 8 a obstarávateľa podľa § 9 ZVO</w:t>
      </w:r>
    </w:p>
  </w:footnote>
  <w:footnote w:id="113">
    <w:p w14:paraId="4E71146D" w14:textId="5B42F16A" w:rsidR="00DF4E07" w:rsidRDefault="00DF4E07">
      <w:pPr>
        <w:pStyle w:val="Textpoznmkypodiarou"/>
      </w:pPr>
      <w:r>
        <w:rPr>
          <w:rStyle w:val="Odkaznapoznmkupodiarou"/>
        </w:rPr>
        <w:footnoteRef/>
      </w:r>
      <w:r>
        <w:t xml:space="preserve"> RO je povinný zaslať CKO dokumenty podľa bodu a) a b) aj v prípade schválenia zmien podľa odseku 6.</w:t>
      </w:r>
    </w:p>
  </w:footnote>
  <w:footnote w:id="114">
    <w:p w14:paraId="632968A5" w14:textId="77777777" w:rsidR="00DF4E07" w:rsidRDefault="00DF4E07">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115">
    <w:p w14:paraId="46A073FB" w14:textId="77777777" w:rsidR="00DF4E07" w:rsidRDefault="00DF4E07">
      <w:pPr>
        <w:pStyle w:val="Textpoznmkypodiarou"/>
      </w:pPr>
      <w:r>
        <w:rPr>
          <w:rStyle w:val="Odkaznapoznmkupodiarou"/>
        </w:rPr>
        <w:footnoteRef/>
      </w:r>
      <w:r>
        <w:t xml:space="preserve"> MP CKO č. 24 </w:t>
      </w:r>
      <w:r w:rsidRPr="00682D0A">
        <w:t>k technickej pomoci</w:t>
      </w:r>
    </w:p>
  </w:footnote>
  <w:footnote w:id="116">
    <w:p w14:paraId="148E4F8F" w14:textId="77777777" w:rsidR="00DF4E07" w:rsidRDefault="00DF4E07">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117">
    <w:p w14:paraId="328EDF97" w14:textId="323466DF" w:rsidR="00DF4E07" w:rsidRDefault="00DF4E07" w:rsidP="005841B2">
      <w:pPr>
        <w:pStyle w:val="Textpoznmkypodiarou"/>
        <w:jc w:val="both"/>
      </w:pPr>
      <w:r>
        <w:rPr>
          <w:rStyle w:val="Odkaznapoznmkupodiarou"/>
        </w:rPr>
        <w:footnoteRef/>
      </w:r>
      <w:r>
        <w:t xml:space="preserve"> Členenie výdavkov na priame a nepriame je vyžadované v prípade projektov, v ktorých sa aplikuje zjednodušené vykazovanie výdavkov podľa článku </w:t>
      </w:r>
      <w:r w:rsidRPr="00393D67">
        <w:t>68, ods. 1 všeobecného nariadenia a článku 14 ods. 2 nariadenia o</w:t>
      </w:r>
      <w:r>
        <w:t> </w:t>
      </w:r>
      <w:r w:rsidRPr="00393D67">
        <w:t>ESF</w:t>
      </w:r>
      <w:r>
        <w:t>.</w:t>
      </w:r>
    </w:p>
  </w:footnote>
  <w:footnote w:id="118">
    <w:p w14:paraId="2E247800" w14:textId="77777777" w:rsidR="00DF4E07" w:rsidRDefault="00DF4E07">
      <w:pPr>
        <w:pStyle w:val="Textpoznmkypodiarou"/>
      </w:pPr>
      <w:r>
        <w:rPr>
          <w:rStyle w:val="Odkaznapoznmkupodiarou"/>
        </w:rPr>
        <w:footnoteRef/>
      </w:r>
      <w:r>
        <w:t xml:space="preserve"> </w:t>
      </w:r>
      <w:r w:rsidRPr="00682D0A">
        <w:t>Príloha č. 1 k MP CKO č. 6</w:t>
      </w:r>
    </w:p>
  </w:footnote>
  <w:footnote w:id="119">
    <w:p w14:paraId="481C712A" w14:textId="77777777" w:rsidR="00DF4E07" w:rsidRDefault="00DF4E07"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120">
    <w:p w14:paraId="062E37F2" w14:textId="77777777" w:rsidR="00DF4E07" w:rsidRDefault="00DF4E07">
      <w:pPr>
        <w:pStyle w:val="Textpoznmkypodiarou"/>
      </w:pPr>
      <w:r>
        <w:rPr>
          <w:rStyle w:val="Odkaznapoznmkupodiarou"/>
        </w:rPr>
        <w:footnoteRef/>
      </w:r>
      <w:r>
        <w:t xml:space="preserve"> Uvedené sa nevzťahuje v prípade aplikácie zjednodušeného vykazovania výdavkov (napr. paušálna sadzba na nepriame výdavky). </w:t>
      </w:r>
    </w:p>
  </w:footnote>
  <w:footnote w:id="121">
    <w:p w14:paraId="3624F0AB" w14:textId="77777777" w:rsidR="00DF4E07" w:rsidRDefault="00DF4E07">
      <w:pPr>
        <w:pStyle w:val="Textpoznmkypodiarou"/>
      </w:pPr>
      <w:r>
        <w:rPr>
          <w:rStyle w:val="Odkaznapoznmkupodiarou"/>
        </w:rPr>
        <w:footnoteRef/>
      </w:r>
      <w:r>
        <w:t xml:space="preserve"> Týmto nie sú dotknuté podmienky platné pre zjednodušené vykazovanie výdavkov.</w:t>
      </w:r>
    </w:p>
  </w:footnote>
  <w:footnote w:id="122">
    <w:p w14:paraId="42319AFA" w14:textId="77777777" w:rsidR="00DF4E07" w:rsidRDefault="00DF4E07">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123">
    <w:p w14:paraId="04132DE8" w14:textId="77777777" w:rsidR="00DF4E07" w:rsidRDefault="00DF4E07">
      <w:pPr>
        <w:pStyle w:val="Textpoznmkypodiarou"/>
      </w:pPr>
      <w:r>
        <w:rPr>
          <w:rStyle w:val="Odkaznapoznmkupodiarou"/>
        </w:rPr>
        <w:footnoteRef/>
      </w:r>
      <w:r>
        <w:t xml:space="preserve"> Uvedené sa aplikuje primerane aj na poskytnutie zálohovej platby a poskytnutie predfinancovania.</w:t>
      </w:r>
    </w:p>
  </w:footnote>
  <w:footnote w:id="124">
    <w:p w14:paraId="6ED4E2E3" w14:textId="77777777" w:rsidR="00DF4E07" w:rsidRDefault="00DF4E07">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125">
    <w:p w14:paraId="781114D9" w14:textId="77777777" w:rsidR="00DF4E07" w:rsidRDefault="00DF4E07">
      <w:pPr>
        <w:pStyle w:val="Textpoznmkypodiarou"/>
      </w:pPr>
      <w:r>
        <w:rPr>
          <w:rStyle w:val="Odkaznapoznmkupodiarou"/>
        </w:rPr>
        <w:footnoteRef/>
      </w:r>
      <w:r>
        <w:t xml:space="preserve"> Pre účely Systému riadenia sa odovzdávajúcim rozumie prijímateľ a príjemcom sa rozumie dodávateľ.</w:t>
      </w:r>
    </w:p>
  </w:footnote>
  <w:footnote w:id="126">
    <w:p w14:paraId="4259C8BC" w14:textId="77777777" w:rsidR="00DF4E07" w:rsidRDefault="00DF4E07">
      <w:pPr>
        <w:pStyle w:val="Textpoznmkypodiarou"/>
      </w:pPr>
      <w:r>
        <w:rPr>
          <w:rStyle w:val="Odkaznapoznmkupodiarou"/>
        </w:rPr>
        <w:footnoteRef/>
      </w:r>
      <w:r>
        <w:t xml:space="preserve"> Grantom sa rozumie nenávratný finančný príspevok.</w:t>
      </w:r>
    </w:p>
  </w:footnote>
  <w:footnote w:id="127">
    <w:p w14:paraId="295F4240" w14:textId="09CED1AD" w:rsidR="00DF4E07" w:rsidRDefault="00DF4E07" w:rsidP="00997CB0">
      <w:pPr>
        <w:pStyle w:val="Textpoznmkypodiarou"/>
        <w:jc w:val="both"/>
      </w:pPr>
      <w:r>
        <w:rPr>
          <w:rStyle w:val="Odkaznapoznmkupodiarou"/>
        </w:rPr>
        <w:footnoteRef/>
      </w:r>
      <w:r>
        <w:t xml:space="preserve"> </w:t>
      </w:r>
      <w:r w:rsidRPr="006326DB">
        <w:t xml:space="preserve">Napríklad čl. 67 ods. 1 písm. b), c) a d) a 68 </w:t>
      </w:r>
      <w:r>
        <w:t xml:space="preserve">všeobecného </w:t>
      </w:r>
      <w:r w:rsidRPr="006326DB">
        <w:t xml:space="preserve">nariadenia, čl. 14 nariadenia </w:t>
      </w:r>
      <w:r>
        <w:t>o ESF</w:t>
      </w:r>
      <w:r w:rsidRPr="006326DB">
        <w:t>.</w:t>
      </w:r>
    </w:p>
  </w:footnote>
  <w:footnote w:id="128">
    <w:p w14:paraId="467D59DB" w14:textId="77777777" w:rsidR="00DF4E07" w:rsidRDefault="00DF4E07" w:rsidP="00664983">
      <w:pPr>
        <w:pStyle w:val="Textpoznmkypodiarou"/>
        <w:jc w:val="both"/>
      </w:pPr>
      <w:r>
        <w:rPr>
          <w:rStyle w:val="Odkaznapoznmkupodiarou"/>
        </w:rPr>
        <w:footnoteRef/>
      </w:r>
      <w:r>
        <w:t xml:space="preserve"> </w:t>
      </w:r>
      <w:r w:rsidRPr="006F1EDF">
        <w:t>V prípade, ak sa aplikuje metodika stanovená v rámci legislatívy EÚ</w:t>
      </w:r>
      <w:r>
        <w:t xml:space="preserve">, </w:t>
      </w:r>
      <w:r w:rsidRPr="006F1EDF">
        <w:t>a to podľa článku 68, ods. 1 písm. b) a c) nariadenia 1303/2013 a čl. 14, ods. 1 a ods. 2 nariadenia 1304/2013 o ESF postačuje uviesť odkaz na predmetné ustanovenie legislatívy.</w:t>
      </w:r>
    </w:p>
  </w:footnote>
  <w:footnote w:id="129">
    <w:p w14:paraId="51ED00C6" w14:textId="5E4EA23A" w:rsidR="00DF4E07" w:rsidRDefault="00DF4E07">
      <w:pPr>
        <w:pStyle w:val="Textpoznmkypodiarou"/>
      </w:pPr>
      <w:r>
        <w:rPr>
          <w:rStyle w:val="Odkaznapoznmkupodiarou"/>
        </w:rPr>
        <w:footnoteRef/>
      </w:r>
      <w:r>
        <w:t xml:space="preserve"> </w:t>
      </w:r>
      <w:r w:rsidRPr="006326DB">
        <w:t xml:space="preserve">Napríklad čl. 75 ods. 2, čl. 125 ods. 4 písm. c) </w:t>
      </w:r>
      <w:r>
        <w:t xml:space="preserve">všeobecného </w:t>
      </w:r>
      <w:r w:rsidRPr="006326DB">
        <w:t>nariadenia.</w:t>
      </w:r>
    </w:p>
  </w:footnote>
  <w:footnote w:id="130">
    <w:p w14:paraId="0C437A15" w14:textId="09B276BF" w:rsidR="00DF4E07" w:rsidRDefault="00DF4E07">
      <w:pPr>
        <w:pStyle w:val="Textpoznmkypodiarou"/>
      </w:pPr>
      <w:r>
        <w:rPr>
          <w:rStyle w:val="Odkaznapoznmkupodiarou"/>
        </w:rPr>
        <w:footnoteRef/>
      </w:r>
      <w:r>
        <w:t xml:space="preserve"> </w:t>
      </w:r>
      <w:r w:rsidRPr="006326DB">
        <w:t xml:space="preserve">§ 6 ods. 1 zákona </w:t>
      </w:r>
      <w:r>
        <w:t>o finančnej kontrole</w:t>
      </w:r>
      <w:r w:rsidR="008520E6">
        <w:t>.</w:t>
      </w:r>
    </w:p>
  </w:footnote>
  <w:footnote w:id="131">
    <w:p w14:paraId="13AF3C6B" w14:textId="680EB071" w:rsidR="00DF4E07" w:rsidRDefault="00DF4E07">
      <w:pPr>
        <w:pStyle w:val="Textpoznmkypodiarou"/>
      </w:pPr>
      <w:r>
        <w:rPr>
          <w:rStyle w:val="Odkaznapoznmkupodiarou"/>
        </w:rPr>
        <w:footnoteRef/>
      </w:r>
      <w:r>
        <w:t xml:space="preserve"> </w:t>
      </w:r>
      <w:r w:rsidRPr="006326DB">
        <w:t xml:space="preserve">Napríklad </w:t>
      </w:r>
      <w:r>
        <w:t>ZVO</w:t>
      </w:r>
      <w:r w:rsidRPr="006326DB">
        <w:t xml:space="preserve">, zákon o účtovníctve, zákon </w:t>
      </w:r>
      <w:r>
        <w:t>o rozpočtových pravidlách</w:t>
      </w:r>
      <w:r w:rsidRPr="006326DB">
        <w:t>.</w:t>
      </w:r>
    </w:p>
  </w:footnote>
  <w:footnote w:id="132">
    <w:p w14:paraId="44AD7E9B" w14:textId="77777777" w:rsidR="00DF4E07" w:rsidRDefault="00DF4E07">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133">
    <w:p w14:paraId="4EDEE0D1" w14:textId="77777777" w:rsidR="00DF4E07" w:rsidRDefault="00DF4E07">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134">
    <w:p w14:paraId="576389F7" w14:textId="77777777" w:rsidR="00DF4E07" w:rsidRDefault="00DF4E07">
      <w:pPr>
        <w:pStyle w:val="Textpoznmkypodiarou"/>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p>
  </w:footnote>
  <w:footnote w:id="135">
    <w:p w14:paraId="20B0B2FB" w14:textId="77777777" w:rsidR="00DF4E07" w:rsidRDefault="00DF4E07">
      <w:pPr>
        <w:pStyle w:val="Textpoznmkypodiarou"/>
      </w:pP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w:t>
      </w:r>
    </w:p>
  </w:footnote>
  <w:footnote w:id="136">
    <w:p w14:paraId="35CF1064" w14:textId="77777777" w:rsidR="00DF4E07" w:rsidRDefault="00DF4E07">
      <w:pPr>
        <w:pStyle w:val="Textpoznmkypodiarou"/>
      </w:pPr>
      <w:r>
        <w:rPr>
          <w:rStyle w:val="Odkaznapoznmkupodiarou"/>
        </w:rPr>
        <w:footnoteRef/>
      </w:r>
      <w:r>
        <w:t xml:space="preserve"> Vzor CKO č. 33 - </w:t>
      </w:r>
      <w:r w:rsidRPr="008F2968">
        <w:t>Doplňujúce údaje k preukázaniu dodania predmetu plnenia</w:t>
      </w:r>
    </w:p>
  </w:footnote>
  <w:footnote w:id="137">
    <w:p w14:paraId="63B4918F" w14:textId="77777777" w:rsidR="00DF4E07" w:rsidRDefault="00DF4E07">
      <w:pPr>
        <w:pStyle w:val="Textpoznmkypodiarou"/>
      </w:pPr>
      <w:r>
        <w:rPr>
          <w:rStyle w:val="Odkaznapoznmkupodiarou"/>
          <w:sz w:val="18"/>
          <w:szCs w:val="18"/>
        </w:rPr>
        <w:footnoteRef/>
      </w:r>
      <w:r>
        <w:rPr>
          <w:sz w:val="18"/>
          <w:szCs w:val="18"/>
        </w:rPr>
        <w:t xml:space="preserve"> Napr. C-159/91 a 160/191, C-263/86.</w:t>
      </w:r>
    </w:p>
  </w:footnote>
  <w:footnote w:id="138">
    <w:p w14:paraId="214114DC" w14:textId="77777777" w:rsidR="00DF4E07" w:rsidRDefault="00DF4E07">
      <w:pPr>
        <w:pStyle w:val="Textpoznmkypodiarou"/>
      </w:pPr>
      <w:r>
        <w:rPr>
          <w:rStyle w:val="Odkaznapoznmkupodiarou"/>
          <w:sz w:val="18"/>
          <w:szCs w:val="18"/>
        </w:rPr>
        <w:footnoteRef/>
      </w:r>
      <w:r>
        <w:rPr>
          <w:sz w:val="18"/>
          <w:szCs w:val="18"/>
        </w:rPr>
        <w:t xml:space="preserve"> EK vypracovala tzv. Analytický prehľad pre infraštruktúru.</w:t>
      </w:r>
    </w:p>
  </w:footnote>
  <w:footnote w:id="139">
    <w:p w14:paraId="58CA03B4" w14:textId="77777777" w:rsidR="00DF4E07" w:rsidRDefault="00DF4E07">
      <w:pPr>
        <w:pStyle w:val="Textpoznmkypodiarou"/>
      </w:pPr>
      <w:r>
        <w:rPr>
          <w:rStyle w:val="Odkaznapoznmkupodiarou"/>
          <w:sz w:val="18"/>
          <w:szCs w:val="18"/>
        </w:rPr>
        <w:footnoteRef/>
      </w:r>
      <w:r>
        <w:rPr>
          <w:sz w:val="18"/>
          <w:szCs w:val="18"/>
        </w:rPr>
        <w:t xml:space="preserve"> Napr. C-262/12.</w:t>
      </w:r>
    </w:p>
  </w:footnote>
  <w:footnote w:id="140">
    <w:p w14:paraId="58FCEAAE" w14:textId="77777777" w:rsidR="00DF4E07" w:rsidRDefault="00DF4E07">
      <w:pPr>
        <w:pStyle w:val="Textpoznmkypodiarou"/>
        <w:jc w:val="both"/>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141">
    <w:p w14:paraId="79C3EA54" w14:textId="77777777" w:rsidR="00DF4E07" w:rsidRDefault="00DF4E07">
      <w:pPr>
        <w:pStyle w:val="Textpoznmkypodiarou"/>
      </w:pPr>
      <w:r>
        <w:rPr>
          <w:rStyle w:val="Odkaznapoznmkupodiarou"/>
          <w:sz w:val="18"/>
          <w:szCs w:val="18"/>
        </w:rPr>
        <w:footnoteRef/>
      </w:r>
      <w:r>
        <w:rPr>
          <w:sz w:val="18"/>
          <w:szCs w:val="18"/>
        </w:rPr>
        <w:t xml:space="preserve"> Viď. prípad SA.35606, bod 8.</w:t>
      </w:r>
    </w:p>
  </w:footnote>
  <w:footnote w:id="142">
    <w:p w14:paraId="6C017F8A" w14:textId="77777777" w:rsidR="00DF4E07" w:rsidRDefault="00DF4E07">
      <w:pPr>
        <w:pStyle w:val="Textpoznmkypodiarou"/>
      </w:pPr>
      <w:r>
        <w:rPr>
          <w:rStyle w:val="Odkaznapoznmkupodiarou"/>
          <w:sz w:val="18"/>
          <w:szCs w:val="18"/>
        </w:rPr>
        <w:footnoteRef/>
      </w:r>
      <w:r>
        <w:rPr>
          <w:sz w:val="18"/>
          <w:szCs w:val="18"/>
        </w:rPr>
        <w:t xml:space="preserve"> Napr. C-278/92.</w:t>
      </w:r>
    </w:p>
  </w:footnote>
  <w:footnote w:id="143">
    <w:p w14:paraId="1086C80C" w14:textId="77777777" w:rsidR="00DF4E07" w:rsidRDefault="00DF4E07">
      <w:pPr>
        <w:pStyle w:val="Textpoznmkypodiarou"/>
      </w:pPr>
      <w:r>
        <w:rPr>
          <w:rStyle w:val="Odkaznapoznmkupodiarou"/>
          <w:sz w:val="18"/>
          <w:szCs w:val="18"/>
        </w:rPr>
        <w:footnoteRef/>
      </w:r>
      <w:r>
        <w:rPr>
          <w:sz w:val="18"/>
          <w:szCs w:val="18"/>
        </w:rPr>
        <w:t xml:space="preserve"> Napr. T-289/03, body 209-219.</w:t>
      </w:r>
    </w:p>
  </w:footnote>
  <w:footnote w:id="144">
    <w:p w14:paraId="1DB53207" w14:textId="77777777" w:rsidR="00DF4E07" w:rsidRDefault="00DF4E07">
      <w:pPr>
        <w:pStyle w:val="Textpoznmkypodiarou"/>
        <w:jc w:val="both"/>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145">
    <w:p w14:paraId="4B4CFCD3" w14:textId="1693D7C3" w:rsidR="00DF4E07" w:rsidRDefault="00DF4E07" w:rsidP="00997CB0">
      <w:pPr>
        <w:pStyle w:val="Textpoznmkypodiarou"/>
        <w:jc w:val="both"/>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o fungovaní EÚ nie je možné poskytnúť, keďže neexistuje právo EÚ, ktoré by takúto pomoc pokladalo za oprávnenú – výnimka zo všeobecného zákazu).</w:t>
      </w:r>
    </w:p>
  </w:footnote>
  <w:footnote w:id="146">
    <w:p w14:paraId="638C1307" w14:textId="77777777" w:rsidR="00DF4E07" w:rsidRDefault="00DF4E07">
      <w:pPr>
        <w:pStyle w:val="Textpoznmkypodiarou"/>
        <w:jc w:val="both"/>
      </w:pPr>
      <w:r w:rsidRPr="000E286B">
        <w:rPr>
          <w:rStyle w:val="Odkaznapoznmkupodiarou"/>
          <w:sz w:val="18"/>
        </w:rPr>
        <w:footnoteRef/>
      </w:r>
      <w:r w:rsidRPr="000E286B">
        <w:rPr>
          <w:sz w:val="18"/>
        </w:rPr>
        <w:t xml:space="preserve"> Vzor testu štátnej pomoci sa vyhodnocuje na základe tejto kapitoly 3.6</w:t>
      </w:r>
      <w:r>
        <w:rPr>
          <w:sz w:val="18"/>
        </w:rPr>
        <w:t>,</w:t>
      </w:r>
      <w:r w:rsidRPr="000E286B">
        <w:rPr>
          <w:sz w:val="18"/>
        </w:rPr>
        <w:t xml:space="preserve"> ako aj na základe rozhodovacej praxe Komisie a judikatúry Súdneho dvora, čo predstavuje základný právny rámec pre definovanie pojmu „pomoc“.</w:t>
      </w:r>
    </w:p>
  </w:footnote>
  <w:footnote w:id="147">
    <w:p w14:paraId="0FC2CE5C" w14:textId="77777777" w:rsidR="00DF4E07" w:rsidRDefault="00DF4E07">
      <w:pPr>
        <w:pStyle w:val="Textpoznmkypodiarou"/>
      </w:pPr>
      <w:r w:rsidRPr="00997CB0">
        <w:rPr>
          <w:rStyle w:val="Odkaznapoznmkupodiarou"/>
          <w:sz w:val="18"/>
        </w:rPr>
        <w:footnoteRef/>
      </w:r>
      <w:r w:rsidRPr="000E286B">
        <w:t xml:space="preserve"> </w:t>
      </w:r>
      <w:r w:rsidRPr="00997CB0">
        <w:rPr>
          <w:sz w:val="18"/>
        </w:rPr>
        <w:t>Vzor CKO č. 6 - Test štátnej pomoci</w:t>
      </w:r>
    </w:p>
  </w:footnote>
  <w:footnote w:id="148">
    <w:p w14:paraId="3F735898" w14:textId="77777777" w:rsidR="00DF4E07" w:rsidRDefault="00DF4E07">
      <w:pPr>
        <w:pStyle w:val="Textpoznmkypodiarou"/>
        <w:jc w:val="both"/>
      </w:pPr>
      <w:r w:rsidRPr="000E286B">
        <w:rPr>
          <w:rStyle w:val="Odkaznapoznmkupodiarou"/>
          <w:sz w:val="18"/>
        </w:rPr>
        <w:footnoteRef/>
      </w:r>
      <w:r w:rsidRPr="000E286B">
        <w:rPr>
          <w:sz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149">
    <w:p w14:paraId="6015E126" w14:textId="77777777" w:rsidR="00DF4E07" w:rsidRDefault="00DF4E07">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150">
    <w:p w14:paraId="426B5981" w14:textId="0D57006E" w:rsidR="00DF4E07" w:rsidRDefault="00DF4E07" w:rsidP="00DE5D89">
      <w:pPr>
        <w:pStyle w:val="Textpoznmkypodiarou"/>
        <w:jc w:val="both"/>
      </w:pPr>
      <w:r>
        <w:rPr>
          <w:rStyle w:val="Odkaznapoznmkupodiarou"/>
        </w:rPr>
        <w:footnoteRef/>
      </w:r>
      <w:r>
        <w:t xml:space="preserve"> MP ÚV SR č. 21 -  k zberu údajov o</w:t>
      </w:r>
      <w:r w:rsidRPr="002B314A">
        <w:t xml:space="preserve"> administratívnych kapac</w:t>
      </w:r>
      <w:r>
        <w:t>i</w:t>
      </w:r>
      <w:r w:rsidRPr="002B314A">
        <w:t>t</w:t>
      </w:r>
      <w:r>
        <w:t>ách</w:t>
      </w:r>
      <w:r w:rsidRPr="002B314A">
        <w:t xml:space="preserve"> </w:t>
      </w:r>
      <w:r>
        <w:t xml:space="preserve">do Informácie o stave administratívnych kapacít </w:t>
      </w:r>
      <w:r w:rsidRPr="002B314A">
        <w:t>subjektov zapojených do riadenia</w:t>
      </w:r>
      <w:r>
        <w:t>,</w:t>
      </w:r>
      <w:r w:rsidRPr="002B314A">
        <w:t xml:space="preserve"> implementácie, kontroly </w:t>
      </w:r>
      <w:r>
        <w:t>a auditu EŠIF</w:t>
      </w:r>
    </w:p>
  </w:footnote>
  <w:footnote w:id="151">
    <w:p w14:paraId="2B557684" w14:textId="77777777" w:rsidR="00DF4E07" w:rsidRDefault="00DF4E07">
      <w:pPr>
        <w:pStyle w:val="Textpoznmkypodiarou"/>
      </w:pPr>
      <w:r>
        <w:rPr>
          <w:rStyle w:val="Odkaznapoznmkupodiarou"/>
        </w:rPr>
        <w:footnoteRef/>
      </w:r>
      <w:r>
        <w:t xml:space="preserve"> </w:t>
      </w:r>
      <w:r w:rsidRPr="00DA0B1B">
        <w:t>Uznesenie vlády SR č. 305/2012</w:t>
      </w:r>
    </w:p>
  </w:footnote>
  <w:footnote w:id="152">
    <w:p w14:paraId="08B078D4" w14:textId="77777777" w:rsidR="00DF4E07" w:rsidRDefault="00DF4E07">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153">
    <w:p w14:paraId="75180C71" w14:textId="77777777" w:rsidR="00DF4E07" w:rsidRDefault="00DF4E07" w:rsidP="00AE4B1D">
      <w:pPr>
        <w:pStyle w:val="Textpoznmkypodiarou"/>
      </w:pPr>
      <w:r>
        <w:rPr>
          <w:rStyle w:val="Odkaznapoznmkupodiarou"/>
        </w:rPr>
        <w:footnoteRef/>
      </w:r>
      <w:r>
        <w:t xml:space="preserve"> MP CKO č. 9 k záväznému plánu operačného programu</w:t>
      </w:r>
    </w:p>
  </w:footnote>
  <w:footnote w:id="154">
    <w:p w14:paraId="0B0E2FB6" w14:textId="77777777" w:rsidR="00DF4E07" w:rsidRDefault="00DF4E07" w:rsidP="00226058">
      <w:pPr>
        <w:pStyle w:val="Textpoznmkypodiarou"/>
      </w:pPr>
      <w:r>
        <w:rPr>
          <w:rStyle w:val="Odkaznapoznmkupodiarou"/>
        </w:rPr>
        <w:footnoteRef/>
      </w:r>
      <w:r>
        <w:t xml:space="preserve"> MP CKO č. 10 </w:t>
      </w:r>
      <w:r w:rsidRPr="002B314A">
        <w:t>k obsahu informácie o realizovaní operačného programu</w:t>
      </w:r>
    </w:p>
  </w:footnote>
  <w:footnote w:id="155">
    <w:p w14:paraId="3A49131D" w14:textId="77777777" w:rsidR="00DF4E07" w:rsidRDefault="00DF4E07">
      <w:pPr>
        <w:pStyle w:val="Textpoznmkypodiarou"/>
      </w:pPr>
      <w:r>
        <w:rPr>
          <w:rStyle w:val="Odkaznapoznmkupodiarou"/>
        </w:rPr>
        <w:footnoteRef/>
      </w:r>
      <w:r>
        <w:t xml:space="preserve"> MP CKO č. 20 </w:t>
      </w:r>
      <w:r w:rsidRPr="00781C23">
        <w:t>k vypracovaniu plánu hodnotení operačných programov na programové obdobie 2014 - 2020</w:t>
      </w:r>
    </w:p>
  </w:footnote>
  <w:footnote w:id="156">
    <w:p w14:paraId="206F09A4" w14:textId="77777777" w:rsidR="00DF4E07" w:rsidRDefault="00DF4E07">
      <w:pPr>
        <w:pStyle w:val="Textpoznmkypodiarou"/>
      </w:pPr>
      <w:r>
        <w:rPr>
          <w:rStyle w:val="Odkaznapoznmkupodiarou"/>
        </w:rPr>
        <w:footnoteRef/>
      </w:r>
      <w:r>
        <w:t xml:space="preserve"> Príloha č. 1 k MP CKO č. 16 – Komunikačná stratégia</w:t>
      </w:r>
    </w:p>
  </w:footnote>
  <w:footnote w:id="157">
    <w:p w14:paraId="5ED1A4B4" w14:textId="77777777" w:rsidR="00DF4E07" w:rsidRDefault="00DF4E07">
      <w:pPr>
        <w:pStyle w:val="Textpoznmkypodiarou"/>
      </w:pPr>
      <w:r>
        <w:rPr>
          <w:rStyle w:val="Odkaznapoznmkupodiarou"/>
        </w:rPr>
        <w:footnoteRef/>
      </w:r>
      <w:r>
        <w:t xml:space="preserve"> Príloha č. 5 k MP CKO č. 16 – Manuál pre informovanie a komunikáciu</w:t>
      </w:r>
    </w:p>
  </w:footnote>
  <w:footnote w:id="158">
    <w:p w14:paraId="2BA87C36" w14:textId="77777777" w:rsidR="00DF4E07" w:rsidRDefault="00DF4E07">
      <w:pPr>
        <w:pStyle w:val="Textpoznmkypodiarou"/>
      </w:pPr>
      <w:r>
        <w:rPr>
          <w:rStyle w:val="Odkaznapoznmkupodiarou"/>
        </w:rPr>
        <w:footnoteRef/>
      </w:r>
      <w:r>
        <w:t xml:space="preserve"> MP CKO č. 16 pre informovanie a komunikáciu EŠIF</w:t>
      </w:r>
    </w:p>
  </w:footnote>
  <w:footnote w:id="159">
    <w:p w14:paraId="79B1EFE4" w14:textId="77777777" w:rsidR="00DF4E07" w:rsidRDefault="00DF4E07">
      <w:pPr>
        <w:pStyle w:val="Textpoznmkypodiarou"/>
      </w:pPr>
      <w:r>
        <w:rPr>
          <w:rStyle w:val="Odkaznapoznmkupodiarou"/>
        </w:rPr>
        <w:footnoteRef/>
      </w:r>
      <w:r>
        <w:t xml:space="preserve"> Príloha č. 1 k MP CKO č. 16 – Komunikačná stratégia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7267"/>
      <w:gridCol w:w="2798"/>
    </w:tblGrid>
    <w:tr w:rsidR="00DF4E07" w14:paraId="11AE0E6B" w14:textId="77777777">
      <w:trPr>
        <w:jc w:val="center"/>
      </w:trPr>
      <w:tc>
        <w:tcPr>
          <w:tcW w:w="3610" w:type="pct"/>
          <w:tcBorders>
            <w:bottom w:val="single" w:sz="4" w:space="0" w:color="auto"/>
          </w:tcBorders>
          <w:vAlign w:val="bottom"/>
        </w:tcPr>
        <w:p w14:paraId="4EBCFDE4" w14:textId="77777777" w:rsidR="00DF4E07" w:rsidRDefault="00DF4E07">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4364EB92" w14:textId="7CAF6EB8" w:rsidR="00DF4E07" w:rsidRDefault="00BF4564" w:rsidP="009D1B67">
          <w:pPr>
            <w:ind w:left="-115"/>
            <w:jc w:val="right"/>
            <w:rPr>
              <w:color w:val="FFFFFF"/>
            </w:rPr>
          </w:pPr>
          <w:r>
            <w:rPr>
              <w:rFonts w:ascii="Arial Narrow" w:hAnsi="Arial Narrow"/>
              <w:color w:val="FFFFFF"/>
              <w:sz w:val="20"/>
              <w:szCs w:val="20"/>
            </w:rPr>
            <w:t>13. októbra 2017</w:t>
          </w:r>
        </w:p>
      </w:tc>
    </w:tr>
  </w:tbl>
  <w:p w14:paraId="5D6BD232" w14:textId="77777777" w:rsidR="00DF4E07" w:rsidRDefault="00DF4E07"/>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DAB4D704"/>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C678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 w15:restartNumberingAfterBreak="0">
    <w:nsid w:val="00237B4C"/>
    <w:multiLevelType w:val="hybridMultilevel"/>
    <w:tmpl w:val="A010F46A"/>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15:restartNumberingAfterBreak="0">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 w15:restartNumberingAfterBreak="0">
    <w:nsid w:val="005E388B"/>
    <w:multiLevelType w:val="hybridMultilevel"/>
    <w:tmpl w:val="DA28D42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 w15:restartNumberingAfterBreak="0">
    <w:nsid w:val="008A6D40"/>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 w15:restartNumberingAfterBreak="0">
    <w:nsid w:val="0137450E"/>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 w15:restartNumberingAfterBreak="0">
    <w:nsid w:val="0170456F"/>
    <w:multiLevelType w:val="hybridMultilevel"/>
    <w:tmpl w:val="58984706"/>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 w15:restartNumberingAfterBreak="0">
    <w:nsid w:val="01E00C5F"/>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 w15:restartNumberingAfterBreak="0">
    <w:nsid w:val="01FA7ABF"/>
    <w:multiLevelType w:val="hybridMultilevel"/>
    <w:tmpl w:val="6A4A08F4"/>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 w15:restartNumberingAfterBreak="0">
    <w:nsid w:val="02C03F0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 w15:restartNumberingAfterBreak="0">
    <w:nsid w:val="03451B1F"/>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2" w15:restartNumberingAfterBreak="0">
    <w:nsid w:val="03614A28"/>
    <w:multiLevelType w:val="hybridMultilevel"/>
    <w:tmpl w:val="E82EE4A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 w15:restartNumberingAfterBreak="0">
    <w:nsid w:val="03E93D86"/>
    <w:multiLevelType w:val="hybridMultilevel"/>
    <w:tmpl w:val="C99C1444"/>
    <w:lvl w:ilvl="0" w:tplc="DD6AEE4A">
      <w:start w:val="1"/>
      <w:numFmt w:val="decimal"/>
      <w:lvlText w:val="%1."/>
      <w:lvlJc w:val="left"/>
      <w:pPr>
        <w:ind w:left="1080" w:hanging="360"/>
      </w:pPr>
      <w:rPr>
        <w:rFonts w:cs="Times New Roman"/>
        <w:b w:val="0"/>
        <w:i w:val="0"/>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E732EA54">
      <w:start w:val="1"/>
      <w:numFmt w:val="decimal"/>
      <w:lvlText w:val="%4."/>
      <w:lvlJc w:val="left"/>
      <w:pPr>
        <w:ind w:left="3240" w:hanging="360"/>
      </w:pPr>
      <w:rPr>
        <w:rFonts w:cs="Times New Roman"/>
        <w:i w:val="0"/>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14" w15:restartNumberingAfterBreak="0">
    <w:nsid w:val="042C457F"/>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 w15:restartNumberingAfterBreak="0">
    <w:nsid w:val="042D5B0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 w15:restartNumberingAfterBreak="0">
    <w:nsid w:val="04A60403"/>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 w15:restartNumberingAfterBreak="0">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8" w15:restartNumberingAfterBreak="0">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 w15:restartNumberingAfterBreak="0">
    <w:nsid w:val="059B2D48"/>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0" w15:restartNumberingAfterBreak="0">
    <w:nsid w:val="05E43B6B"/>
    <w:multiLevelType w:val="hybridMultilevel"/>
    <w:tmpl w:val="9CBC4FE8"/>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1" w15:restartNumberingAfterBreak="0">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 w15:restartNumberingAfterBreak="0">
    <w:nsid w:val="06133BEF"/>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 w15:restartNumberingAfterBreak="0">
    <w:nsid w:val="0627283F"/>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 w15:restartNumberingAfterBreak="0">
    <w:nsid w:val="06D008C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5" w15:restartNumberingAfterBreak="0">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 w15:restartNumberingAfterBreak="0">
    <w:nsid w:val="06E76F7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 w15:restartNumberingAfterBreak="0">
    <w:nsid w:val="07086C56"/>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 w15:restartNumberingAfterBreak="0">
    <w:nsid w:val="07167A43"/>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9" w15:restartNumberingAfterBreak="0">
    <w:nsid w:val="07766235"/>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0" w15:restartNumberingAfterBreak="0">
    <w:nsid w:val="08AA0017"/>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1" w15:restartNumberingAfterBreak="0">
    <w:nsid w:val="08AF4169"/>
    <w:multiLevelType w:val="hybridMultilevel"/>
    <w:tmpl w:val="5C70C534"/>
    <w:lvl w:ilvl="0" w:tplc="874A889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2" w15:restartNumberingAfterBreak="0">
    <w:nsid w:val="08F70FC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 w15:restartNumberingAfterBreak="0">
    <w:nsid w:val="0970367F"/>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4" w15:restartNumberingAfterBreak="0">
    <w:nsid w:val="0A3377CB"/>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 w15:restartNumberingAfterBreak="0">
    <w:nsid w:val="0A3964A6"/>
    <w:multiLevelType w:val="hybridMultilevel"/>
    <w:tmpl w:val="0CC8A1CC"/>
    <w:lvl w:ilvl="0" w:tplc="041B0017">
      <w:start w:val="1"/>
      <w:numFmt w:val="lowerLetter"/>
      <w:lvlText w:val="%1)"/>
      <w:lvlJc w:val="left"/>
      <w:pPr>
        <w:ind w:left="1145" w:hanging="360"/>
      </w:pPr>
      <w:rPr>
        <w:rFonts w:cs="Times New Roman"/>
      </w:rPr>
    </w:lvl>
    <w:lvl w:ilvl="1" w:tplc="041B0017">
      <w:start w:val="1"/>
      <w:numFmt w:val="lowerLetter"/>
      <w:lvlText w:val="%2)"/>
      <w:lvlJc w:val="left"/>
      <w:pPr>
        <w:ind w:left="1865" w:hanging="360"/>
      </w:pPr>
      <w:rPr>
        <w:rFonts w:cs="Times New Roman"/>
      </w:rPr>
    </w:lvl>
    <w:lvl w:ilvl="2" w:tplc="041B001B" w:tentative="1">
      <w:start w:val="1"/>
      <w:numFmt w:val="lowerRoman"/>
      <w:lvlText w:val="%3."/>
      <w:lvlJc w:val="right"/>
      <w:pPr>
        <w:ind w:left="2585" w:hanging="180"/>
      </w:pPr>
      <w:rPr>
        <w:rFonts w:cs="Times New Roman"/>
      </w:rPr>
    </w:lvl>
    <w:lvl w:ilvl="3" w:tplc="041B000F" w:tentative="1">
      <w:start w:val="1"/>
      <w:numFmt w:val="decimal"/>
      <w:lvlText w:val="%4."/>
      <w:lvlJc w:val="left"/>
      <w:pPr>
        <w:ind w:left="3305" w:hanging="360"/>
      </w:pPr>
      <w:rPr>
        <w:rFonts w:cs="Times New Roman"/>
      </w:rPr>
    </w:lvl>
    <w:lvl w:ilvl="4" w:tplc="041B0019" w:tentative="1">
      <w:start w:val="1"/>
      <w:numFmt w:val="lowerLetter"/>
      <w:lvlText w:val="%5."/>
      <w:lvlJc w:val="left"/>
      <w:pPr>
        <w:ind w:left="4025" w:hanging="360"/>
      </w:pPr>
      <w:rPr>
        <w:rFonts w:cs="Times New Roman"/>
      </w:rPr>
    </w:lvl>
    <w:lvl w:ilvl="5" w:tplc="041B001B" w:tentative="1">
      <w:start w:val="1"/>
      <w:numFmt w:val="lowerRoman"/>
      <w:lvlText w:val="%6."/>
      <w:lvlJc w:val="right"/>
      <w:pPr>
        <w:ind w:left="4745" w:hanging="180"/>
      </w:pPr>
      <w:rPr>
        <w:rFonts w:cs="Times New Roman"/>
      </w:rPr>
    </w:lvl>
    <w:lvl w:ilvl="6" w:tplc="041B000F" w:tentative="1">
      <w:start w:val="1"/>
      <w:numFmt w:val="decimal"/>
      <w:lvlText w:val="%7."/>
      <w:lvlJc w:val="left"/>
      <w:pPr>
        <w:ind w:left="5465" w:hanging="360"/>
      </w:pPr>
      <w:rPr>
        <w:rFonts w:cs="Times New Roman"/>
      </w:rPr>
    </w:lvl>
    <w:lvl w:ilvl="7" w:tplc="041B0019" w:tentative="1">
      <w:start w:val="1"/>
      <w:numFmt w:val="lowerLetter"/>
      <w:lvlText w:val="%8."/>
      <w:lvlJc w:val="left"/>
      <w:pPr>
        <w:ind w:left="6185" w:hanging="360"/>
      </w:pPr>
      <w:rPr>
        <w:rFonts w:cs="Times New Roman"/>
      </w:rPr>
    </w:lvl>
    <w:lvl w:ilvl="8" w:tplc="041B001B" w:tentative="1">
      <w:start w:val="1"/>
      <w:numFmt w:val="lowerRoman"/>
      <w:lvlText w:val="%9."/>
      <w:lvlJc w:val="right"/>
      <w:pPr>
        <w:ind w:left="6905" w:hanging="180"/>
      </w:pPr>
      <w:rPr>
        <w:rFonts w:cs="Times New Roman"/>
      </w:rPr>
    </w:lvl>
  </w:abstractNum>
  <w:abstractNum w:abstractNumId="36" w15:restartNumberingAfterBreak="0">
    <w:nsid w:val="0A95334E"/>
    <w:multiLevelType w:val="hybridMultilevel"/>
    <w:tmpl w:val="1FBCB4AE"/>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37" w15:restartNumberingAfterBreak="0">
    <w:nsid w:val="0B223DC9"/>
    <w:multiLevelType w:val="hybridMultilevel"/>
    <w:tmpl w:val="16F28132"/>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7">
      <w:start w:val="1"/>
      <w:numFmt w:val="lowerLetter"/>
      <w:lvlText w:val="%3)"/>
      <w:lvlJc w:val="lef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38" w15:restartNumberingAfterBreak="0">
    <w:nsid w:val="0B5D28AA"/>
    <w:multiLevelType w:val="hybridMultilevel"/>
    <w:tmpl w:val="6C22C78C"/>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 w15:restartNumberingAfterBreak="0">
    <w:nsid w:val="0BB53F3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 w15:restartNumberingAfterBreak="0">
    <w:nsid w:val="0C070EE6"/>
    <w:multiLevelType w:val="hybridMultilevel"/>
    <w:tmpl w:val="67EAF12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1" w15:restartNumberingAfterBreak="0">
    <w:nsid w:val="0C141407"/>
    <w:multiLevelType w:val="hybridMultilevel"/>
    <w:tmpl w:val="2050FD28"/>
    <w:lvl w:ilvl="0" w:tplc="041B001B">
      <w:start w:val="1"/>
      <w:numFmt w:val="lowerRoman"/>
      <w:lvlText w:val="%1."/>
      <w:lvlJc w:val="right"/>
      <w:pPr>
        <w:ind w:left="1713" w:hanging="360"/>
      </w:pPr>
      <w:rPr>
        <w:rFonts w:cs="Times New Roman"/>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42" w15:restartNumberingAfterBreak="0">
    <w:nsid w:val="0C77762B"/>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43" w15:restartNumberingAfterBreak="0">
    <w:nsid w:val="0CCA6082"/>
    <w:multiLevelType w:val="hybridMultilevel"/>
    <w:tmpl w:val="73086B26"/>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44" w15:restartNumberingAfterBreak="0">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 w15:restartNumberingAfterBreak="0">
    <w:nsid w:val="0D0A5C8E"/>
    <w:multiLevelType w:val="hybridMultilevel"/>
    <w:tmpl w:val="5CACB6B8"/>
    <w:lvl w:ilvl="0" w:tplc="041B0017">
      <w:start w:val="1"/>
      <w:numFmt w:val="lowerLetter"/>
      <w:lvlText w:val="%1)"/>
      <w:lvlJc w:val="left"/>
      <w:pPr>
        <w:ind w:left="1428" w:hanging="360"/>
      </w:pPr>
      <w:rPr>
        <w:rFonts w:cs="Times New Roman"/>
      </w:rPr>
    </w:lvl>
    <w:lvl w:ilvl="1" w:tplc="55DE7752">
      <w:start w:val="1"/>
      <w:numFmt w:val="bullet"/>
      <w:lvlText w:val="-"/>
      <w:lvlJc w:val="left"/>
      <w:pPr>
        <w:ind w:left="2148" w:hanging="360"/>
      </w:pPr>
      <w:rPr>
        <w:rFonts w:ascii="Times New Roman" w:eastAsia="Times New Roman" w:hAnsi="Times New Roman" w:hint="default"/>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6" w15:restartNumberingAfterBreak="0">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7" w15:restartNumberingAfterBreak="0">
    <w:nsid w:val="0D8564A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48" w15:restartNumberingAfterBreak="0">
    <w:nsid w:val="0D9B20DC"/>
    <w:multiLevelType w:val="hybridMultilevel"/>
    <w:tmpl w:val="C158EC0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49" w15:restartNumberingAfterBreak="0">
    <w:nsid w:val="0DF354F6"/>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50" w15:restartNumberingAfterBreak="0">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51" w15:restartNumberingAfterBreak="0">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52" w15:restartNumberingAfterBreak="0">
    <w:nsid w:val="0ED95694"/>
    <w:multiLevelType w:val="hybridMultilevel"/>
    <w:tmpl w:val="B492B6CC"/>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53" w15:restartNumberingAfterBreak="0">
    <w:nsid w:val="0F560F96"/>
    <w:multiLevelType w:val="hybridMultilevel"/>
    <w:tmpl w:val="E7DC8208"/>
    <w:lvl w:ilvl="0" w:tplc="453EC8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54" w15:restartNumberingAfterBreak="0">
    <w:nsid w:val="0F80486C"/>
    <w:multiLevelType w:val="hybridMultilevel"/>
    <w:tmpl w:val="40F20BFA"/>
    <w:lvl w:ilvl="0" w:tplc="E732EA54">
      <w:start w:val="1"/>
      <w:numFmt w:val="decimal"/>
      <w:lvlText w:val="%1."/>
      <w:lvlJc w:val="left"/>
      <w:pPr>
        <w:ind w:left="324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5" w15:restartNumberingAfterBreak="0">
    <w:nsid w:val="0FED2198"/>
    <w:multiLevelType w:val="hybridMultilevel"/>
    <w:tmpl w:val="C7B4BF3E"/>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6" w15:restartNumberingAfterBreak="0">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15:restartNumberingAfterBreak="0">
    <w:nsid w:val="10177819"/>
    <w:multiLevelType w:val="hybridMultilevel"/>
    <w:tmpl w:val="8C98274E"/>
    <w:lvl w:ilvl="0" w:tplc="041B000F">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8" w15:restartNumberingAfterBreak="0">
    <w:nsid w:val="10250879"/>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9" w15:restartNumberingAfterBreak="0">
    <w:nsid w:val="11051002"/>
    <w:multiLevelType w:val="hybridMultilevel"/>
    <w:tmpl w:val="C5361EE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0" w15:restartNumberingAfterBreak="0">
    <w:nsid w:val="11977BF5"/>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61" w15:restartNumberingAfterBreak="0">
    <w:nsid w:val="11A46939"/>
    <w:multiLevelType w:val="hybridMultilevel"/>
    <w:tmpl w:val="1EB8F6BC"/>
    <w:lvl w:ilvl="0" w:tplc="041B0017">
      <w:start w:val="1"/>
      <w:numFmt w:val="lowerLetter"/>
      <w:lvlText w:val="%1)"/>
      <w:lvlJc w:val="left"/>
      <w:pPr>
        <w:ind w:left="786" w:hanging="360"/>
      </w:pPr>
      <w:rPr>
        <w:rFonts w:cs="Times New Roman"/>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62" w15:restartNumberingAfterBreak="0">
    <w:nsid w:val="125C08E8"/>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3" w15:restartNumberingAfterBreak="0">
    <w:nsid w:val="131674C2"/>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64" w15:restartNumberingAfterBreak="0">
    <w:nsid w:val="13217C7F"/>
    <w:multiLevelType w:val="hybridMultilevel"/>
    <w:tmpl w:val="133EAC2E"/>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5" w15:restartNumberingAfterBreak="0">
    <w:nsid w:val="1362425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6" w15:restartNumberingAfterBreak="0">
    <w:nsid w:val="137933A2"/>
    <w:multiLevelType w:val="multilevel"/>
    <w:tmpl w:val="2034E20C"/>
    <w:lvl w:ilvl="0">
      <w:start w:val="1"/>
      <w:numFmt w:val="decimal"/>
      <w:lvlText w:val="%1."/>
      <w:lvlJc w:val="left"/>
      <w:pPr>
        <w:ind w:left="4897" w:hanging="360"/>
      </w:pPr>
      <w:rPr>
        <w:rFonts w:cs="Times New Roman" w:hint="default"/>
      </w:rPr>
    </w:lvl>
    <w:lvl w:ilvl="1">
      <w:start w:val="5"/>
      <w:numFmt w:val="decimal"/>
      <w:isLgl/>
      <w:lvlText w:val="%1.%2"/>
      <w:lvlJc w:val="left"/>
      <w:pPr>
        <w:ind w:left="5197" w:hanging="660"/>
      </w:pPr>
      <w:rPr>
        <w:rFonts w:cs="Times New Roman" w:hint="default"/>
      </w:rPr>
    </w:lvl>
    <w:lvl w:ilvl="2">
      <w:start w:val="10"/>
      <w:numFmt w:val="decimal"/>
      <w:isLgl/>
      <w:lvlText w:val="%1.%2.%3"/>
      <w:lvlJc w:val="left"/>
      <w:pPr>
        <w:ind w:left="5257" w:hanging="720"/>
      </w:pPr>
      <w:rPr>
        <w:rFonts w:cs="Times New Roman" w:hint="default"/>
      </w:rPr>
    </w:lvl>
    <w:lvl w:ilvl="3">
      <w:start w:val="1"/>
      <w:numFmt w:val="decimal"/>
      <w:isLgl/>
      <w:lvlText w:val="%1.%2.%3.%4"/>
      <w:lvlJc w:val="left"/>
      <w:pPr>
        <w:ind w:left="5257" w:hanging="720"/>
      </w:pPr>
      <w:rPr>
        <w:rFonts w:cs="Times New Roman" w:hint="default"/>
      </w:rPr>
    </w:lvl>
    <w:lvl w:ilvl="4">
      <w:start w:val="1"/>
      <w:numFmt w:val="decimal"/>
      <w:isLgl/>
      <w:lvlText w:val="%1.%2.%3.%4.%5"/>
      <w:lvlJc w:val="left"/>
      <w:pPr>
        <w:ind w:left="5617" w:hanging="1080"/>
      </w:pPr>
      <w:rPr>
        <w:rFonts w:cs="Times New Roman" w:hint="default"/>
      </w:rPr>
    </w:lvl>
    <w:lvl w:ilvl="5">
      <w:start w:val="1"/>
      <w:numFmt w:val="decimal"/>
      <w:isLgl/>
      <w:lvlText w:val="%1.%2.%3.%4.%5.%6"/>
      <w:lvlJc w:val="left"/>
      <w:pPr>
        <w:ind w:left="5617" w:hanging="1080"/>
      </w:pPr>
      <w:rPr>
        <w:rFonts w:cs="Times New Roman" w:hint="default"/>
      </w:rPr>
    </w:lvl>
    <w:lvl w:ilvl="6">
      <w:start w:val="1"/>
      <w:numFmt w:val="decimal"/>
      <w:isLgl/>
      <w:lvlText w:val="%1.%2.%3.%4.%5.%6.%7"/>
      <w:lvlJc w:val="left"/>
      <w:pPr>
        <w:ind w:left="5977" w:hanging="1440"/>
      </w:pPr>
      <w:rPr>
        <w:rFonts w:cs="Times New Roman" w:hint="default"/>
      </w:rPr>
    </w:lvl>
    <w:lvl w:ilvl="7">
      <w:start w:val="1"/>
      <w:numFmt w:val="decimal"/>
      <w:isLgl/>
      <w:lvlText w:val="%1.%2.%3.%4.%5.%6.%7.%8"/>
      <w:lvlJc w:val="left"/>
      <w:pPr>
        <w:ind w:left="5977" w:hanging="1440"/>
      </w:pPr>
      <w:rPr>
        <w:rFonts w:cs="Times New Roman" w:hint="default"/>
      </w:rPr>
    </w:lvl>
    <w:lvl w:ilvl="8">
      <w:start w:val="1"/>
      <w:numFmt w:val="decimal"/>
      <w:isLgl/>
      <w:lvlText w:val="%1.%2.%3.%4.%5.%6.%7.%8.%9"/>
      <w:lvlJc w:val="left"/>
      <w:pPr>
        <w:ind w:left="6337" w:hanging="1800"/>
      </w:pPr>
      <w:rPr>
        <w:rFonts w:cs="Times New Roman" w:hint="default"/>
      </w:rPr>
    </w:lvl>
  </w:abstractNum>
  <w:abstractNum w:abstractNumId="67" w15:restartNumberingAfterBreak="0">
    <w:nsid w:val="1402476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8" w15:restartNumberingAfterBreak="0">
    <w:nsid w:val="14D5736F"/>
    <w:multiLevelType w:val="hybridMultilevel"/>
    <w:tmpl w:val="34805F5C"/>
    <w:lvl w:ilvl="0" w:tplc="5B2AF608">
      <w:start w:val="1"/>
      <w:numFmt w:val="lowerLetter"/>
      <w:lvlText w:val="%1)"/>
      <w:lvlJc w:val="left"/>
      <w:pPr>
        <w:ind w:left="1080" w:hanging="360"/>
      </w:pPr>
      <w:rPr>
        <w:rFonts w:cs="Times New Roman" w:hint="default"/>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69" w15:restartNumberingAfterBreak="0">
    <w:nsid w:val="14DB470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0" w15:restartNumberingAfterBreak="0">
    <w:nsid w:val="14E7131E"/>
    <w:multiLevelType w:val="hybridMultilevel"/>
    <w:tmpl w:val="180E1824"/>
    <w:lvl w:ilvl="0" w:tplc="041B0017">
      <w:start w:val="1"/>
      <w:numFmt w:val="lowerLetter"/>
      <w:lvlText w:val="%1)"/>
      <w:lvlJc w:val="left"/>
      <w:pPr>
        <w:ind w:left="765" w:hanging="360"/>
      </w:pPr>
      <w:rPr>
        <w:rFonts w:cs="Times New Roman"/>
      </w:rPr>
    </w:lvl>
    <w:lvl w:ilvl="1" w:tplc="041B0019" w:tentative="1">
      <w:start w:val="1"/>
      <w:numFmt w:val="lowerLetter"/>
      <w:lvlText w:val="%2."/>
      <w:lvlJc w:val="left"/>
      <w:pPr>
        <w:ind w:left="1485" w:hanging="360"/>
      </w:pPr>
      <w:rPr>
        <w:rFonts w:cs="Times New Roman"/>
      </w:rPr>
    </w:lvl>
    <w:lvl w:ilvl="2" w:tplc="041B001B" w:tentative="1">
      <w:start w:val="1"/>
      <w:numFmt w:val="lowerRoman"/>
      <w:lvlText w:val="%3."/>
      <w:lvlJc w:val="right"/>
      <w:pPr>
        <w:ind w:left="2205" w:hanging="180"/>
      </w:pPr>
      <w:rPr>
        <w:rFonts w:cs="Times New Roman"/>
      </w:rPr>
    </w:lvl>
    <w:lvl w:ilvl="3" w:tplc="041B000F" w:tentative="1">
      <w:start w:val="1"/>
      <w:numFmt w:val="decimal"/>
      <w:lvlText w:val="%4."/>
      <w:lvlJc w:val="left"/>
      <w:pPr>
        <w:ind w:left="2925" w:hanging="360"/>
      </w:pPr>
      <w:rPr>
        <w:rFonts w:cs="Times New Roman"/>
      </w:rPr>
    </w:lvl>
    <w:lvl w:ilvl="4" w:tplc="041B0019" w:tentative="1">
      <w:start w:val="1"/>
      <w:numFmt w:val="lowerLetter"/>
      <w:lvlText w:val="%5."/>
      <w:lvlJc w:val="left"/>
      <w:pPr>
        <w:ind w:left="3645" w:hanging="360"/>
      </w:pPr>
      <w:rPr>
        <w:rFonts w:cs="Times New Roman"/>
      </w:rPr>
    </w:lvl>
    <w:lvl w:ilvl="5" w:tplc="041B001B" w:tentative="1">
      <w:start w:val="1"/>
      <w:numFmt w:val="lowerRoman"/>
      <w:lvlText w:val="%6."/>
      <w:lvlJc w:val="right"/>
      <w:pPr>
        <w:ind w:left="4365" w:hanging="180"/>
      </w:pPr>
      <w:rPr>
        <w:rFonts w:cs="Times New Roman"/>
      </w:rPr>
    </w:lvl>
    <w:lvl w:ilvl="6" w:tplc="041B000F" w:tentative="1">
      <w:start w:val="1"/>
      <w:numFmt w:val="decimal"/>
      <w:lvlText w:val="%7."/>
      <w:lvlJc w:val="left"/>
      <w:pPr>
        <w:ind w:left="5085" w:hanging="360"/>
      </w:pPr>
      <w:rPr>
        <w:rFonts w:cs="Times New Roman"/>
      </w:rPr>
    </w:lvl>
    <w:lvl w:ilvl="7" w:tplc="041B0019" w:tentative="1">
      <w:start w:val="1"/>
      <w:numFmt w:val="lowerLetter"/>
      <w:lvlText w:val="%8."/>
      <w:lvlJc w:val="left"/>
      <w:pPr>
        <w:ind w:left="5805" w:hanging="360"/>
      </w:pPr>
      <w:rPr>
        <w:rFonts w:cs="Times New Roman"/>
      </w:rPr>
    </w:lvl>
    <w:lvl w:ilvl="8" w:tplc="041B001B" w:tentative="1">
      <w:start w:val="1"/>
      <w:numFmt w:val="lowerRoman"/>
      <w:lvlText w:val="%9."/>
      <w:lvlJc w:val="right"/>
      <w:pPr>
        <w:ind w:left="6525" w:hanging="180"/>
      </w:pPr>
      <w:rPr>
        <w:rFonts w:cs="Times New Roman"/>
      </w:rPr>
    </w:lvl>
  </w:abstractNum>
  <w:abstractNum w:abstractNumId="71" w15:restartNumberingAfterBreak="0">
    <w:nsid w:val="152D175E"/>
    <w:multiLevelType w:val="hybridMultilevel"/>
    <w:tmpl w:val="71BCC576"/>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72" w15:restartNumberingAfterBreak="0">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3" w15:restartNumberingAfterBreak="0">
    <w:nsid w:val="15964C5B"/>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4" w15:restartNumberingAfterBreak="0">
    <w:nsid w:val="15BA3377"/>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75" w15:restartNumberingAfterBreak="0">
    <w:nsid w:val="15C56E0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6" w15:restartNumberingAfterBreak="0">
    <w:nsid w:val="15DD6AD2"/>
    <w:multiLevelType w:val="hybridMultilevel"/>
    <w:tmpl w:val="7472CFA6"/>
    <w:lvl w:ilvl="0" w:tplc="041B0017">
      <w:start w:val="1"/>
      <w:numFmt w:val="lowerLetter"/>
      <w:lvlText w:val="%1)"/>
      <w:lvlJc w:val="left"/>
      <w:pPr>
        <w:ind w:left="1004" w:hanging="360"/>
      </w:pPr>
      <w:rPr>
        <w:rFonts w:cs="Times New Roman"/>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77" w15:restartNumberingAfterBreak="0">
    <w:nsid w:val="161378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78" w15:restartNumberingAfterBreak="0">
    <w:nsid w:val="16351831"/>
    <w:multiLevelType w:val="hybridMultilevel"/>
    <w:tmpl w:val="92D0A158"/>
    <w:lvl w:ilvl="0" w:tplc="041B0011">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9" w15:restartNumberingAfterBreak="0">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0" w15:restartNumberingAfterBreak="0">
    <w:nsid w:val="173A4B38"/>
    <w:multiLevelType w:val="hybridMultilevel"/>
    <w:tmpl w:val="10FA973A"/>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1" w15:restartNumberingAfterBreak="0">
    <w:nsid w:val="178B6AC0"/>
    <w:multiLevelType w:val="hybridMultilevel"/>
    <w:tmpl w:val="06F8D830"/>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82" w15:restartNumberingAfterBreak="0">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83" w15:restartNumberingAfterBreak="0">
    <w:nsid w:val="17AD07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84" w15:restartNumberingAfterBreak="0">
    <w:nsid w:val="17B81F16"/>
    <w:multiLevelType w:val="hybridMultilevel"/>
    <w:tmpl w:val="668EB02E"/>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5" w15:restartNumberingAfterBreak="0">
    <w:nsid w:val="17DD1BA1"/>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86" w15:restartNumberingAfterBreak="0">
    <w:nsid w:val="1829105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7" w15:restartNumberingAfterBreak="0">
    <w:nsid w:val="18331DD1"/>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8" w15:restartNumberingAfterBreak="0">
    <w:nsid w:val="18411B7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89" w15:restartNumberingAfterBreak="0">
    <w:nsid w:val="18A47D04"/>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0" w15:restartNumberingAfterBreak="0">
    <w:nsid w:val="19EE7D80"/>
    <w:multiLevelType w:val="hybridMultilevel"/>
    <w:tmpl w:val="2CC05094"/>
    <w:lvl w:ilvl="0" w:tplc="9E0CA4B0">
      <w:start w:val="1"/>
      <w:numFmt w:val="decimal"/>
      <w:lvlText w:val="%1."/>
      <w:lvlJc w:val="left"/>
      <w:pPr>
        <w:ind w:left="4897" w:hanging="360"/>
      </w:pPr>
      <w:rPr>
        <w:rFonts w:cs="Times New Roman" w:hint="default"/>
        <w:b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1" w15:restartNumberingAfterBreak="0">
    <w:nsid w:val="1A114544"/>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92" w15:restartNumberingAfterBreak="0">
    <w:nsid w:val="1A5B5AD1"/>
    <w:multiLevelType w:val="hybridMultilevel"/>
    <w:tmpl w:val="95C66918"/>
    <w:lvl w:ilvl="0" w:tplc="041B0017">
      <w:start w:val="1"/>
      <w:numFmt w:val="lowerLetter"/>
      <w:lvlText w:val="%1)"/>
      <w:lvlJc w:val="left"/>
      <w:pPr>
        <w:ind w:left="1866" w:hanging="360"/>
      </w:pPr>
      <w:rPr>
        <w:rFonts w:cs="Times New Roman"/>
      </w:rPr>
    </w:lvl>
    <w:lvl w:ilvl="1" w:tplc="041B0019" w:tentative="1">
      <w:start w:val="1"/>
      <w:numFmt w:val="lowerLetter"/>
      <w:lvlText w:val="%2."/>
      <w:lvlJc w:val="left"/>
      <w:pPr>
        <w:ind w:left="2586" w:hanging="360"/>
      </w:pPr>
      <w:rPr>
        <w:rFonts w:cs="Times New Roman"/>
      </w:rPr>
    </w:lvl>
    <w:lvl w:ilvl="2" w:tplc="041B001B" w:tentative="1">
      <w:start w:val="1"/>
      <w:numFmt w:val="lowerRoman"/>
      <w:lvlText w:val="%3."/>
      <w:lvlJc w:val="right"/>
      <w:pPr>
        <w:ind w:left="3306" w:hanging="180"/>
      </w:pPr>
      <w:rPr>
        <w:rFonts w:cs="Times New Roman"/>
      </w:rPr>
    </w:lvl>
    <w:lvl w:ilvl="3" w:tplc="041B000F" w:tentative="1">
      <w:start w:val="1"/>
      <w:numFmt w:val="decimal"/>
      <w:lvlText w:val="%4."/>
      <w:lvlJc w:val="left"/>
      <w:pPr>
        <w:ind w:left="4026" w:hanging="360"/>
      </w:pPr>
      <w:rPr>
        <w:rFonts w:cs="Times New Roman"/>
      </w:rPr>
    </w:lvl>
    <w:lvl w:ilvl="4" w:tplc="041B0019" w:tentative="1">
      <w:start w:val="1"/>
      <w:numFmt w:val="lowerLetter"/>
      <w:lvlText w:val="%5."/>
      <w:lvlJc w:val="left"/>
      <w:pPr>
        <w:ind w:left="4746" w:hanging="360"/>
      </w:pPr>
      <w:rPr>
        <w:rFonts w:cs="Times New Roman"/>
      </w:rPr>
    </w:lvl>
    <w:lvl w:ilvl="5" w:tplc="041B001B" w:tentative="1">
      <w:start w:val="1"/>
      <w:numFmt w:val="lowerRoman"/>
      <w:lvlText w:val="%6."/>
      <w:lvlJc w:val="right"/>
      <w:pPr>
        <w:ind w:left="5466" w:hanging="180"/>
      </w:pPr>
      <w:rPr>
        <w:rFonts w:cs="Times New Roman"/>
      </w:rPr>
    </w:lvl>
    <w:lvl w:ilvl="6" w:tplc="041B000F" w:tentative="1">
      <w:start w:val="1"/>
      <w:numFmt w:val="decimal"/>
      <w:lvlText w:val="%7."/>
      <w:lvlJc w:val="left"/>
      <w:pPr>
        <w:ind w:left="6186" w:hanging="360"/>
      </w:pPr>
      <w:rPr>
        <w:rFonts w:cs="Times New Roman"/>
      </w:rPr>
    </w:lvl>
    <w:lvl w:ilvl="7" w:tplc="041B0019" w:tentative="1">
      <w:start w:val="1"/>
      <w:numFmt w:val="lowerLetter"/>
      <w:lvlText w:val="%8."/>
      <w:lvlJc w:val="left"/>
      <w:pPr>
        <w:ind w:left="6906" w:hanging="360"/>
      </w:pPr>
      <w:rPr>
        <w:rFonts w:cs="Times New Roman"/>
      </w:rPr>
    </w:lvl>
    <w:lvl w:ilvl="8" w:tplc="041B001B" w:tentative="1">
      <w:start w:val="1"/>
      <w:numFmt w:val="lowerRoman"/>
      <w:lvlText w:val="%9."/>
      <w:lvlJc w:val="right"/>
      <w:pPr>
        <w:ind w:left="7626" w:hanging="180"/>
      </w:pPr>
      <w:rPr>
        <w:rFonts w:cs="Times New Roman"/>
      </w:rPr>
    </w:lvl>
  </w:abstractNum>
  <w:abstractNum w:abstractNumId="93" w15:restartNumberingAfterBreak="0">
    <w:nsid w:val="1A6427D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4" w15:restartNumberingAfterBreak="0">
    <w:nsid w:val="1A7C38AC"/>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5" w15:restartNumberingAfterBreak="0">
    <w:nsid w:val="1ACD7251"/>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6" w15:restartNumberingAfterBreak="0">
    <w:nsid w:val="1AE036AB"/>
    <w:multiLevelType w:val="hybridMultilevel"/>
    <w:tmpl w:val="EC341F8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7" w15:restartNumberingAfterBreak="0">
    <w:nsid w:val="1B2640A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98" w15:restartNumberingAfterBreak="0">
    <w:nsid w:val="1B36214A"/>
    <w:multiLevelType w:val="hybridMultilevel"/>
    <w:tmpl w:val="50B0035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CD66729C">
      <w:start w:val="1"/>
      <w:numFmt w:val="lowerLetter"/>
      <w:lvlText w:val="%3)"/>
      <w:lvlJc w:val="left"/>
      <w:pPr>
        <w:ind w:left="2385" w:hanging="405"/>
      </w:pPr>
      <w:rPr>
        <w:rFonts w:cs="Times New Roman" w:hint="default"/>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9" w15:restartNumberingAfterBreak="0">
    <w:nsid w:val="1C23203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0" w15:restartNumberingAfterBreak="0">
    <w:nsid w:val="1CD725C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1" w15:restartNumberingAfterBreak="0">
    <w:nsid w:val="1D0A4F9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2" w15:restartNumberingAfterBreak="0">
    <w:nsid w:val="1D7372DC"/>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3" w15:restartNumberingAfterBreak="0">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04" w15:restartNumberingAfterBreak="0">
    <w:nsid w:val="1D9D36E9"/>
    <w:multiLevelType w:val="hybridMultilevel"/>
    <w:tmpl w:val="B48CF41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5" w15:restartNumberingAfterBreak="0">
    <w:nsid w:val="1DD22B00"/>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6" w15:restartNumberingAfterBreak="0">
    <w:nsid w:val="1DFD202D"/>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07" w15:restartNumberingAfterBreak="0">
    <w:nsid w:val="1E2110B2"/>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8" w15:restartNumberingAfterBreak="0">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9" w15:restartNumberingAfterBreak="0">
    <w:nsid w:val="1E8763A6"/>
    <w:multiLevelType w:val="hybridMultilevel"/>
    <w:tmpl w:val="83B887C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0" w15:restartNumberingAfterBreak="0">
    <w:nsid w:val="1ED501CE"/>
    <w:multiLevelType w:val="hybridMultilevel"/>
    <w:tmpl w:val="11264036"/>
    <w:lvl w:ilvl="0" w:tplc="041B000F">
      <w:start w:val="1"/>
      <w:numFmt w:val="decimal"/>
      <w:lvlText w:val="%1."/>
      <w:lvlJc w:val="left"/>
      <w:pPr>
        <w:ind w:left="4897"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1" w15:restartNumberingAfterBreak="0">
    <w:nsid w:val="1EE14807"/>
    <w:multiLevelType w:val="hybridMultilevel"/>
    <w:tmpl w:val="FDA6561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2" w15:restartNumberingAfterBreak="0">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13" w15:restartNumberingAfterBreak="0">
    <w:nsid w:val="1F3028F3"/>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4" w15:restartNumberingAfterBreak="0">
    <w:nsid w:val="1F6340AE"/>
    <w:multiLevelType w:val="hybridMultilevel"/>
    <w:tmpl w:val="14FC5D8E"/>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15" w15:restartNumberingAfterBreak="0">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6" w15:restartNumberingAfterBreak="0">
    <w:nsid w:val="1F9C53E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7" w15:restartNumberingAfterBreak="0">
    <w:nsid w:val="1FC3351E"/>
    <w:multiLevelType w:val="hybridMultilevel"/>
    <w:tmpl w:val="6DB40E42"/>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8" w15:restartNumberingAfterBreak="0">
    <w:nsid w:val="1FC73C11"/>
    <w:multiLevelType w:val="hybridMultilevel"/>
    <w:tmpl w:val="4BB83B4C"/>
    <w:lvl w:ilvl="0" w:tplc="DE1214B8">
      <w:start w:val="16"/>
      <w:numFmt w:val="bullet"/>
      <w:lvlText w:val="-"/>
      <w:lvlJc w:val="left"/>
      <w:pPr>
        <w:ind w:left="720" w:hanging="360"/>
      </w:pPr>
      <w:rPr>
        <w:rFonts w:ascii="Corbel" w:eastAsia="Times New Roman" w:hAnsi="Corbe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9" w15:restartNumberingAfterBreak="0">
    <w:nsid w:val="20202FB2"/>
    <w:multiLevelType w:val="hybridMultilevel"/>
    <w:tmpl w:val="C428D43A"/>
    <w:lvl w:ilvl="0" w:tplc="4B6CCEA2">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20" w15:restartNumberingAfterBreak="0">
    <w:nsid w:val="20731C1D"/>
    <w:multiLevelType w:val="hybridMultilevel"/>
    <w:tmpl w:val="2332A33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1" w15:restartNumberingAfterBreak="0">
    <w:nsid w:val="2095231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22" w15:restartNumberingAfterBreak="0">
    <w:nsid w:val="21591DE6"/>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3" w15:restartNumberingAfterBreak="0">
    <w:nsid w:val="21951A2F"/>
    <w:multiLevelType w:val="hybridMultilevel"/>
    <w:tmpl w:val="3B00CB80"/>
    <w:lvl w:ilvl="0" w:tplc="1E863E6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24" w15:restartNumberingAfterBreak="0">
    <w:nsid w:val="21F85A9F"/>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25" w15:restartNumberingAfterBreak="0">
    <w:nsid w:val="22F9611F"/>
    <w:multiLevelType w:val="hybridMultilevel"/>
    <w:tmpl w:val="29DA1D7E"/>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6" w15:restartNumberingAfterBreak="0">
    <w:nsid w:val="241C0E1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27" w15:restartNumberingAfterBreak="0">
    <w:nsid w:val="24545A80"/>
    <w:multiLevelType w:val="hybridMultilevel"/>
    <w:tmpl w:val="060C6F9E"/>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28" w15:restartNumberingAfterBreak="0">
    <w:nsid w:val="245B6BC9"/>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29" w15:restartNumberingAfterBreak="0">
    <w:nsid w:val="24FD2C5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30" w15:restartNumberingAfterBreak="0">
    <w:nsid w:val="259B5C2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1" w15:restartNumberingAfterBreak="0">
    <w:nsid w:val="261C2C25"/>
    <w:multiLevelType w:val="hybridMultilevel"/>
    <w:tmpl w:val="C8BC8FC6"/>
    <w:lvl w:ilvl="0" w:tplc="041B000F">
      <w:start w:val="1"/>
      <w:numFmt w:val="decimal"/>
      <w:lvlText w:val="%1."/>
      <w:lvlJc w:val="left"/>
      <w:pPr>
        <w:ind w:left="644"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2" w15:restartNumberingAfterBreak="0">
    <w:nsid w:val="265C3E91"/>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3" w15:restartNumberingAfterBreak="0">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4" w15:restartNumberingAfterBreak="0">
    <w:nsid w:val="269C79D7"/>
    <w:multiLevelType w:val="hybridMultilevel"/>
    <w:tmpl w:val="F9D27440"/>
    <w:lvl w:ilvl="0" w:tplc="041B0017">
      <w:start w:val="1"/>
      <w:numFmt w:val="lowerLetter"/>
      <w:lvlText w:val="%1)"/>
      <w:lvlJc w:val="left"/>
      <w:pPr>
        <w:ind w:left="1080" w:hanging="360"/>
      </w:pPr>
      <w:rPr>
        <w:rFonts w:cs="Times New Roman"/>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135" w15:restartNumberingAfterBreak="0">
    <w:nsid w:val="26A65FB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36" w15:restartNumberingAfterBreak="0">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37" w15:restartNumberingAfterBreak="0">
    <w:nsid w:val="26CD3F93"/>
    <w:multiLevelType w:val="hybridMultilevel"/>
    <w:tmpl w:val="CED2E650"/>
    <w:lvl w:ilvl="0" w:tplc="4664F600">
      <w:start w:val="1"/>
      <w:numFmt w:val="decimal"/>
      <w:lvlText w:val="%1."/>
      <w:lvlJc w:val="left"/>
      <w:pPr>
        <w:ind w:left="720" w:hanging="360"/>
      </w:pPr>
      <w:rPr>
        <w:rFonts w:cs="Times New Roman" w:hint="default"/>
        <w:b w:val="0"/>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8" w15:restartNumberingAfterBreak="0">
    <w:nsid w:val="272C787D"/>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39" w15:restartNumberingAfterBreak="0">
    <w:nsid w:val="274252F5"/>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140" w15:restartNumberingAfterBreak="0">
    <w:nsid w:val="276635A4"/>
    <w:multiLevelType w:val="hybridMultilevel"/>
    <w:tmpl w:val="190A03D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1" w15:restartNumberingAfterBreak="0">
    <w:nsid w:val="27CF63F2"/>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42" w15:restartNumberingAfterBreak="0">
    <w:nsid w:val="28185B00"/>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43" w15:restartNumberingAfterBreak="0">
    <w:nsid w:val="284777F3"/>
    <w:multiLevelType w:val="hybridMultilevel"/>
    <w:tmpl w:val="D4404B7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4" w15:restartNumberingAfterBreak="0">
    <w:nsid w:val="28A20E88"/>
    <w:multiLevelType w:val="hybridMultilevel"/>
    <w:tmpl w:val="48A436CE"/>
    <w:lvl w:ilvl="0" w:tplc="041B0011">
      <w:start w:val="1"/>
      <w:numFmt w:val="decimal"/>
      <w:lvlText w:val="%1)"/>
      <w:lvlJc w:val="left"/>
      <w:pPr>
        <w:ind w:left="2280" w:hanging="360"/>
      </w:pPr>
      <w:rPr>
        <w:rFonts w:cs="Times New Roman"/>
      </w:rPr>
    </w:lvl>
    <w:lvl w:ilvl="1" w:tplc="041B0019" w:tentative="1">
      <w:start w:val="1"/>
      <w:numFmt w:val="lowerLetter"/>
      <w:lvlText w:val="%2."/>
      <w:lvlJc w:val="left"/>
      <w:pPr>
        <w:ind w:left="3000" w:hanging="360"/>
      </w:pPr>
      <w:rPr>
        <w:rFonts w:cs="Times New Roman"/>
      </w:rPr>
    </w:lvl>
    <w:lvl w:ilvl="2" w:tplc="041B001B" w:tentative="1">
      <w:start w:val="1"/>
      <w:numFmt w:val="lowerRoman"/>
      <w:lvlText w:val="%3."/>
      <w:lvlJc w:val="right"/>
      <w:pPr>
        <w:ind w:left="3720" w:hanging="180"/>
      </w:pPr>
      <w:rPr>
        <w:rFonts w:cs="Times New Roman"/>
      </w:rPr>
    </w:lvl>
    <w:lvl w:ilvl="3" w:tplc="041B000F" w:tentative="1">
      <w:start w:val="1"/>
      <w:numFmt w:val="decimal"/>
      <w:lvlText w:val="%4."/>
      <w:lvlJc w:val="left"/>
      <w:pPr>
        <w:ind w:left="4440" w:hanging="360"/>
      </w:pPr>
      <w:rPr>
        <w:rFonts w:cs="Times New Roman"/>
      </w:rPr>
    </w:lvl>
    <w:lvl w:ilvl="4" w:tplc="041B0019" w:tentative="1">
      <w:start w:val="1"/>
      <w:numFmt w:val="lowerLetter"/>
      <w:lvlText w:val="%5."/>
      <w:lvlJc w:val="left"/>
      <w:pPr>
        <w:ind w:left="5160" w:hanging="360"/>
      </w:pPr>
      <w:rPr>
        <w:rFonts w:cs="Times New Roman"/>
      </w:rPr>
    </w:lvl>
    <w:lvl w:ilvl="5" w:tplc="041B001B" w:tentative="1">
      <w:start w:val="1"/>
      <w:numFmt w:val="lowerRoman"/>
      <w:lvlText w:val="%6."/>
      <w:lvlJc w:val="right"/>
      <w:pPr>
        <w:ind w:left="5880" w:hanging="180"/>
      </w:pPr>
      <w:rPr>
        <w:rFonts w:cs="Times New Roman"/>
      </w:rPr>
    </w:lvl>
    <w:lvl w:ilvl="6" w:tplc="041B000F" w:tentative="1">
      <w:start w:val="1"/>
      <w:numFmt w:val="decimal"/>
      <w:lvlText w:val="%7."/>
      <w:lvlJc w:val="left"/>
      <w:pPr>
        <w:ind w:left="6600" w:hanging="360"/>
      </w:pPr>
      <w:rPr>
        <w:rFonts w:cs="Times New Roman"/>
      </w:rPr>
    </w:lvl>
    <w:lvl w:ilvl="7" w:tplc="041B0019" w:tentative="1">
      <w:start w:val="1"/>
      <w:numFmt w:val="lowerLetter"/>
      <w:lvlText w:val="%8."/>
      <w:lvlJc w:val="left"/>
      <w:pPr>
        <w:ind w:left="7320" w:hanging="360"/>
      </w:pPr>
      <w:rPr>
        <w:rFonts w:cs="Times New Roman"/>
      </w:rPr>
    </w:lvl>
    <w:lvl w:ilvl="8" w:tplc="041B001B" w:tentative="1">
      <w:start w:val="1"/>
      <w:numFmt w:val="lowerRoman"/>
      <w:lvlText w:val="%9."/>
      <w:lvlJc w:val="right"/>
      <w:pPr>
        <w:ind w:left="8040" w:hanging="180"/>
      </w:pPr>
      <w:rPr>
        <w:rFonts w:cs="Times New Roman"/>
      </w:rPr>
    </w:lvl>
  </w:abstractNum>
  <w:abstractNum w:abstractNumId="145" w15:restartNumberingAfterBreak="0">
    <w:nsid w:val="28F3238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46" w15:restartNumberingAfterBreak="0">
    <w:nsid w:val="28FB4FB7"/>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47" w15:restartNumberingAfterBreak="0">
    <w:nsid w:val="296A0382"/>
    <w:multiLevelType w:val="hybridMultilevel"/>
    <w:tmpl w:val="96BAD5EE"/>
    <w:lvl w:ilvl="0" w:tplc="041B0017">
      <w:start w:val="1"/>
      <w:numFmt w:val="lowerLetter"/>
      <w:lvlText w:val="%1)"/>
      <w:lvlJc w:val="left"/>
      <w:pPr>
        <w:ind w:left="1429" w:hanging="360"/>
      </w:pPr>
      <w:rPr>
        <w:rFonts w:cs="Times New Roman" w:hint="default"/>
      </w:rPr>
    </w:lvl>
    <w:lvl w:ilvl="1" w:tplc="041B0003" w:tentative="1">
      <w:start w:val="1"/>
      <w:numFmt w:val="bullet"/>
      <w:lvlText w:val="o"/>
      <w:lvlJc w:val="left"/>
      <w:pPr>
        <w:ind w:left="2149" w:hanging="360"/>
      </w:pPr>
      <w:rPr>
        <w:rFonts w:ascii="Courier New" w:hAnsi="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48" w15:restartNumberingAfterBreak="0">
    <w:nsid w:val="297073E5"/>
    <w:multiLevelType w:val="hybridMultilevel"/>
    <w:tmpl w:val="F4D428E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9" w15:restartNumberingAfterBreak="0">
    <w:nsid w:val="29712080"/>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0" w15:restartNumberingAfterBreak="0">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51" w15:restartNumberingAfterBreak="0">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52" w15:restartNumberingAfterBreak="0">
    <w:nsid w:val="2A5A05EC"/>
    <w:multiLevelType w:val="hybridMultilevel"/>
    <w:tmpl w:val="8F3C63B4"/>
    <w:lvl w:ilvl="0" w:tplc="041B001B">
      <w:start w:val="1"/>
      <w:numFmt w:val="lowerRoman"/>
      <w:lvlText w:val="%1."/>
      <w:lvlJc w:val="right"/>
      <w:pPr>
        <w:ind w:left="1713" w:hanging="360"/>
      </w:pPr>
      <w:rPr>
        <w:rFonts w:cs="Times New Roman"/>
        <w:b w:val="0"/>
        <w:i w:val="0"/>
      </w:rPr>
    </w:lvl>
    <w:lvl w:ilvl="1" w:tplc="041B0019">
      <w:start w:val="1"/>
      <w:numFmt w:val="lowerLetter"/>
      <w:lvlText w:val="%2."/>
      <w:lvlJc w:val="left"/>
      <w:pPr>
        <w:ind w:left="2433" w:hanging="360"/>
      </w:pPr>
      <w:rPr>
        <w:rFonts w:cs="Times New Roman"/>
      </w:rPr>
    </w:lvl>
    <w:lvl w:ilvl="2" w:tplc="041B001B">
      <w:start w:val="1"/>
      <w:numFmt w:val="lowerRoman"/>
      <w:lvlText w:val="%3."/>
      <w:lvlJc w:val="right"/>
      <w:pPr>
        <w:ind w:left="3153" w:hanging="180"/>
      </w:pPr>
      <w:rPr>
        <w:rFonts w:cs="Times New Roman"/>
      </w:rPr>
    </w:lvl>
    <w:lvl w:ilvl="3" w:tplc="041B000F">
      <w:start w:val="1"/>
      <w:numFmt w:val="decimal"/>
      <w:lvlText w:val="%4."/>
      <w:lvlJc w:val="left"/>
      <w:pPr>
        <w:ind w:left="3873" w:hanging="360"/>
      </w:pPr>
      <w:rPr>
        <w:rFonts w:cs="Times New Roman"/>
      </w:rPr>
    </w:lvl>
    <w:lvl w:ilvl="4" w:tplc="041B0019">
      <w:start w:val="1"/>
      <w:numFmt w:val="lowerLetter"/>
      <w:lvlText w:val="%5."/>
      <w:lvlJc w:val="left"/>
      <w:pPr>
        <w:ind w:left="4593" w:hanging="360"/>
      </w:pPr>
      <w:rPr>
        <w:rFonts w:cs="Times New Roman"/>
      </w:rPr>
    </w:lvl>
    <w:lvl w:ilvl="5" w:tplc="041B001B">
      <w:start w:val="1"/>
      <w:numFmt w:val="lowerRoman"/>
      <w:lvlText w:val="%6."/>
      <w:lvlJc w:val="right"/>
      <w:pPr>
        <w:ind w:left="5313" w:hanging="180"/>
      </w:pPr>
      <w:rPr>
        <w:rFonts w:cs="Times New Roman"/>
      </w:rPr>
    </w:lvl>
    <w:lvl w:ilvl="6" w:tplc="041B000F">
      <w:start w:val="1"/>
      <w:numFmt w:val="decimal"/>
      <w:lvlText w:val="%7."/>
      <w:lvlJc w:val="left"/>
      <w:pPr>
        <w:ind w:left="6033" w:hanging="360"/>
      </w:pPr>
      <w:rPr>
        <w:rFonts w:cs="Times New Roman"/>
      </w:rPr>
    </w:lvl>
    <w:lvl w:ilvl="7" w:tplc="041B0019">
      <w:start w:val="1"/>
      <w:numFmt w:val="lowerLetter"/>
      <w:lvlText w:val="%8."/>
      <w:lvlJc w:val="left"/>
      <w:pPr>
        <w:ind w:left="6753" w:hanging="360"/>
      </w:pPr>
      <w:rPr>
        <w:rFonts w:cs="Times New Roman"/>
      </w:rPr>
    </w:lvl>
    <w:lvl w:ilvl="8" w:tplc="041B001B">
      <w:start w:val="1"/>
      <w:numFmt w:val="lowerRoman"/>
      <w:lvlText w:val="%9."/>
      <w:lvlJc w:val="right"/>
      <w:pPr>
        <w:ind w:left="7473" w:hanging="180"/>
      </w:pPr>
      <w:rPr>
        <w:rFonts w:cs="Times New Roman"/>
      </w:rPr>
    </w:lvl>
  </w:abstractNum>
  <w:abstractNum w:abstractNumId="153" w15:restartNumberingAfterBreak="0">
    <w:nsid w:val="2A80282D"/>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4" w15:restartNumberingAfterBreak="0">
    <w:nsid w:val="2AA1110B"/>
    <w:multiLevelType w:val="hybridMultilevel"/>
    <w:tmpl w:val="19042596"/>
    <w:lvl w:ilvl="0" w:tplc="4664F600">
      <w:start w:val="1"/>
      <w:numFmt w:val="decimal"/>
      <w:lvlText w:val="%1."/>
      <w:lvlJc w:val="left"/>
      <w:pPr>
        <w:ind w:left="720" w:hanging="360"/>
      </w:pPr>
      <w:rPr>
        <w:rFonts w:cs="Times New Roman" w:hint="default"/>
        <w:b w:val="0"/>
        <w:i w:val="0"/>
      </w:rPr>
    </w:lvl>
    <w:lvl w:ilvl="1" w:tplc="041B0017">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5" w15:restartNumberingAfterBreak="0">
    <w:nsid w:val="2AD02197"/>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56" w15:restartNumberingAfterBreak="0">
    <w:nsid w:val="2C463B1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7" w15:restartNumberingAfterBreak="0">
    <w:nsid w:val="2C492C3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58" w15:restartNumberingAfterBreak="0">
    <w:nsid w:val="2C752FD1"/>
    <w:multiLevelType w:val="hybridMultilevel"/>
    <w:tmpl w:val="12D82C3C"/>
    <w:lvl w:ilvl="0" w:tplc="112C34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59" w15:restartNumberingAfterBreak="0">
    <w:nsid w:val="2D7E66A4"/>
    <w:multiLevelType w:val="hybridMultilevel"/>
    <w:tmpl w:val="C0389C2A"/>
    <w:lvl w:ilvl="0" w:tplc="041B0017">
      <w:start w:val="1"/>
      <w:numFmt w:val="lowerLetter"/>
      <w:lvlText w:val="%1)"/>
      <w:lvlJc w:val="left"/>
      <w:pPr>
        <w:tabs>
          <w:tab w:val="num" w:pos="720"/>
        </w:tabs>
        <w:ind w:left="720" w:hanging="360"/>
      </w:pPr>
      <w:rPr>
        <w:rFonts w:cs="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60" w15:restartNumberingAfterBreak="0">
    <w:nsid w:val="2D7F0E9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61" w15:restartNumberingAfterBreak="0">
    <w:nsid w:val="2D9F60D8"/>
    <w:multiLevelType w:val="hybridMultilevel"/>
    <w:tmpl w:val="F7180228"/>
    <w:lvl w:ilvl="0" w:tplc="041B000F">
      <w:start w:val="1"/>
      <w:numFmt w:val="decimal"/>
      <w:lvlText w:val="%1."/>
      <w:lvlJc w:val="left"/>
      <w:pPr>
        <w:ind w:left="1211"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62" w15:restartNumberingAfterBreak="0">
    <w:nsid w:val="2E2571A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63" w15:restartNumberingAfterBreak="0">
    <w:nsid w:val="2E6058C3"/>
    <w:multiLevelType w:val="hybridMultilevel"/>
    <w:tmpl w:val="F1F262F8"/>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4" w15:restartNumberingAfterBreak="0">
    <w:nsid w:val="2EB75093"/>
    <w:multiLevelType w:val="hybridMultilevel"/>
    <w:tmpl w:val="9AE83C9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5" w15:restartNumberingAfterBreak="0">
    <w:nsid w:val="2EFB0AB9"/>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66" w15:restartNumberingAfterBreak="0">
    <w:nsid w:val="2F1C7056"/>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7" w15:restartNumberingAfterBreak="0">
    <w:nsid w:val="302A069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8" w15:restartNumberingAfterBreak="0">
    <w:nsid w:val="310D6CA9"/>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9" w15:restartNumberingAfterBreak="0">
    <w:nsid w:val="329B2B79"/>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70" w15:restartNumberingAfterBreak="0">
    <w:nsid w:val="32A23975"/>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1" w15:restartNumberingAfterBreak="0">
    <w:nsid w:val="32CF7320"/>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2" w15:restartNumberingAfterBreak="0">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3" w15:restartNumberingAfterBreak="0">
    <w:nsid w:val="33590BF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74" w15:restartNumberingAfterBreak="0">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5" w15:restartNumberingAfterBreak="0">
    <w:nsid w:val="33B56915"/>
    <w:multiLevelType w:val="hybridMultilevel"/>
    <w:tmpl w:val="D70C7F44"/>
    <w:lvl w:ilvl="0" w:tplc="041B0017">
      <w:start w:val="1"/>
      <w:numFmt w:val="lowerLetter"/>
      <w:lvlText w:val="%1)"/>
      <w:lvlJc w:val="left"/>
      <w:pPr>
        <w:ind w:left="1068" w:hanging="360"/>
      </w:pPr>
      <w:rPr>
        <w:rFonts w:cs="Times New Roman" w:hint="default"/>
      </w:rPr>
    </w:lvl>
    <w:lvl w:ilvl="1" w:tplc="041B0019" w:tentative="1">
      <w:start w:val="1"/>
      <w:numFmt w:val="lowerLetter"/>
      <w:lvlText w:val="%2."/>
      <w:lvlJc w:val="left"/>
      <w:pPr>
        <w:ind w:left="1788" w:hanging="360"/>
      </w:pPr>
      <w:rPr>
        <w:rFonts w:cs="Times New Roman"/>
      </w:rPr>
    </w:lvl>
    <w:lvl w:ilvl="2" w:tplc="041B001B" w:tentative="1">
      <w:start w:val="1"/>
      <w:numFmt w:val="lowerRoman"/>
      <w:lvlText w:val="%3."/>
      <w:lvlJc w:val="right"/>
      <w:pPr>
        <w:ind w:left="2508" w:hanging="180"/>
      </w:pPr>
      <w:rPr>
        <w:rFonts w:cs="Times New Roman"/>
      </w:rPr>
    </w:lvl>
    <w:lvl w:ilvl="3" w:tplc="041B000F" w:tentative="1">
      <w:start w:val="1"/>
      <w:numFmt w:val="decimal"/>
      <w:lvlText w:val="%4."/>
      <w:lvlJc w:val="left"/>
      <w:pPr>
        <w:ind w:left="3228" w:hanging="360"/>
      </w:pPr>
      <w:rPr>
        <w:rFonts w:cs="Times New Roman"/>
      </w:rPr>
    </w:lvl>
    <w:lvl w:ilvl="4" w:tplc="041B0019" w:tentative="1">
      <w:start w:val="1"/>
      <w:numFmt w:val="lowerLetter"/>
      <w:lvlText w:val="%5."/>
      <w:lvlJc w:val="left"/>
      <w:pPr>
        <w:ind w:left="3948" w:hanging="360"/>
      </w:pPr>
      <w:rPr>
        <w:rFonts w:cs="Times New Roman"/>
      </w:rPr>
    </w:lvl>
    <w:lvl w:ilvl="5" w:tplc="041B001B" w:tentative="1">
      <w:start w:val="1"/>
      <w:numFmt w:val="lowerRoman"/>
      <w:lvlText w:val="%6."/>
      <w:lvlJc w:val="right"/>
      <w:pPr>
        <w:ind w:left="4668" w:hanging="180"/>
      </w:pPr>
      <w:rPr>
        <w:rFonts w:cs="Times New Roman"/>
      </w:rPr>
    </w:lvl>
    <w:lvl w:ilvl="6" w:tplc="041B000F" w:tentative="1">
      <w:start w:val="1"/>
      <w:numFmt w:val="decimal"/>
      <w:lvlText w:val="%7."/>
      <w:lvlJc w:val="left"/>
      <w:pPr>
        <w:ind w:left="5388" w:hanging="360"/>
      </w:pPr>
      <w:rPr>
        <w:rFonts w:cs="Times New Roman"/>
      </w:rPr>
    </w:lvl>
    <w:lvl w:ilvl="7" w:tplc="041B0019" w:tentative="1">
      <w:start w:val="1"/>
      <w:numFmt w:val="lowerLetter"/>
      <w:lvlText w:val="%8."/>
      <w:lvlJc w:val="left"/>
      <w:pPr>
        <w:ind w:left="6108" w:hanging="360"/>
      </w:pPr>
      <w:rPr>
        <w:rFonts w:cs="Times New Roman"/>
      </w:rPr>
    </w:lvl>
    <w:lvl w:ilvl="8" w:tplc="041B001B" w:tentative="1">
      <w:start w:val="1"/>
      <w:numFmt w:val="lowerRoman"/>
      <w:lvlText w:val="%9."/>
      <w:lvlJc w:val="right"/>
      <w:pPr>
        <w:ind w:left="6828" w:hanging="180"/>
      </w:pPr>
      <w:rPr>
        <w:rFonts w:cs="Times New Roman"/>
      </w:rPr>
    </w:lvl>
  </w:abstractNum>
  <w:abstractNum w:abstractNumId="176" w15:restartNumberingAfterBreak="0">
    <w:nsid w:val="33DA7670"/>
    <w:multiLevelType w:val="hybridMultilevel"/>
    <w:tmpl w:val="07CA2E0E"/>
    <w:lvl w:ilvl="0" w:tplc="041B0017">
      <w:start w:val="1"/>
      <w:numFmt w:val="lowerLetter"/>
      <w:lvlText w:val="%1)"/>
      <w:lvlJc w:val="left"/>
      <w:pPr>
        <w:ind w:left="3552" w:hanging="360"/>
      </w:pPr>
      <w:rPr>
        <w:rFonts w:cs="Times New Roman" w:hint="default"/>
      </w:rPr>
    </w:lvl>
    <w:lvl w:ilvl="1" w:tplc="041B0003" w:tentative="1">
      <w:start w:val="1"/>
      <w:numFmt w:val="bullet"/>
      <w:lvlText w:val="o"/>
      <w:lvlJc w:val="left"/>
      <w:pPr>
        <w:ind w:left="4272" w:hanging="360"/>
      </w:pPr>
      <w:rPr>
        <w:rFonts w:ascii="Courier New" w:hAnsi="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177" w15:restartNumberingAfterBreak="0">
    <w:nsid w:val="3403249A"/>
    <w:multiLevelType w:val="hybridMultilevel"/>
    <w:tmpl w:val="05EC6B2A"/>
    <w:lvl w:ilvl="0" w:tplc="4664F600">
      <w:start w:val="1"/>
      <w:numFmt w:val="decimal"/>
      <w:lvlText w:val="%1."/>
      <w:lvlJc w:val="left"/>
      <w:pPr>
        <w:ind w:left="720" w:hanging="360"/>
      </w:pPr>
      <w:rPr>
        <w:rFonts w:cs="Times New Roman" w:hint="default"/>
        <w:b w:val="0"/>
        <w:i w:val="0"/>
      </w:rPr>
    </w:lvl>
    <w:lvl w:ilvl="1" w:tplc="8E6C2CDA">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8" w15:restartNumberingAfterBreak="0">
    <w:nsid w:val="347A5F7B"/>
    <w:multiLevelType w:val="hybridMultilevel"/>
    <w:tmpl w:val="52DE9966"/>
    <w:lvl w:ilvl="0" w:tplc="041B0011">
      <w:start w:val="1"/>
      <w:numFmt w:val="decimal"/>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79" w15:restartNumberingAfterBreak="0">
    <w:nsid w:val="35165970"/>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80" w15:restartNumberingAfterBreak="0">
    <w:nsid w:val="35262C49"/>
    <w:multiLevelType w:val="hybridMultilevel"/>
    <w:tmpl w:val="33FA81E0"/>
    <w:lvl w:ilvl="0" w:tplc="041B000F">
      <w:start w:val="1"/>
      <w:numFmt w:val="decimal"/>
      <w:lvlText w:val="%1."/>
      <w:lvlJc w:val="left"/>
      <w:pPr>
        <w:ind w:left="720" w:hanging="360"/>
      </w:pPr>
      <w:rPr>
        <w:rFonts w:cs="Times New Roman" w:hint="default"/>
        <w:sz w:val="24"/>
        <w:szCs w:val="24"/>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1" w15:restartNumberingAfterBreak="0">
    <w:nsid w:val="35B759F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2" w15:restartNumberingAfterBreak="0">
    <w:nsid w:val="35CD3E0E"/>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83" w15:restartNumberingAfterBreak="0">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4" w15:restartNumberingAfterBreak="0">
    <w:nsid w:val="36870B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85" w15:restartNumberingAfterBreak="0">
    <w:nsid w:val="36C14A3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86" w15:restartNumberingAfterBreak="0">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7" w15:restartNumberingAfterBreak="0">
    <w:nsid w:val="37656981"/>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8" w15:restartNumberingAfterBreak="0">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9" w15:restartNumberingAfterBreak="0">
    <w:nsid w:val="38332DDD"/>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90" w15:restartNumberingAfterBreak="0">
    <w:nsid w:val="387F25CF"/>
    <w:multiLevelType w:val="hybridMultilevel"/>
    <w:tmpl w:val="556EE9EA"/>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1" w15:restartNumberingAfterBreak="0">
    <w:nsid w:val="39035F64"/>
    <w:multiLevelType w:val="hybridMultilevel"/>
    <w:tmpl w:val="EF9818A4"/>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C99AD1F6">
      <w:start w:val="69"/>
      <w:numFmt w:val="decimal"/>
      <w:lvlText w:val="%3."/>
      <w:lvlJc w:val="left"/>
      <w:pPr>
        <w:ind w:left="2766" w:hanging="360"/>
      </w:pPr>
      <w:rPr>
        <w:rFonts w:cs="Times New Roman" w:hint="default"/>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192" w15:restartNumberingAfterBreak="0">
    <w:nsid w:val="390C4FB2"/>
    <w:multiLevelType w:val="hybridMultilevel"/>
    <w:tmpl w:val="EB128FF8"/>
    <w:lvl w:ilvl="0" w:tplc="041B000F">
      <w:start w:val="1"/>
      <w:numFmt w:val="decimal"/>
      <w:lvlText w:val="%1."/>
      <w:lvlJc w:val="left"/>
      <w:pPr>
        <w:tabs>
          <w:tab w:val="num" w:pos="360"/>
        </w:tabs>
        <w:ind w:left="360" w:hanging="360"/>
      </w:pPr>
      <w:rPr>
        <w:rFonts w:cs="Times New Roman"/>
      </w:r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hint="default"/>
      </w:rPr>
    </w:lvl>
    <w:lvl w:ilvl="3" w:tplc="5F42D948">
      <w:start w:val="1"/>
      <w:numFmt w:val="upperLetter"/>
      <w:lvlText w:val="%4."/>
      <w:lvlJc w:val="left"/>
      <w:pPr>
        <w:ind w:left="2520" w:hanging="360"/>
      </w:pPr>
      <w:rPr>
        <w:rFonts w:cs="Times New Roman" w:hint="default"/>
      </w:rPr>
    </w:lvl>
    <w:lvl w:ilvl="4" w:tplc="041B0019" w:tentative="1">
      <w:start w:val="1"/>
      <w:numFmt w:val="lowerLetter"/>
      <w:lvlText w:val="%5."/>
      <w:lvlJc w:val="left"/>
      <w:pPr>
        <w:tabs>
          <w:tab w:val="num" w:pos="3240"/>
        </w:tabs>
        <w:ind w:left="3240" w:hanging="360"/>
      </w:pPr>
      <w:rPr>
        <w:rFonts w:cs="Times New Roman"/>
      </w:rPr>
    </w:lvl>
    <w:lvl w:ilvl="5" w:tplc="041B001B" w:tentative="1">
      <w:start w:val="1"/>
      <w:numFmt w:val="lowerRoman"/>
      <w:lvlText w:val="%6."/>
      <w:lvlJc w:val="right"/>
      <w:pPr>
        <w:tabs>
          <w:tab w:val="num" w:pos="3960"/>
        </w:tabs>
        <w:ind w:left="3960" w:hanging="180"/>
      </w:pPr>
      <w:rPr>
        <w:rFonts w:cs="Times New Roman"/>
      </w:rPr>
    </w:lvl>
    <w:lvl w:ilvl="6" w:tplc="041B000F" w:tentative="1">
      <w:start w:val="1"/>
      <w:numFmt w:val="decimal"/>
      <w:lvlText w:val="%7."/>
      <w:lvlJc w:val="left"/>
      <w:pPr>
        <w:tabs>
          <w:tab w:val="num" w:pos="4680"/>
        </w:tabs>
        <w:ind w:left="4680" w:hanging="360"/>
      </w:pPr>
      <w:rPr>
        <w:rFonts w:cs="Times New Roman"/>
      </w:rPr>
    </w:lvl>
    <w:lvl w:ilvl="7" w:tplc="041B0019" w:tentative="1">
      <w:start w:val="1"/>
      <w:numFmt w:val="lowerLetter"/>
      <w:lvlText w:val="%8."/>
      <w:lvlJc w:val="left"/>
      <w:pPr>
        <w:tabs>
          <w:tab w:val="num" w:pos="5400"/>
        </w:tabs>
        <w:ind w:left="5400" w:hanging="360"/>
      </w:pPr>
      <w:rPr>
        <w:rFonts w:cs="Times New Roman"/>
      </w:rPr>
    </w:lvl>
    <w:lvl w:ilvl="8" w:tplc="041B001B" w:tentative="1">
      <w:start w:val="1"/>
      <w:numFmt w:val="lowerRoman"/>
      <w:lvlText w:val="%9."/>
      <w:lvlJc w:val="right"/>
      <w:pPr>
        <w:tabs>
          <w:tab w:val="num" w:pos="6120"/>
        </w:tabs>
        <w:ind w:left="6120" w:hanging="180"/>
      </w:pPr>
      <w:rPr>
        <w:rFonts w:cs="Times New Roman"/>
      </w:rPr>
    </w:lvl>
  </w:abstractNum>
  <w:abstractNum w:abstractNumId="193" w15:restartNumberingAfterBreak="0">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94" w15:restartNumberingAfterBreak="0">
    <w:nsid w:val="39831A70"/>
    <w:multiLevelType w:val="hybridMultilevel"/>
    <w:tmpl w:val="17404004"/>
    <w:lvl w:ilvl="0" w:tplc="F82AFA12">
      <w:start w:val="1"/>
      <w:numFmt w:val="lowerLetter"/>
      <w:lvlText w:val="%1)"/>
      <w:lvlJc w:val="left"/>
      <w:pPr>
        <w:ind w:left="831" w:hanging="360"/>
      </w:pPr>
      <w:rPr>
        <w:rFonts w:cs="Times New Roman" w:hint="default"/>
      </w:rPr>
    </w:lvl>
    <w:lvl w:ilvl="1" w:tplc="041B0019" w:tentative="1">
      <w:start w:val="1"/>
      <w:numFmt w:val="lowerLetter"/>
      <w:lvlText w:val="%2."/>
      <w:lvlJc w:val="left"/>
      <w:pPr>
        <w:ind w:left="1551" w:hanging="360"/>
      </w:pPr>
      <w:rPr>
        <w:rFonts w:cs="Times New Roman"/>
      </w:rPr>
    </w:lvl>
    <w:lvl w:ilvl="2" w:tplc="041B001B" w:tentative="1">
      <w:start w:val="1"/>
      <w:numFmt w:val="lowerRoman"/>
      <w:lvlText w:val="%3."/>
      <w:lvlJc w:val="right"/>
      <w:pPr>
        <w:ind w:left="2271" w:hanging="180"/>
      </w:pPr>
      <w:rPr>
        <w:rFonts w:cs="Times New Roman"/>
      </w:rPr>
    </w:lvl>
    <w:lvl w:ilvl="3" w:tplc="041B000F" w:tentative="1">
      <w:start w:val="1"/>
      <w:numFmt w:val="decimal"/>
      <w:lvlText w:val="%4."/>
      <w:lvlJc w:val="left"/>
      <w:pPr>
        <w:ind w:left="2991" w:hanging="360"/>
      </w:pPr>
      <w:rPr>
        <w:rFonts w:cs="Times New Roman"/>
      </w:rPr>
    </w:lvl>
    <w:lvl w:ilvl="4" w:tplc="041B0019" w:tentative="1">
      <w:start w:val="1"/>
      <w:numFmt w:val="lowerLetter"/>
      <w:lvlText w:val="%5."/>
      <w:lvlJc w:val="left"/>
      <w:pPr>
        <w:ind w:left="3711" w:hanging="360"/>
      </w:pPr>
      <w:rPr>
        <w:rFonts w:cs="Times New Roman"/>
      </w:rPr>
    </w:lvl>
    <w:lvl w:ilvl="5" w:tplc="041B001B" w:tentative="1">
      <w:start w:val="1"/>
      <w:numFmt w:val="lowerRoman"/>
      <w:lvlText w:val="%6."/>
      <w:lvlJc w:val="right"/>
      <w:pPr>
        <w:ind w:left="4431" w:hanging="180"/>
      </w:pPr>
      <w:rPr>
        <w:rFonts w:cs="Times New Roman"/>
      </w:rPr>
    </w:lvl>
    <w:lvl w:ilvl="6" w:tplc="041B000F" w:tentative="1">
      <w:start w:val="1"/>
      <w:numFmt w:val="decimal"/>
      <w:lvlText w:val="%7."/>
      <w:lvlJc w:val="left"/>
      <w:pPr>
        <w:ind w:left="5151" w:hanging="360"/>
      </w:pPr>
      <w:rPr>
        <w:rFonts w:cs="Times New Roman"/>
      </w:rPr>
    </w:lvl>
    <w:lvl w:ilvl="7" w:tplc="041B0019" w:tentative="1">
      <w:start w:val="1"/>
      <w:numFmt w:val="lowerLetter"/>
      <w:lvlText w:val="%8."/>
      <w:lvlJc w:val="left"/>
      <w:pPr>
        <w:ind w:left="5871" w:hanging="360"/>
      </w:pPr>
      <w:rPr>
        <w:rFonts w:cs="Times New Roman"/>
      </w:rPr>
    </w:lvl>
    <w:lvl w:ilvl="8" w:tplc="041B001B" w:tentative="1">
      <w:start w:val="1"/>
      <w:numFmt w:val="lowerRoman"/>
      <w:lvlText w:val="%9."/>
      <w:lvlJc w:val="right"/>
      <w:pPr>
        <w:ind w:left="6591" w:hanging="180"/>
      </w:pPr>
      <w:rPr>
        <w:rFonts w:cs="Times New Roman"/>
      </w:rPr>
    </w:lvl>
  </w:abstractNum>
  <w:abstractNum w:abstractNumId="195" w15:restartNumberingAfterBreak="0">
    <w:nsid w:val="3AB7440B"/>
    <w:multiLevelType w:val="hybridMultilevel"/>
    <w:tmpl w:val="A808BD2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6" w15:restartNumberingAfterBreak="0">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197" w15:restartNumberingAfterBreak="0">
    <w:nsid w:val="3AEB0363"/>
    <w:multiLevelType w:val="hybridMultilevel"/>
    <w:tmpl w:val="46BAA3B4"/>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98" w15:restartNumberingAfterBreak="0">
    <w:nsid w:val="3B6670E4"/>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199" w15:restartNumberingAfterBreak="0">
    <w:nsid w:val="3BA44826"/>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00" w15:restartNumberingAfterBreak="0">
    <w:nsid w:val="3CA11C6C"/>
    <w:multiLevelType w:val="hybridMultilevel"/>
    <w:tmpl w:val="0996155E"/>
    <w:lvl w:ilvl="0" w:tplc="75D04772">
      <w:start w:val="1"/>
      <w:numFmt w:val="decimal"/>
      <w:lvlText w:val="%1."/>
      <w:lvlJc w:val="left"/>
      <w:pPr>
        <w:ind w:left="1080" w:hanging="360"/>
      </w:pPr>
      <w:rPr>
        <w:rFonts w:cs="Times New Roman"/>
        <w:b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01" w15:restartNumberingAfterBreak="0">
    <w:nsid w:val="3CEE44F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02" w15:restartNumberingAfterBreak="0">
    <w:nsid w:val="3D005722"/>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3" w15:restartNumberingAfterBreak="0">
    <w:nsid w:val="3D2B67C4"/>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4" w15:restartNumberingAfterBreak="0">
    <w:nsid w:val="3DF7770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05" w15:restartNumberingAfterBreak="0">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6" w15:restartNumberingAfterBreak="0">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07" w15:restartNumberingAfterBreak="0">
    <w:nsid w:val="3E690298"/>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8" w15:restartNumberingAfterBreak="0">
    <w:nsid w:val="3E7C5C87"/>
    <w:multiLevelType w:val="hybridMultilevel"/>
    <w:tmpl w:val="C8AE62D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9" w15:restartNumberingAfterBreak="0">
    <w:nsid w:val="3EA5760D"/>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0" w15:restartNumberingAfterBreak="0">
    <w:nsid w:val="3EFA300B"/>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1" w15:restartNumberingAfterBreak="0">
    <w:nsid w:val="3F28174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2" w15:restartNumberingAfterBreak="0">
    <w:nsid w:val="3F456C84"/>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3" w15:restartNumberingAfterBreak="0">
    <w:nsid w:val="3F8D39E3"/>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14" w15:restartNumberingAfterBreak="0">
    <w:nsid w:val="3FC068C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15" w15:restartNumberingAfterBreak="0">
    <w:nsid w:val="3FEA227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16" w15:restartNumberingAfterBreak="0">
    <w:nsid w:val="4054111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7" w15:restartNumberingAfterBreak="0">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8" w15:restartNumberingAfterBreak="0">
    <w:nsid w:val="40DD19D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9" w15:restartNumberingAfterBreak="0">
    <w:nsid w:val="40E2516B"/>
    <w:multiLevelType w:val="hybridMultilevel"/>
    <w:tmpl w:val="7D2CA470"/>
    <w:lvl w:ilvl="0" w:tplc="6B6EB5D6">
      <w:start w:val="1"/>
      <w:numFmt w:val="lowerLetter"/>
      <w:lvlText w:val="%1)"/>
      <w:lvlJc w:val="left"/>
      <w:pPr>
        <w:ind w:left="144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0" w15:restartNumberingAfterBreak="0">
    <w:nsid w:val="41522E1C"/>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21" w15:restartNumberingAfterBreak="0">
    <w:nsid w:val="41B21A33"/>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22" w15:restartNumberingAfterBreak="0">
    <w:nsid w:val="41C8546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23" w15:restartNumberingAfterBreak="0">
    <w:nsid w:val="430852AB"/>
    <w:multiLevelType w:val="hybridMultilevel"/>
    <w:tmpl w:val="3D08D52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4" w15:restartNumberingAfterBreak="0">
    <w:nsid w:val="434860E6"/>
    <w:multiLevelType w:val="hybridMultilevel"/>
    <w:tmpl w:val="2356FBC8"/>
    <w:lvl w:ilvl="0" w:tplc="56F09CE0">
      <w:start w:val="1"/>
      <w:numFmt w:val="decimal"/>
      <w:lvlText w:val="%1."/>
      <w:lvlJc w:val="left"/>
      <w:pPr>
        <w:ind w:left="72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5" w15:restartNumberingAfterBreak="0">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6" w15:restartNumberingAfterBreak="0">
    <w:nsid w:val="43740297"/>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7" w15:restartNumberingAfterBreak="0">
    <w:nsid w:val="439F73E8"/>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8" w15:restartNumberingAfterBreak="0">
    <w:nsid w:val="43C06FE3"/>
    <w:multiLevelType w:val="hybridMultilevel"/>
    <w:tmpl w:val="2D1CFCC6"/>
    <w:lvl w:ilvl="0" w:tplc="CD66729C">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9" w15:restartNumberingAfterBreak="0">
    <w:nsid w:val="43C9298B"/>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30" w15:restartNumberingAfterBreak="0">
    <w:nsid w:val="44897DA9"/>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1" w15:restartNumberingAfterBreak="0">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2" w15:restartNumberingAfterBreak="0">
    <w:nsid w:val="44E712F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3" w15:restartNumberingAfterBreak="0">
    <w:nsid w:val="450474F8"/>
    <w:multiLevelType w:val="hybridMultilevel"/>
    <w:tmpl w:val="31D06022"/>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34" w15:restartNumberingAfterBreak="0">
    <w:nsid w:val="459829E1"/>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235" w15:restartNumberingAfterBreak="0">
    <w:nsid w:val="45E933E8"/>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6" w15:restartNumberingAfterBreak="0">
    <w:nsid w:val="45EA6BC6"/>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37" w15:restartNumberingAfterBreak="0">
    <w:nsid w:val="463A673D"/>
    <w:multiLevelType w:val="hybridMultilevel"/>
    <w:tmpl w:val="C8CCE33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041B0017">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8" w15:restartNumberingAfterBreak="0">
    <w:nsid w:val="465C0C9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39" w15:restartNumberingAfterBreak="0">
    <w:nsid w:val="468065B1"/>
    <w:multiLevelType w:val="hybridMultilevel"/>
    <w:tmpl w:val="0D3E77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0" w15:restartNumberingAfterBreak="0">
    <w:nsid w:val="46A02474"/>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41" w15:restartNumberingAfterBreak="0">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242" w15:restartNumberingAfterBreak="0">
    <w:nsid w:val="46D81CE2"/>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43" w15:restartNumberingAfterBreak="0">
    <w:nsid w:val="46E62AC1"/>
    <w:multiLevelType w:val="hybridMultilevel"/>
    <w:tmpl w:val="C58C1168"/>
    <w:lvl w:ilvl="0" w:tplc="041B0001">
      <w:start w:val="1"/>
      <w:numFmt w:val="bullet"/>
      <w:lvlText w:val=""/>
      <w:lvlJc w:val="left"/>
      <w:pPr>
        <w:ind w:left="774" w:hanging="360"/>
      </w:pPr>
      <w:rPr>
        <w:rFonts w:ascii="Symbol" w:hAnsi="Symbol" w:hint="default"/>
        <w:sz w:val="22"/>
      </w:rPr>
    </w:lvl>
    <w:lvl w:ilvl="1" w:tplc="041B0003" w:tentative="1">
      <w:start w:val="1"/>
      <w:numFmt w:val="bullet"/>
      <w:lvlText w:val="o"/>
      <w:lvlJc w:val="left"/>
      <w:pPr>
        <w:ind w:left="1494" w:hanging="360"/>
      </w:pPr>
      <w:rPr>
        <w:rFonts w:ascii="Courier New" w:hAnsi="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44" w15:restartNumberingAfterBreak="0">
    <w:nsid w:val="477E72B3"/>
    <w:multiLevelType w:val="hybridMultilevel"/>
    <w:tmpl w:val="34A05D46"/>
    <w:lvl w:ilvl="0" w:tplc="FF36808E">
      <w:start w:val="1"/>
      <w:numFmt w:val="decimal"/>
      <w:lvlText w:val="%1."/>
      <w:lvlJc w:val="left"/>
      <w:pPr>
        <w:ind w:left="786" w:hanging="360"/>
      </w:pPr>
      <w:rPr>
        <w:rFonts w:cs="Times New Roman"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5" w15:restartNumberingAfterBreak="0">
    <w:nsid w:val="4796107F"/>
    <w:multiLevelType w:val="hybridMultilevel"/>
    <w:tmpl w:val="5C28D106"/>
    <w:lvl w:ilvl="0" w:tplc="E732EA54">
      <w:start w:val="1"/>
      <w:numFmt w:val="decimal"/>
      <w:lvlText w:val="%1."/>
      <w:lvlJc w:val="left"/>
      <w:pPr>
        <w:ind w:left="3240" w:hanging="360"/>
      </w:pPr>
      <w:rPr>
        <w:rFonts w:cs="Times New Roman"/>
        <w:i w:val="0"/>
      </w:rPr>
    </w:lvl>
    <w:lvl w:ilvl="1" w:tplc="8858301E">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6" w15:restartNumberingAfterBreak="0">
    <w:nsid w:val="480F393A"/>
    <w:multiLevelType w:val="hybridMultilevel"/>
    <w:tmpl w:val="51CC531E"/>
    <w:lvl w:ilvl="0" w:tplc="2E56EE12">
      <w:start w:val="1"/>
      <w:numFmt w:val="decimal"/>
      <w:lvlText w:val="%1."/>
      <w:lvlJc w:val="left"/>
      <w:pPr>
        <w:ind w:left="36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7" w15:restartNumberingAfterBreak="0">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8" w15:restartNumberingAfterBreak="0">
    <w:nsid w:val="491C030A"/>
    <w:multiLevelType w:val="hybridMultilevel"/>
    <w:tmpl w:val="6C8001F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9" w15:restartNumberingAfterBreak="0">
    <w:nsid w:val="496E5099"/>
    <w:multiLevelType w:val="hybridMultilevel"/>
    <w:tmpl w:val="D534C4D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0" w15:restartNumberingAfterBreak="0">
    <w:nsid w:val="4A6C60F3"/>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51" w15:restartNumberingAfterBreak="0">
    <w:nsid w:val="4B0B3C33"/>
    <w:multiLevelType w:val="hybridMultilevel"/>
    <w:tmpl w:val="50648384"/>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52" w15:restartNumberingAfterBreak="0">
    <w:nsid w:val="4B45529A"/>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3" w15:restartNumberingAfterBreak="0">
    <w:nsid w:val="4C883663"/>
    <w:multiLevelType w:val="hybridMultilevel"/>
    <w:tmpl w:val="CF7449B0"/>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4" w15:restartNumberingAfterBreak="0">
    <w:nsid w:val="4CB16EF9"/>
    <w:multiLevelType w:val="hybridMultilevel"/>
    <w:tmpl w:val="1B528CDC"/>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55" w15:restartNumberingAfterBreak="0">
    <w:nsid w:val="4CF81BE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56" w15:restartNumberingAfterBreak="0">
    <w:nsid w:val="4D131431"/>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57" w15:restartNumberingAfterBreak="0">
    <w:nsid w:val="4D3F2807"/>
    <w:multiLevelType w:val="hybridMultilevel"/>
    <w:tmpl w:val="94643D92"/>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8" w15:restartNumberingAfterBreak="0">
    <w:nsid w:val="4DCB29A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59" w15:restartNumberingAfterBreak="0">
    <w:nsid w:val="4DE62D98"/>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60" w15:restartNumberingAfterBreak="0">
    <w:nsid w:val="4DEA41A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61" w15:restartNumberingAfterBreak="0">
    <w:nsid w:val="4EFA0426"/>
    <w:multiLevelType w:val="hybridMultilevel"/>
    <w:tmpl w:val="80A6CA84"/>
    <w:lvl w:ilvl="0" w:tplc="B2BA187A">
      <w:start w:val="1"/>
      <w:numFmt w:val="decimal"/>
      <w:lvlText w:val="%1."/>
      <w:lvlJc w:val="left"/>
      <w:pPr>
        <w:ind w:left="1065" w:hanging="360"/>
      </w:pPr>
      <w:rPr>
        <w:rFonts w:cs="Times New Roman" w:hint="default"/>
      </w:rPr>
    </w:lvl>
    <w:lvl w:ilvl="1" w:tplc="041B0019">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262" w15:restartNumberingAfterBreak="0">
    <w:nsid w:val="503D711A"/>
    <w:multiLevelType w:val="multilevel"/>
    <w:tmpl w:val="23F60E94"/>
    <w:lvl w:ilvl="0">
      <w:start w:val="1"/>
      <w:numFmt w:val="decimal"/>
      <w:lvlText w:val="%1."/>
      <w:lvlJc w:val="left"/>
      <w:pPr>
        <w:ind w:left="720" w:hanging="360"/>
      </w:pPr>
      <w:rPr>
        <w:rFonts w:ascii="Times New Roman" w:hAnsi="Times New Roman" w:cs="Times New Roman" w:hint="default"/>
        <w:sz w:val="24"/>
        <w:szCs w:val="24"/>
      </w:rPr>
    </w:lvl>
    <w:lvl w:ilvl="1">
      <w:start w:val="2"/>
      <w:numFmt w:val="decimal"/>
      <w:isLgl/>
      <w:lvlText w:val="%1.%2"/>
      <w:lvlJc w:val="left"/>
      <w:pPr>
        <w:ind w:left="1020" w:hanging="660"/>
      </w:pPr>
      <w:rPr>
        <w:rFonts w:cs="Times New Roman" w:hint="default"/>
      </w:rPr>
    </w:lvl>
    <w:lvl w:ilvl="2">
      <w:start w:val="1"/>
      <w:numFmt w:val="decimal"/>
      <w:isLgl/>
      <w:lvlText w:val="%1.%2.%3"/>
      <w:lvlJc w:val="left"/>
      <w:pPr>
        <w:ind w:left="1080" w:hanging="720"/>
      </w:pPr>
      <w:rPr>
        <w:rFonts w:cs="Times New Roman" w:hint="default"/>
      </w:rPr>
    </w:lvl>
    <w:lvl w:ilvl="3">
      <w:start w:val="2"/>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63" w15:restartNumberingAfterBreak="0">
    <w:nsid w:val="506216EA"/>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4" w15:restartNumberingAfterBreak="0">
    <w:nsid w:val="51C66BCE"/>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65" w15:restartNumberingAfterBreak="0">
    <w:nsid w:val="51EA368E"/>
    <w:multiLevelType w:val="hybridMultilevel"/>
    <w:tmpl w:val="303CE27A"/>
    <w:lvl w:ilvl="0" w:tplc="041B0017">
      <w:start w:val="1"/>
      <w:numFmt w:val="lowerLetter"/>
      <w:lvlText w:val="%1)"/>
      <w:lvlJc w:val="left"/>
      <w:pPr>
        <w:ind w:left="1494" w:hanging="360"/>
      </w:pPr>
      <w:rPr>
        <w:rFonts w:cs="Times New Roman"/>
      </w:rPr>
    </w:lvl>
    <w:lvl w:ilvl="1" w:tplc="041B0019" w:tentative="1">
      <w:start w:val="1"/>
      <w:numFmt w:val="lowerLetter"/>
      <w:lvlText w:val="%2."/>
      <w:lvlJc w:val="left"/>
      <w:pPr>
        <w:ind w:left="2214" w:hanging="360"/>
      </w:pPr>
      <w:rPr>
        <w:rFonts w:cs="Times New Roman"/>
      </w:rPr>
    </w:lvl>
    <w:lvl w:ilvl="2" w:tplc="041B001B" w:tentative="1">
      <w:start w:val="1"/>
      <w:numFmt w:val="lowerRoman"/>
      <w:lvlText w:val="%3."/>
      <w:lvlJc w:val="right"/>
      <w:pPr>
        <w:ind w:left="2934" w:hanging="180"/>
      </w:pPr>
      <w:rPr>
        <w:rFonts w:cs="Times New Roman"/>
      </w:rPr>
    </w:lvl>
    <w:lvl w:ilvl="3" w:tplc="041B000F" w:tentative="1">
      <w:start w:val="1"/>
      <w:numFmt w:val="decimal"/>
      <w:lvlText w:val="%4."/>
      <w:lvlJc w:val="left"/>
      <w:pPr>
        <w:ind w:left="3654" w:hanging="360"/>
      </w:pPr>
      <w:rPr>
        <w:rFonts w:cs="Times New Roman"/>
      </w:rPr>
    </w:lvl>
    <w:lvl w:ilvl="4" w:tplc="041B0019" w:tentative="1">
      <w:start w:val="1"/>
      <w:numFmt w:val="lowerLetter"/>
      <w:lvlText w:val="%5."/>
      <w:lvlJc w:val="left"/>
      <w:pPr>
        <w:ind w:left="4374" w:hanging="360"/>
      </w:pPr>
      <w:rPr>
        <w:rFonts w:cs="Times New Roman"/>
      </w:rPr>
    </w:lvl>
    <w:lvl w:ilvl="5" w:tplc="041B001B" w:tentative="1">
      <w:start w:val="1"/>
      <w:numFmt w:val="lowerRoman"/>
      <w:lvlText w:val="%6."/>
      <w:lvlJc w:val="right"/>
      <w:pPr>
        <w:ind w:left="5094" w:hanging="180"/>
      </w:pPr>
      <w:rPr>
        <w:rFonts w:cs="Times New Roman"/>
      </w:rPr>
    </w:lvl>
    <w:lvl w:ilvl="6" w:tplc="041B000F" w:tentative="1">
      <w:start w:val="1"/>
      <w:numFmt w:val="decimal"/>
      <w:lvlText w:val="%7."/>
      <w:lvlJc w:val="left"/>
      <w:pPr>
        <w:ind w:left="5814" w:hanging="360"/>
      </w:pPr>
      <w:rPr>
        <w:rFonts w:cs="Times New Roman"/>
      </w:rPr>
    </w:lvl>
    <w:lvl w:ilvl="7" w:tplc="041B0019" w:tentative="1">
      <w:start w:val="1"/>
      <w:numFmt w:val="lowerLetter"/>
      <w:lvlText w:val="%8."/>
      <w:lvlJc w:val="left"/>
      <w:pPr>
        <w:ind w:left="6534" w:hanging="360"/>
      </w:pPr>
      <w:rPr>
        <w:rFonts w:cs="Times New Roman"/>
      </w:rPr>
    </w:lvl>
    <w:lvl w:ilvl="8" w:tplc="041B001B" w:tentative="1">
      <w:start w:val="1"/>
      <w:numFmt w:val="lowerRoman"/>
      <w:lvlText w:val="%9."/>
      <w:lvlJc w:val="right"/>
      <w:pPr>
        <w:ind w:left="7254" w:hanging="180"/>
      </w:pPr>
      <w:rPr>
        <w:rFonts w:cs="Times New Roman"/>
      </w:rPr>
    </w:lvl>
  </w:abstractNum>
  <w:abstractNum w:abstractNumId="266" w15:restartNumberingAfterBreak="0">
    <w:nsid w:val="52030531"/>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67" w15:restartNumberingAfterBreak="0">
    <w:nsid w:val="521C4DB1"/>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8" w15:restartNumberingAfterBreak="0">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9" w15:restartNumberingAfterBreak="0">
    <w:nsid w:val="525D013C"/>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70" w15:restartNumberingAfterBreak="0">
    <w:nsid w:val="52CA44D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71" w15:restartNumberingAfterBreak="0">
    <w:nsid w:val="53D4227D"/>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2" w15:restartNumberingAfterBreak="0">
    <w:nsid w:val="5457527C"/>
    <w:multiLevelType w:val="hybridMultilevel"/>
    <w:tmpl w:val="06C87C40"/>
    <w:lvl w:ilvl="0" w:tplc="AFEC7C9C">
      <w:start w:val="1"/>
      <w:numFmt w:val="lowerLetter"/>
      <w:lvlText w:val="%1)"/>
      <w:lvlJc w:val="left"/>
      <w:pPr>
        <w:ind w:left="1069" w:hanging="360"/>
      </w:pPr>
      <w:rPr>
        <w:rFonts w:cs="Times New Roman" w:hint="default"/>
      </w:rPr>
    </w:lvl>
    <w:lvl w:ilvl="1" w:tplc="041B0019">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3" w15:restartNumberingAfterBreak="0">
    <w:nsid w:val="54977F77"/>
    <w:multiLevelType w:val="hybridMultilevel"/>
    <w:tmpl w:val="AC409AB8"/>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74" w15:restartNumberingAfterBreak="0">
    <w:nsid w:val="558922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5" w15:restartNumberingAfterBreak="0">
    <w:nsid w:val="56096301"/>
    <w:multiLevelType w:val="hybridMultilevel"/>
    <w:tmpl w:val="1D20B8D0"/>
    <w:lvl w:ilvl="0" w:tplc="041B000F">
      <w:start w:val="1"/>
      <w:numFmt w:val="decimal"/>
      <w:lvlText w:val="%1."/>
      <w:lvlJc w:val="left"/>
      <w:pPr>
        <w:ind w:left="1428" w:hanging="360"/>
      </w:pPr>
      <w:rPr>
        <w:rFonts w:cs="Times New Roman"/>
      </w:rPr>
    </w:lvl>
    <w:lvl w:ilvl="1" w:tplc="BA225964">
      <w:start w:val="1"/>
      <w:numFmt w:val="lowerLetter"/>
      <w:lvlText w:val="%2)"/>
      <w:lvlJc w:val="left"/>
      <w:pPr>
        <w:ind w:left="2148" w:hanging="360"/>
      </w:pPr>
      <w:rPr>
        <w:rFonts w:cs="Times New Roman" w:hint="default"/>
      </w:rPr>
    </w:lvl>
    <w:lvl w:ilvl="2" w:tplc="041B001B">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276" w15:restartNumberingAfterBreak="0">
    <w:nsid w:val="568B4DD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7" w15:restartNumberingAfterBreak="0">
    <w:nsid w:val="57AC35E7"/>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8" w15:restartNumberingAfterBreak="0">
    <w:nsid w:val="57F87F0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79" w15:restartNumberingAfterBreak="0">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80" w15:restartNumberingAfterBreak="0">
    <w:nsid w:val="59A30926"/>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1" w15:restartNumberingAfterBreak="0">
    <w:nsid w:val="59AD12B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2" w15:restartNumberingAfterBreak="0">
    <w:nsid w:val="59E732DB"/>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3" w15:restartNumberingAfterBreak="0">
    <w:nsid w:val="5AC32D3D"/>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84" w15:restartNumberingAfterBreak="0">
    <w:nsid w:val="5AD56F85"/>
    <w:multiLevelType w:val="hybridMultilevel"/>
    <w:tmpl w:val="35D6BF7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85" w15:restartNumberingAfterBreak="0">
    <w:nsid w:val="5AFF2B7F"/>
    <w:multiLevelType w:val="hybridMultilevel"/>
    <w:tmpl w:val="B29220D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86" w15:restartNumberingAfterBreak="0">
    <w:nsid w:val="5B2F5647"/>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87" w15:restartNumberingAfterBreak="0">
    <w:nsid w:val="5B6215EF"/>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288" w15:restartNumberingAfterBreak="0">
    <w:nsid w:val="5BA75D7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89" w15:restartNumberingAfterBreak="0">
    <w:nsid w:val="5BC4454A"/>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90" w15:restartNumberingAfterBreak="0">
    <w:nsid w:val="5BE237CB"/>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1" w15:restartNumberingAfterBreak="0">
    <w:nsid w:val="5C102803"/>
    <w:multiLevelType w:val="hybridMultilevel"/>
    <w:tmpl w:val="69426EEC"/>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2" w15:restartNumberingAfterBreak="0">
    <w:nsid w:val="5CF1657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93" w15:restartNumberingAfterBreak="0">
    <w:nsid w:val="5D35082C"/>
    <w:multiLevelType w:val="hybridMultilevel"/>
    <w:tmpl w:val="D466C8EA"/>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94" w15:restartNumberingAfterBreak="0">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95" w15:restartNumberingAfterBreak="0">
    <w:nsid w:val="5DAC6316"/>
    <w:multiLevelType w:val="hybridMultilevel"/>
    <w:tmpl w:val="76F0519A"/>
    <w:lvl w:ilvl="0" w:tplc="1104368E">
      <w:start w:val="1"/>
      <w:numFmt w:val="lowerLetter"/>
      <w:lvlText w:val="%1)"/>
      <w:lvlJc w:val="left"/>
      <w:pPr>
        <w:ind w:left="720" w:hanging="360"/>
      </w:pPr>
      <w:rPr>
        <w:rFonts w:cs="Times New Roman"/>
        <w:i/>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6" w15:restartNumberingAfterBreak="0">
    <w:nsid w:val="5E2D3C77"/>
    <w:multiLevelType w:val="hybridMultilevel"/>
    <w:tmpl w:val="A6F0CE82"/>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7" w15:restartNumberingAfterBreak="0">
    <w:nsid w:val="5E466D84"/>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298" w15:restartNumberingAfterBreak="0">
    <w:nsid w:val="5ECA362F"/>
    <w:multiLevelType w:val="hybridMultilevel"/>
    <w:tmpl w:val="F1504E46"/>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9" w15:restartNumberingAfterBreak="0">
    <w:nsid w:val="5FBF677C"/>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0" w15:restartNumberingAfterBreak="0">
    <w:nsid w:val="60014FC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1" w15:restartNumberingAfterBreak="0">
    <w:nsid w:val="605B4D4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2" w15:restartNumberingAfterBreak="0">
    <w:nsid w:val="60AC688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3" w15:restartNumberingAfterBreak="0">
    <w:nsid w:val="61041602"/>
    <w:multiLevelType w:val="hybridMultilevel"/>
    <w:tmpl w:val="EC96E4EA"/>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4" w15:restartNumberingAfterBreak="0">
    <w:nsid w:val="6158472D"/>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5" w15:restartNumberingAfterBreak="0">
    <w:nsid w:val="6196721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6" w15:restartNumberingAfterBreak="0">
    <w:nsid w:val="61D870E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7" w15:restartNumberingAfterBreak="0">
    <w:nsid w:val="62774B1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8" w15:restartNumberingAfterBreak="0">
    <w:nsid w:val="6289693E"/>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9" w15:restartNumberingAfterBreak="0">
    <w:nsid w:val="62F2196A"/>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10" w15:restartNumberingAfterBreak="0">
    <w:nsid w:val="639B7EE5"/>
    <w:multiLevelType w:val="hybridMultilevel"/>
    <w:tmpl w:val="CE8A128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1" w15:restartNumberingAfterBreak="0">
    <w:nsid w:val="63B55DE0"/>
    <w:multiLevelType w:val="hybridMultilevel"/>
    <w:tmpl w:val="2A6A6F3E"/>
    <w:lvl w:ilvl="0" w:tplc="041B0017">
      <w:start w:val="1"/>
      <w:numFmt w:val="lowerLetter"/>
      <w:lvlText w:val="%1)"/>
      <w:lvlJc w:val="left"/>
      <w:pPr>
        <w:ind w:left="2880" w:hanging="360"/>
      </w:pPr>
      <w:rPr>
        <w:rFonts w:cs="Times New Roman"/>
      </w:rPr>
    </w:lvl>
    <w:lvl w:ilvl="1" w:tplc="041B0017">
      <w:start w:val="1"/>
      <w:numFmt w:val="lowerLetter"/>
      <w:lvlText w:val="%2)"/>
      <w:lvlJc w:val="left"/>
      <w:pPr>
        <w:ind w:left="3600" w:hanging="360"/>
      </w:pPr>
      <w:rPr>
        <w:rFonts w:cs="Times New Roman"/>
      </w:rPr>
    </w:lvl>
    <w:lvl w:ilvl="2" w:tplc="041B001B" w:tentative="1">
      <w:start w:val="1"/>
      <w:numFmt w:val="lowerRoman"/>
      <w:lvlText w:val="%3."/>
      <w:lvlJc w:val="right"/>
      <w:pPr>
        <w:ind w:left="4320" w:hanging="180"/>
      </w:pPr>
      <w:rPr>
        <w:rFonts w:cs="Times New Roman"/>
      </w:rPr>
    </w:lvl>
    <w:lvl w:ilvl="3" w:tplc="041B000F" w:tentative="1">
      <w:start w:val="1"/>
      <w:numFmt w:val="decimal"/>
      <w:lvlText w:val="%4."/>
      <w:lvlJc w:val="left"/>
      <w:pPr>
        <w:ind w:left="5040" w:hanging="360"/>
      </w:pPr>
      <w:rPr>
        <w:rFonts w:cs="Times New Roman"/>
      </w:rPr>
    </w:lvl>
    <w:lvl w:ilvl="4" w:tplc="041B0019" w:tentative="1">
      <w:start w:val="1"/>
      <w:numFmt w:val="lowerLetter"/>
      <w:lvlText w:val="%5."/>
      <w:lvlJc w:val="left"/>
      <w:pPr>
        <w:ind w:left="5760" w:hanging="360"/>
      </w:pPr>
      <w:rPr>
        <w:rFonts w:cs="Times New Roman"/>
      </w:rPr>
    </w:lvl>
    <w:lvl w:ilvl="5" w:tplc="041B001B" w:tentative="1">
      <w:start w:val="1"/>
      <w:numFmt w:val="lowerRoman"/>
      <w:lvlText w:val="%6."/>
      <w:lvlJc w:val="right"/>
      <w:pPr>
        <w:ind w:left="6480" w:hanging="180"/>
      </w:pPr>
      <w:rPr>
        <w:rFonts w:cs="Times New Roman"/>
      </w:rPr>
    </w:lvl>
    <w:lvl w:ilvl="6" w:tplc="041B000F" w:tentative="1">
      <w:start w:val="1"/>
      <w:numFmt w:val="decimal"/>
      <w:lvlText w:val="%7."/>
      <w:lvlJc w:val="left"/>
      <w:pPr>
        <w:ind w:left="7200" w:hanging="360"/>
      </w:pPr>
      <w:rPr>
        <w:rFonts w:cs="Times New Roman"/>
      </w:rPr>
    </w:lvl>
    <w:lvl w:ilvl="7" w:tplc="041B0019" w:tentative="1">
      <w:start w:val="1"/>
      <w:numFmt w:val="lowerLetter"/>
      <w:lvlText w:val="%8."/>
      <w:lvlJc w:val="left"/>
      <w:pPr>
        <w:ind w:left="7920" w:hanging="360"/>
      </w:pPr>
      <w:rPr>
        <w:rFonts w:cs="Times New Roman"/>
      </w:rPr>
    </w:lvl>
    <w:lvl w:ilvl="8" w:tplc="041B001B" w:tentative="1">
      <w:start w:val="1"/>
      <w:numFmt w:val="lowerRoman"/>
      <w:lvlText w:val="%9."/>
      <w:lvlJc w:val="right"/>
      <w:pPr>
        <w:ind w:left="8640" w:hanging="180"/>
      </w:pPr>
      <w:rPr>
        <w:rFonts w:cs="Times New Roman"/>
      </w:rPr>
    </w:lvl>
  </w:abstractNum>
  <w:abstractNum w:abstractNumId="312" w15:restartNumberingAfterBreak="0">
    <w:nsid w:val="63B90B44"/>
    <w:multiLevelType w:val="hybridMultilevel"/>
    <w:tmpl w:val="B96AB8B0"/>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3" w15:restartNumberingAfterBreak="0">
    <w:nsid w:val="63C84E1E"/>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14" w15:restartNumberingAfterBreak="0">
    <w:nsid w:val="643C2558"/>
    <w:multiLevelType w:val="hybridMultilevel"/>
    <w:tmpl w:val="B38A346C"/>
    <w:lvl w:ilvl="0" w:tplc="041B000F">
      <w:start w:val="1"/>
      <w:numFmt w:val="decimal"/>
      <w:lvlText w:val="%1."/>
      <w:lvlJc w:val="left"/>
      <w:pPr>
        <w:ind w:left="1080" w:hanging="360"/>
      </w:pPr>
      <w:rPr>
        <w:rFonts w:cs="Times New Roman"/>
        <w:b w:val="0"/>
        <w:i w:val="0"/>
      </w:rPr>
    </w:lvl>
    <w:lvl w:ilvl="1" w:tplc="20B064AC">
      <w:start w:val="1"/>
      <w:numFmt w:val="lowerLetter"/>
      <w:lvlText w:val="%2."/>
      <w:lvlJc w:val="left"/>
      <w:pPr>
        <w:ind w:left="1800" w:hanging="360"/>
      </w:pPr>
      <w:rPr>
        <w:rFonts w:cs="Times New Roman"/>
        <w:b w:val="0"/>
      </w:rPr>
    </w:lvl>
    <w:lvl w:ilvl="2" w:tplc="041B0011">
      <w:start w:val="1"/>
      <w:numFmt w:val="decimal"/>
      <w:lvlText w:val="%3)"/>
      <w:lvlJc w:val="lef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15" w15:restartNumberingAfterBreak="0">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16" w15:restartNumberingAfterBreak="0">
    <w:nsid w:val="6477729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17" w15:restartNumberingAfterBreak="0">
    <w:nsid w:val="648512FE"/>
    <w:multiLevelType w:val="hybridMultilevel"/>
    <w:tmpl w:val="B4C691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8" w15:restartNumberingAfterBreak="0">
    <w:nsid w:val="649C745D"/>
    <w:multiLevelType w:val="singleLevel"/>
    <w:tmpl w:val="04050017"/>
    <w:lvl w:ilvl="0">
      <w:start w:val="1"/>
      <w:numFmt w:val="lowerLetter"/>
      <w:lvlText w:val="%1)"/>
      <w:lvlJc w:val="left"/>
      <w:pPr>
        <w:tabs>
          <w:tab w:val="num" w:pos="360"/>
        </w:tabs>
        <w:ind w:left="360" w:hanging="360"/>
      </w:pPr>
      <w:rPr>
        <w:rFonts w:cs="Times New Roman"/>
      </w:rPr>
    </w:lvl>
  </w:abstractNum>
  <w:abstractNum w:abstractNumId="319" w15:restartNumberingAfterBreak="0">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20" w15:restartNumberingAfterBreak="0">
    <w:nsid w:val="65CD44CD"/>
    <w:multiLevelType w:val="hybridMultilevel"/>
    <w:tmpl w:val="FB48AD16"/>
    <w:lvl w:ilvl="0" w:tplc="96ACE564">
      <w:start w:val="1"/>
      <w:numFmt w:val="decimal"/>
      <w:lvlText w:val="%1."/>
      <w:lvlJc w:val="left"/>
      <w:pPr>
        <w:ind w:left="720" w:hanging="360"/>
      </w:pPr>
      <w:rPr>
        <w:rFonts w:cs="Times New Roman"/>
        <w:color w:val="auto"/>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1" w15:restartNumberingAfterBreak="0">
    <w:nsid w:val="65E14708"/>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2" w15:restartNumberingAfterBreak="0">
    <w:nsid w:val="66010AF8"/>
    <w:multiLevelType w:val="hybridMultilevel"/>
    <w:tmpl w:val="34AC162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3" w15:restartNumberingAfterBreak="0">
    <w:nsid w:val="666E43C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4" w15:restartNumberingAfterBreak="0">
    <w:nsid w:val="66CB57F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25" w15:restartNumberingAfterBreak="0">
    <w:nsid w:val="6708684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26" w15:restartNumberingAfterBreak="0">
    <w:nsid w:val="673406B0"/>
    <w:multiLevelType w:val="hybridMultilevel"/>
    <w:tmpl w:val="3B00CB80"/>
    <w:lvl w:ilvl="0" w:tplc="1E863E60">
      <w:start w:val="1"/>
      <w:numFmt w:val="lowerLetter"/>
      <w:lvlText w:val="%1)"/>
      <w:lvlJc w:val="left"/>
      <w:pPr>
        <w:ind w:left="1211" w:hanging="360"/>
      </w:pPr>
      <w:rPr>
        <w:rFonts w:cs="Times New Roman" w:hint="default"/>
      </w:rPr>
    </w:lvl>
    <w:lvl w:ilvl="1" w:tplc="041B0019" w:tentative="1">
      <w:start w:val="1"/>
      <w:numFmt w:val="lowerLetter"/>
      <w:lvlText w:val="%2."/>
      <w:lvlJc w:val="left"/>
      <w:pPr>
        <w:ind w:left="1931" w:hanging="360"/>
      </w:pPr>
      <w:rPr>
        <w:rFonts w:cs="Times New Roman"/>
      </w:rPr>
    </w:lvl>
    <w:lvl w:ilvl="2" w:tplc="041B001B" w:tentative="1">
      <w:start w:val="1"/>
      <w:numFmt w:val="lowerRoman"/>
      <w:lvlText w:val="%3."/>
      <w:lvlJc w:val="right"/>
      <w:pPr>
        <w:ind w:left="2651" w:hanging="180"/>
      </w:pPr>
      <w:rPr>
        <w:rFonts w:cs="Times New Roman"/>
      </w:rPr>
    </w:lvl>
    <w:lvl w:ilvl="3" w:tplc="041B000F" w:tentative="1">
      <w:start w:val="1"/>
      <w:numFmt w:val="decimal"/>
      <w:lvlText w:val="%4."/>
      <w:lvlJc w:val="left"/>
      <w:pPr>
        <w:ind w:left="3371" w:hanging="360"/>
      </w:pPr>
      <w:rPr>
        <w:rFonts w:cs="Times New Roman"/>
      </w:rPr>
    </w:lvl>
    <w:lvl w:ilvl="4" w:tplc="041B0019" w:tentative="1">
      <w:start w:val="1"/>
      <w:numFmt w:val="lowerLetter"/>
      <w:lvlText w:val="%5."/>
      <w:lvlJc w:val="left"/>
      <w:pPr>
        <w:ind w:left="4091" w:hanging="360"/>
      </w:pPr>
      <w:rPr>
        <w:rFonts w:cs="Times New Roman"/>
      </w:rPr>
    </w:lvl>
    <w:lvl w:ilvl="5" w:tplc="041B001B" w:tentative="1">
      <w:start w:val="1"/>
      <w:numFmt w:val="lowerRoman"/>
      <w:lvlText w:val="%6."/>
      <w:lvlJc w:val="right"/>
      <w:pPr>
        <w:ind w:left="4811" w:hanging="180"/>
      </w:pPr>
      <w:rPr>
        <w:rFonts w:cs="Times New Roman"/>
      </w:rPr>
    </w:lvl>
    <w:lvl w:ilvl="6" w:tplc="041B000F" w:tentative="1">
      <w:start w:val="1"/>
      <w:numFmt w:val="decimal"/>
      <w:lvlText w:val="%7."/>
      <w:lvlJc w:val="left"/>
      <w:pPr>
        <w:ind w:left="5531" w:hanging="360"/>
      </w:pPr>
      <w:rPr>
        <w:rFonts w:cs="Times New Roman"/>
      </w:rPr>
    </w:lvl>
    <w:lvl w:ilvl="7" w:tplc="041B0019" w:tentative="1">
      <w:start w:val="1"/>
      <w:numFmt w:val="lowerLetter"/>
      <w:lvlText w:val="%8."/>
      <w:lvlJc w:val="left"/>
      <w:pPr>
        <w:ind w:left="6251" w:hanging="360"/>
      </w:pPr>
      <w:rPr>
        <w:rFonts w:cs="Times New Roman"/>
      </w:rPr>
    </w:lvl>
    <w:lvl w:ilvl="8" w:tplc="041B001B" w:tentative="1">
      <w:start w:val="1"/>
      <w:numFmt w:val="lowerRoman"/>
      <w:lvlText w:val="%9."/>
      <w:lvlJc w:val="right"/>
      <w:pPr>
        <w:ind w:left="6971" w:hanging="180"/>
      </w:pPr>
      <w:rPr>
        <w:rFonts w:cs="Times New Roman"/>
      </w:rPr>
    </w:lvl>
  </w:abstractNum>
  <w:abstractNum w:abstractNumId="327" w15:restartNumberingAfterBreak="0">
    <w:nsid w:val="678B19E9"/>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28" w15:restartNumberingAfterBreak="0">
    <w:nsid w:val="67BA088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29" w15:restartNumberingAfterBreak="0">
    <w:nsid w:val="68055E7D"/>
    <w:multiLevelType w:val="hybridMultilevel"/>
    <w:tmpl w:val="6E785F7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0" w15:restartNumberingAfterBreak="0">
    <w:nsid w:val="687926B4"/>
    <w:multiLevelType w:val="hybridMultilevel"/>
    <w:tmpl w:val="83A01586"/>
    <w:lvl w:ilvl="0" w:tplc="041B0011">
      <w:start w:val="1"/>
      <w:numFmt w:val="decimal"/>
      <w:lvlText w:val="%1)"/>
      <w:lvlJc w:val="left"/>
      <w:pPr>
        <w:ind w:left="720" w:hanging="360"/>
      </w:pPr>
      <w:rPr>
        <w:rFonts w:cs="Times New Roman"/>
      </w:rPr>
    </w:lvl>
    <w:lvl w:ilvl="1" w:tplc="041B0011">
      <w:start w:val="1"/>
      <w:numFmt w:val="decimal"/>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1" w15:restartNumberingAfterBreak="0">
    <w:nsid w:val="68793BD2"/>
    <w:multiLevelType w:val="hybridMultilevel"/>
    <w:tmpl w:val="4DD43B28"/>
    <w:lvl w:ilvl="0" w:tplc="041B000F">
      <w:start w:val="1"/>
      <w:numFmt w:val="decimal"/>
      <w:lvlText w:val="%1."/>
      <w:lvlJc w:val="left"/>
      <w:pPr>
        <w:ind w:left="780" w:hanging="360"/>
      </w:pPr>
      <w:rPr>
        <w:rFonts w:cs="Times New Roman"/>
      </w:rPr>
    </w:lvl>
    <w:lvl w:ilvl="1" w:tplc="041B0019" w:tentative="1">
      <w:start w:val="1"/>
      <w:numFmt w:val="lowerLetter"/>
      <w:lvlText w:val="%2."/>
      <w:lvlJc w:val="left"/>
      <w:pPr>
        <w:ind w:left="1500" w:hanging="360"/>
      </w:pPr>
      <w:rPr>
        <w:rFonts w:cs="Times New Roman"/>
      </w:rPr>
    </w:lvl>
    <w:lvl w:ilvl="2" w:tplc="041B001B" w:tentative="1">
      <w:start w:val="1"/>
      <w:numFmt w:val="lowerRoman"/>
      <w:lvlText w:val="%3."/>
      <w:lvlJc w:val="right"/>
      <w:pPr>
        <w:ind w:left="2220" w:hanging="180"/>
      </w:pPr>
      <w:rPr>
        <w:rFonts w:cs="Times New Roman"/>
      </w:rPr>
    </w:lvl>
    <w:lvl w:ilvl="3" w:tplc="041B000F" w:tentative="1">
      <w:start w:val="1"/>
      <w:numFmt w:val="decimal"/>
      <w:lvlText w:val="%4."/>
      <w:lvlJc w:val="left"/>
      <w:pPr>
        <w:ind w:left="2940" w:hanging="360"/>
      </w:pPr>
      <w:rPr>
        <w:rFonts w:cs="Times New Roman"/>
      </w:rPr>
    </w:lvl>
    <w:lvl w:ilvl="4" w:tplc="041B0019" w:tentative="1">
      <w:start w:val="1"/>
      <w:numFmt w:val="lowerLetter"/>
      <w:lvlText w:val="%5."/>
      <w:lvlJc w:val="left"/>
      <w:pPr>
        <w:ind w:left="3660" w:hanging="360"/>
      </w:pPr>
      <w:rPr>
        <w:rFonts w:cs="Times New Roman"/>
      </w:rPr>
    </w:lvl>
    <w:lvl w:ilvl="5" w:tplc="041B001B" w:tentative="1">
      <w:start w:val="1"/>
      <w:numFmt w:val="lowerRoman"/>
      <w:lvlText w:val="%6."/>
      <w:lvlJc w:val="right"/>
      <w:pPr>
        <w:ind w:left="4380" w:hanging="180"/>
      </w:pPr>
      <w:rPr>
        <w:rFonts w:cs="Times New Roman"/>
      </w:rPr>
    </w:lvl>
    <w:lvl w:ilvl="6" w:tplc="041B000F" w:tentative="1">
      <w:start w:val="1"/>
      <w:numFmt w:val="decimal"/>
      <w:lvlText w:val="%7."/>
      <w:lvlJc w:val="left"/>
      <w:pPr>
        <w:ind w:left="5100" w:hanging="360"/>
      </w:pPr>
      <w:rPr>
        <w:rFonts w:cs="Times New Roman"/>
      </w:rPr>
    </w:lvl>
    <w:lvl w:ilvl="7" w:tplc="041B0019" w:tentative="1">
      <w:start w:val="1"/>
      <w:numFmt w:val="lowerLetter"/>
      <w:lvlText w:val="%8."/>
      <w:lvlJc w:val="left"/>
      <w:pPr>
        <w:ind w:left="5820" w:hanging="360"/>
      </w:pPr>
      <w:rPr>
        <w:rFonts w:cs="Times New Roman"/>
      </w:rPr>
    </w:lvl>
    <w:lvl w:ilvl="8" w:tplc="041B001B" w:tentative="1">
      <w:start w:val="1"/>
      <w:numFmt w:val="lowerRoman"/>
      <w:lvlText w:val="%9."/>
      <w:lvlJc w:val="right"/>
      <w:pPr>
        <w:ind w:left="6540" w:hanging="180"/>
      </w:pPr>
      <w:rPr>
        <w:rFonts w:cs="Times New Roman"/>
      </w:rPr>
    </w:lvl>
  </w:abstractNum>
  <w:abstractNum w:abstractNumId="332" w15:restartNumberingAfterBreak="0">
    <w:nsid w:val="68C465F2"/>
    <w:multiLevelType w:val="hybridMultilevel"/>
    <w:tmpl w:val="9BD8494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3" w15:restartNumberingAfterBreak="0">
    <w:nsid w:val="68D16F5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4" w15:restartNumberingAfterBreak="0">
    <w:nsid w:val="68E8576B"/>
    <w:multiLevelType w:val="hybridMultilevel"/>
    <w:tmpl w:val="FE06E6C2"/>
    <w:lvl w:ilvl="0" w:tplc="544C7D66">
      <w:start w:val="1"/>
      <w:numFmt w:val="decimal"/>
      <w:lvlText w:val="%1."/>
      <w:lvlJc w:val="left"/>
      <w:pPr>
        <w:ind w:left="720" w:hanging="360"/>
      </w:pPr>
      <w:rPr>
        <w:rFonts w:cs="Times New Roman"/>
        <w:sz w:val="24"/>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5" w15:restartNumberingAfterBreak="0">
    <w:nsid w:val="68F95A3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6" w15:restartNumberingAfterBreak="0">
    <w:nsid w:val="69511974"/>
    <w:multiLevelType w:val="hybridMultilevel"/>
    <w:tmpl w:val="16FE4C94"/>
    <w:lvl w:ilvl="0" w:tplc="5820498E">
      <w:start w:val="1"/>
      <w:numFmt w:val="decimal"/>
      <w:lvlText w:val="%1."/>
      <w:lvlJc w:val="left"/>
      <w:pPr>
        <w:tabs>
          <w:tab w:val="num" w:pos="360"/>
        </w:tabs>
        <w:ind w:left="360" w:hanging="360"/>
      </w:pPr>
      <w:rPr>
        <w:rFonts w:cs="Times New Roman"/>
        <w:color w:val="auto"/>
      </w:rPr>
    </w:lvl>
    <w:lvl w:ilvl="1" w:tplc="041B0019">
      <w:start w:val="1"/>
      <w:numFmt w:val="lowerLetter"/>
      <w:lvlText w:val="%2."/>
      <w:lvlJc w:val="left"/>
      <w:pPr>
        <w:tabs>
          <w:tab w:val="num" w:pos="1080"/>
        </w:tabs>
        <w:ind w:left="1080" w:hanging="360"/>
      </w:pPr>
      <w:rPr>
        <w:rFonts w:cs="Times New Roman"/>
      </w:rPr>
    </w:lvl>
    <w:lvl w:ilvl="2" w:tplc="2C366E6E">
      <w:start w:val="1"/>
      <w:numFmt w:val="bullet"/>
      <w:lvlText w:val="-"/>
      <w:lvlJc w:val="left"/>
      <w:pPr>
        <w:tabs>
          <w:tab w:val="num" w:pos="1980"/>
        </w:tabs>
        <w:ind w:left="1980" w:hanging="360"/>
      </w:pPr>
      <w:rPr>
        <w:rFonts w:ascii="Arial" w:hAnsi="Arial" w:hint="default"/>
      </w:rPr>
    </w:lvl>
    <w:lvl w:ilvl="3" w:tplc="041B000F">
      <w:start w:val="1"/>
      <w:numFmt w:val="decimal"/>
      <w:lvlText w:val="%4."/>
      <w:lvlJc w:val="left"/>
      <w:pPr>
        <w:tabs>
          <w:tab w:val="num" w:pos="2520"/>
        </w:tabs>
        <w:ind w:left="2520" w:hanging="360"/>
      </w:pPr>
      <w:rPr>
        <w:rFonts w:cs="Times New Roman"/>
      </w:rPr>
    </w:lvl>
    <w:lvl w:ilvl="4" w:tplc="041B0019">
      <w:start w:val="1"/>
      <w:numFmt w:val="lowerLetter"/>
      <w:lvlText w:val="%5."/>
      <w:lvlJc w:val="left"/>
      <w:pPr>
        <w:tabs>
          <w:tab w:val="num" w:pos="3240"/>
        </w:tabs>
        <w:ind w:left="3240" w:hanging="360"/>
      </w:pPr>
      <w:rPr>
        <w:rFonts w:cs="Times New Roman"/>
      </w:rPr>
    </w:lvl>
    <w:lvl w:ilvl="5" w:tplc="041B001B">
      <w:start w:val="1"/>
      <w:numFmt w:val="lowerRoman"/>
      <w:lvlText w:val="%6."/>
      <w:lvlJc w:val="right"/>
      <w:pPr>
        <w:tabs>
          <w:tab w:val="num" w:pos="3960"/>
        </w:tabs>
        <w:ind w:left="3960" w:hanging="180"/>
      </w:pPr>
      <w:rPr>
        <w:rFonts w:cs="Times New Roman"/>
      </w:rPr>
    </w:lvl>
    <w:lvl w:ilvl="6" w:tplc="041B000F">
      <w:start w:val="1"/>
      <w:numFmt w:val="decimal"/>
      <w:lvlText w:val="%7."/>
      <w:lvlJc w:val="left"/>
      <w:pPr>
        <w:tabs>
          <w:tab w:val="num" w:pos="4680"/>
        </w:tabs>
        <w:ind w:left="4680" w:hanging="360"/>
      </w:pPr>
      <w:rPr>
        <w:rFonts w:cs="Times New Roman"/>
      </w:rPr>
    </w:lvl>
    <w:lvl w:ilvl="7" w:tplc="041B0019">
      <w:start w:val="1"/>
      <w:numFmt w:val="lowerLetter"/>
      <w:lvlText w:val="%8."/>
      <w:lvlJc w:val="left"/>
      <w:pPr>
        <w:tabs>
          <w:tab w:val="num" w:pos="5400"/>
        </w:tabs>
        <w:ind w:left="5400" w:hanging="360"/>
      </w:pPr>
      <w:rPr>
        <w:rFonts w:cs="Times New Roman"/>
      </w:rPr>
    </w:lvl>
    <w:lvl w:ilvl="8" w:tplc="041B001B">
      <w:start w:val="1"/>
      <w:numFmt w:val="lowerRoman"/>
      <w:lvlText w:val="%9."/>
      <w:lvlJc w:val="right"/>
      <w:pPr>
        <w:tabs>
          <w:tab w:val="num" w:pos="6120"/>
        </w:tabs>
        <w:ind w:left="6120" w:hanging="180"/>
      </w:pPr>
      <w:rPr>
        <w:rFonts w:cs="Times New Roman"/>
      </w:rPr>
    </w:lvl>
  </w:abstractNum>
  <w:abstractNum w:abstractNumId="337" w15:restartNumberingAfterBreak="0">
    <w:nsid w:val="695A744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8" w15:restartNumberingAfterBreak="0">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39" w15:restartNumberingAfterBreak="0">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0" w15:restartNumberingAfterBreak="0">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1" w15:restartNumberingAfterBreak="0">
    <w:nsid w:val="6CA40E28"/>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2" w15:restartNumberingAfterBreak="0">
    <w:nsid w:val="6D133838"/>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43" w15:restartNumberingAfterBreak="0">
    <w:nsid w:val="6D9C40BE"/>
    <w:multiLevelType w:val="hybridMultilevel"/>
    <w:tmpl w:val="A6EADAF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44" w15:restartNumberingAfterBreak="0">
    <w:nsid w:val="6DF81255"/>
    <w:multiLevelType w:val="hybridMultilevel"/>
    <w:tmpl w:val="2FE0EC58"/>
    <w:lvl w:ilvl="0" w:tplc="057CDBA6">
      <w:start w:val="1"/>
      <w:numFmt w:val="lowerLetter"/>
      <w:lvlText w:val="%1)"/>
      <w:lvlJc w:val="left"/>
      <w:pPr>
        <w:ind w:left="1770" w:hanging="360"/>
      </w:pPr>
      <w:rPr>
        <w:rFonts w:cs="Times New Roman" w:hint="default"/>
      </w:rPr>
    </w:lvl>
    <w:lvl w:ilvl="1" w:tplc="041B0019" w:tentative="1">
      <w:start w:val="1"/>
      <w:numFmt w:val="lowerLetter"/>
      <w:lvlText w:val="%2."/>
      <w:lvlJc w:val="left"/>
      <w:pPr>
        <w:ind w:left="2490" w:hanging="360"/>
      </w:pPr>
      <w:rPr>
        <w:rFonts w:cs="Times New Roman"/>
      </w:rPr>
    </w:lvl>
    <w:lvl w:ilvl="2" w:tplc="041B001B" w:tentative="1">
      <w:start w:val="1"/>
      <w:numFmt w:val="lowerRoman"/>
      <w:lvlText w:val="%3."/>
      <w:lvlJc w:val="right"/>
      <w:pPr>
        <w:ind w:left="3210" w:hanging="180"/>
      </w:pPr>
      <w:rPr>
        <w:rFonts w:cs="Times New Roman"/>
      </w:rPr>
    </w:lvl>
    <w:lvl w:ilvl="3" w:tplc="041B000F" w:tentative="1">
      <w:start w:val="1"/>
      <w:numFmt w:val="decimal"/>
      <w:lvlText w:val="%4."/>
      <w:lvlJc w:val="left"/>
      <w:pPr>
        <w:ind w:left="3930" w:hanging="360"/>
      </w:pPr>
      <w:rPr>
        <w:rFonts w:cs="Times New Roman"/>
      </w:rPr>
    </w:lvl>
    <w:lvl w:ilvl="4" w:tplc="041B0019" w:tentative="1">
      <w:start w:val="1"/>
      <w:numFmt w:val="lowerLetter"/>
      <w:lvlText w:val="%5."/>
      <w:lvlJc w:val="left"/>
      <w:pPr>
        <w:ind w:left="4650" w:hanging="360"/>
      </w:pPr>
      <w:rPr>
        <w:rFonts w:cs="Times New Roman"/>
      </w:rPr>
    </w:lvl>
    <w:lvl w:ilvl="5" w:tplc="041B001B" w:tentative="1">
      <w:start w:val="1"/>
      <w:numFmt w:val="lowerRoman"/>
      <w:lvlText w:val="%6."/>
      <w:lvlJc w:val="right"/>
      <w:pPr>
        <w:ind w:left="5370" w:hanging="180"/>
      </w:pPr>
      <w:rPr>
        <w:rFonts w:cs="Times New Roman"/>
      </w:rPr>
    </w:lvl>
    <w:lvl w:ilvl="6" w:tplc="041B000F" w:tentative="1">
      <w:start w:val="1"/>
      <w:numFmt w:val="decimal"/>
      <w:lvlText w:val="%7."/>
      <w:lvlJc w:val="left"/>
      <w:pPr>
        <w:ind w:left="6090" w:hanging="360"/>
      </w:pPr>
      <w:rPr>
        <w:rFonts w:cs="Times New Roman"/>
      </w:rPr>
    </w:lvl>
    <w:lvl w:ilvl="7" w:tplc="041B0019" w:tentative="1">
      <w:start w:val="1"/>
      <w:numFmt w:val="lowerLetter"/>
      <w:lvlText w:val="%8."/>
      <w:lvlJc w:val="left"/>
      <w:pPr>
        <w:ind w:left="6810" w:hanging="360"/>
      </w:pPr>
      <w:rPr>
        <w:rFonts w:cs="Times New Roman"/>
      </w:rPr>
    </w:lvl>
    <w:lvl w:ilvl="8" w:tplc="041B001B" w:tentative="1">
      <w:start w:val="1"/>
      <w:numFmt w:val="lowerRoman"/>
      <w:lvlText w:val="%9."/>
      <w:lvlJc w:val="right"/>
      <w:pPr>
        <w:ind w:left="7530" w:hanging="180"/>
      </w:pPr>
      <w:rPr>
        <w:rFonts w:cs="Times New Roman"/>
      </w:rPr>
    </w:lvl>
  </w:abstractNum>
  <w:abstractNum w:abstractNumId="345" w15:restartNumberingAfterBreak="0">
    <w:nsid w:val="6E0454FC"/>
    <w:multiLevelType w:val="hybridMultilevel"/>
    <w:tmpl w:val="8ACC1BB8"/>
    <w:lvl w:ilvl="0" w:tplc="1ACEB9F6">
      <w:start w:val="1"/>
      <w:numFmt w:val="decimal"/>
      <w:lvlText w:val="%1."/>
      <w:lvlJc w:val="left"/>
      <w:pPr>
        <w:ind w:left="1065" w:hanging="360"/>
      </w:pPr>
      <w:rPr>
        <w:rFonts w:cs="Times New Roman" w:hint="default"/>
      </w:rPr>
    </w:lvl>
    <w:lvl w:ilvl="1" w:tplc="041B0019" w:tentative="1">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346" w15:restartNumberingAfterBreak="0">
    <w:nsid w:val="6ED24879"/>
    <w:multiLevelType w:val="hybridMultilevel"/>
    <w:tmpl w:val="0B6809AE"/>
    <w:lvl w:ilvl="0" w:tplc="55FAE224">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47" w15:restartNumberingAfterBreak="0">
    <w:nsid w:val="6F416876"/>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48" w15:restartNumberingAfterBreak="0">
    <w:nsid w:val="6F5432E3"/>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9" w15:restartNumberingAfterBreak="0">
    <w:nsid w:val="6F9E4E17"/>
    <w:multiLevelType w:val="hybridMultilevel"/>
    <w:tmpl w:val="CACEC0A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0" w15:restartNumberingAfterBreak="0">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1" w15:restartNumberingAfterBreak="0">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2" w15:restartNumberingAfterBreak="0">
    <w:nsid w:val="701C20B0"/>
    <w:multiLevelType w:val="hybridMultilevel"/>
    <w:tmpl w:val="CEBED13A"/>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3" w15:restartNumberingAfterBreak="0">
    <w:nsid w:val="706A54E9"/>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54" w15:restartNumberingAfterBreak="0">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355" w15:restartNumberingAfterBreak="0">
    <w:nsid w:val="71286DBF"/>
    <w:multiLevelType w:val="hybridMultilevel"/>
    <w:tmpl w:val="F26CBACA"/>
    <w:lvl w:ilvl="0" w:tplc="FFFFFFFF">
      <w:start w:val="1"/>
      <w:numFmt w:val="upperLetter"/>
      <w:lvlText w:val="%1."/>
      <w:lvlJc w:val="left"/>
      <w:pPr>
        <w:tabs>
          <w:tab w:val="num" w:pos="720"/>
        </w:tabs>
        <w:ind w:left="720" w:hanging="360"/>
      </w:pPr>
      <w:rPr>
        <w:rFonts w:cs="Times New Roman" w:hint="default"/>
      </w:rPr>
    </w:lvl>
    <w:lvl w:ilvl="1" w:tplc="041B0017">
      <w:start w:val="1"/>
      <w:numFmt w:val="lowerLetter"/>
      <w:lvlText w:val="%2)"/>
      <w:lvlJc w:val="left"/>
      <w:pPr>
        <w:tabs>
          <w:tab w:val="num" w:pos="720"/>
        </w:tabs>
        <w:ind w:left="720" w:hanging="360"/>
      </w:pPr>
      <w:rPr>
        <w:rFonts w:cs="Times New Roman" w:hint="default"/>
        <w:color w:val="auto"/>
        <w:sz w:val="24"/>
        <w:szCs w:val="24"/>
      </w:rPr>
    </w:lvl>
    <w:lvl w:ilvl="2" w:tplc="FFFFFFFF">
      <w:start w:val="6"/>
      <w:numFmt w:val="decimal"/>
      <w:lvlText w:val="%3."/>
      <w:lvlJc w:val="left"/>
      <w:pPr>
        <w:tabs>
          <w:tab w:val="num" w:pos="360"/>
        </w:tabs>
        <w:ind w:left="360" w:hanging="360"/>
      </w:pPr>
      <w:rPr>
        <w:rFonts w:cs="Times New Roman" w:hint="default"/>
        <w:color w:val="auto"/>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56" w15:restartNumberingAfterBreak="0">
    <w:nsid w:val="716B5641"/>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7" w15:restartNumberingAfterBreak="0">
    <w:nsid w:val="71D6728D"/>
    <w:multiLevelType w:val="hybridMultilevel"/>
    <w:tmpl w:val="F8C8BAFE"/>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800"/>
        </w:tabs>
        <w:ind w:left="1800" w:hanging="360"/>
      </w:pPr>
      <w:rPr>
        <w:rFonts w:cs="Times New Roman"/>
      </w:rPr>
    </w:lvl>
    <w:lvl w:ilvl="2" w:tplc="041B001B" w:tentative="1">
      <w:start w:val="1"/>
      <w:numFmt w:val="lowerRoman"/>
      <w:lvlText w:val="%3."/>
      <w:lvlJc w:val="right"/>
      <w:pPr>
        <w:tabs>
          <w:tab w:val="num" w:pos="2520"/>
        </w:tabs>
        <w:ind w:left="2520" w:hanging="180"/>
      </w:pPr>
      <w:rPr>
        <w:rFonts w:cs="Times New Roman"/>
      </w:rPr>
    </w:lvl>
    <w:lvl w:ilvl="3" w:tplc="041B000F" w:tentative="1">
      <w:start w:val="1"/>
      <w:numFmt w:val="decimal"/>
      <w:lvlText w:val="%4."/>
      <w:lvlJc w:val="left"/>
      <w:pPr>
        <w:tabs>
          <w:tab w:val="num" w:pos="3240"/>
        </w:tabs>
        <w:ind w:left="3240" w:hanging="360"/>
      </w:pPr>
      <w:rPr>
        <w:rFonts w:cs="Times New Roman"/>
      </w:rPr>
    </w:lvl>
    <w:lvl w:ilvl="4" w:tplc="041B0019" w:tentative="1">
      <w:start w:val="1"/>
      <w:numFmt w:val="lowerLetter"/>
      <w:lvlText w:val="%5."/>
      <w:lvlJc w:val="left"/>
      <w:pPr>
        <w:tabs>
          <w:tab w:val="num" w:pos="3960"/>
        </w:tabs>
        <w:ind w:left="3960" w:hanging="360"/>
      </w:pPr>
      <w:rPr>
        <w:rFonts w:cs="Times New Roman"/>
      </w:rPr>
    </w:lvl>
    <w:lvl w:ilvl="5" w:tplc="041B001B" w:tentative="1">
      <w:start w:val="1"/>
      <w:numFmt w:val="lowerRoman"/>
      <w:lvlText w:val="%6."/>
      <w:lvlJc w:val="right"/>
      <w:pPr>
        <w:tabs>
          <w:tab w:val="num" w:pos="4680"/>
        </w:tabs>
        <w:ind w:left="4680" w:hanging="180"/>
      </w:pPr>
      <w:rPr>
        <w:rFonts w:cs="Times New Roman"/>
      </w:rPr>
    </w:lvl>
    <w:lvl w:ilvl="6" w:tplc="041B000F" w:tentative="1">
      <w:start w:val="1"/>
      <w:numFmt w:val="decimal"/>
      <w:lvlText w:val="%7."/>
      <w:lvlJc w:val="left"/>
      <w:pPr>
        <w:tabs>
          <w:tab w:val="num" w:pos="5400"/>
        </w:tabs>
        <w:ind w:left="5400" w:hanging="360"/>
      </w:pPr>
      <w:rPr>
        <w:rFonts w:cs="Times New Roman"/>
      </w:rPr>
    </w:lvl>
    <w:lvl w:ilvl="7" w:tplc="041B0019" w:tentative="1">
      <w:start w:val="1"/>
      <w:numFmt w:val="lowerLetter"/>
      <w:lvlText w:val="%8."/>
      <w:lvlJc w:val="left"/>
      <w:pPr>
        <w:tabs>
          <w:tab w:val="num" w:pos="6120"/>
        </w:tabs>
        <w:ind w:left="6120" w:hanging="360"/>
      </w:pPr>
      <w:rPr>
        <w:rFonts w:cs="Times New Roman"/>
      </w:rPr>
    </w:lvl>
    <w:lvl w:ilvl="8" w:tplc="041B001B" w:tentative="1">
      <w:start w:val="1"/>
      <w:numFmt w:val="lowerRoman"/>
      <w:lvlText w:val="%9."/>
      <w:lvlJc w:val="right"/>
      <w:pPr>
        <w:tabs>
          <w:tab w:val="num" w:pos="6840"/>
        </w:tabs>
        <w:ind w:left="6840" w:hanging="180"/>
      </w:pPr>
      <w:rPr>
        <w:rFonts w:cs="Times New Roman"/>
      </w:rPr>
    </w:lvl>
  </w:abstractNum>
  <w:abstractNum w:abstractNumId="358" w15:restartNumberingAfterBreak="0">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59" w15:restartNumberingAfterBreak="0">
    <w:nsid w:val="71F21215"/>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0" w15:restartNumberingAfterBreak="0">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361" w15:restartNumberingAfterBreak="0">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2" w15:restartNumberingAfterBreak="0">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63" w15:restartNumberingAfterBreak="0">
    <w:nsid w:val="72A0333E"/>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4" w15:restartNumberingAfterBreak="0">
    <w:nsid w:val="7310767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5" w15:restartNumberingAfterBreak="0">
    <w:nsid w:val="73221F3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66" w15:restartNumberingAfterBreak="0">
    <w:nsid w:val="74262B4C"/>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7" w15:restartNumberingAfterBreak="0">
    <w:nsid w:val="743A172F"/>
    <w:multiLevelType w:val="hybridMultilevel"/>
    <w:tmpl w:val="364EB38E"/>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8" w15:restartNumberingAfterBreak="0">
    <w:nsid w:val="7483154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69" w15:restartNumberingAfterBreak="0">
    <w:nsid w:val="74C320C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0" w15:restartNumberingAfterBreak="0">
    <w:nsid w:val="75200CC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1" w15:restartNumberingAfterBreak="0">
    <w:nsid w:val="75593406"/>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2" w15:restartNumberingAfterBreak="0">
    <w:nsid w:val="757438A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3" w15:restartNumberingAfterBreak="0">
    <w:nsid w:val="75B20FE9"/>
    <w:multiLevelType w:val="hybridMultilevel"/>
    <w:tmpl w:val="3354A5A6"/>
    <w:lvl w:ilvl="0" w:tplc="041B000F">
      <w:start w:val="1"/>
      <w:numFmt w:val="decimal"/>
      <w:lvlText w:val="%1."/>
      <w:lvlJc w:val="left"/>
      <w:pPr>
        <w:ind w:left="644"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4" w15:restartNumberingAfterBreak="0">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5" w15:restartNumberingAfterBreak="0">
    <w:nsid w:val="76E4623D"/>
    <w:multiLevelType w:val="hybridMultilevel"/>
    <w:tmpl w:val="781AF8F8"/>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6" w15:restartNumberingAfterBreak="0">
    <w:nsid w:val="77235951"/>
    <w:multiLevelType w:val="hybridMultilevel"/>
    <w:tmpl w:val="70749AD8"/>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7" w15:restartNumberingAfterBreak="0">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8" w15:restartNumberingAfterBreak="0">
    <w:nsid w:val="7789169D"/>
    <w:multiLevelType w:val="hybridMultilevel"/>
    <w:tmpl w:val="7F461F3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9" w15:restartNumberingAfterBreak="0">
    <w:nsid w:val="779608F5"/>
    <w:multiLevelType w:val="hybridMultilevel"/>
    <w:tmpl w:val="94643D92"/>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0" w15:restartNumberingAfterBreak="0">
    <w:nsid w:val="77C460BB"/>
    <w:multiLevelType w:val="hybridMultilevel"/>
    <w:tmpl w:val="62C49776"/>
    <w:lvl w:ilvl="0" w:tplc="041B0017">
      <w:start w:val="1"/>
      <w:numFmt w:val="lowerLetter"/>
      <w:lvlText w:val="%1)"/>
      <w:lvlJc w:val="left"/>
      <w:pPr>
        <w:ind w:left="1494" w:hanging="360"/>
      </w:pPr>
      <w:rPr>
        <w:rFonts w:cs="Times New Roman"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381" w15:restartNumberingAfterBreak="0">
    <w:nsid w:val="77C81716"/>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82" w15:restartNumberingAfterBreak="0">
    <w:nsid w:val="77D0468F"/>
    <w:multiLevelType w:val="hybridMultilevel"/>
    <w:tmpl w:val="2E7C920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3" w15:restartNumberingAfterBreak="0">
    <w:nsid w:val="79C13EB4"/>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4" w15:restartNumberingAfterBreak="0">
    <w:nsid w:val="7A2478F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5" w15:restartNumberingAfterBreak="0">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86" w15:restartNumberingAfterBreak="0">
    <w:nsid w:val="7B454933"/>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7" w15:restartNumberingAfterBreak="0">
    <w:nsid w:val="7BD03F1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8" w15:restartNumberingAfterBreak="0">
    <w:nsid w:val="7C4A051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9" w15:restartNumberingAfterBreak="0">
    <w:nsid w:val="7C4C552A"/>
    <w:multiLevelType w:val="hybridMultilevel"/>
    <w:tmpl w:val="B768898C"/>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0" w15:restartNumberingAfterBreak="0">
    <w:nsid w:val="7CA04B75"/>
    <w:multiLevelType w:val="hybridMultilevel"/>
    <w:tmpl w:val="3ACACA48"/>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391" w15:restartNumberingAfterBreak="0">
    <w:nsid w:val="7CD67AE9"/>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2" w15:restartNumberingAfterBreak="0">
    <w:nsid w:val="7CE07F51"/>
    <w:multiLevelType w:val="hybridMultilevel"/>
    <w:tmpl w:val="5522501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3" w15:restartNumberingAfterBreak="0">
    <w:nsid w:val="7D186827"/>
    <w:multiLevelType w:val="hybridMultilevel"/>
    <w:tmpl w:val="BEF2DDF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4" w15:restartNumberingAfterBreak="0">
    <w:nsid w:val="7D405415"/>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5" w15:restartNumberingAfterBreak="0">
    <w:nsid w:val="7DBA0F58"/>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6" w15:restartNumberingAfterBreak="0">
    <w:nsid w:val="7DEC1B3B"/>
    <w:multiLevelType w:val="hybridMultilevel"/>
    <w:tmpl w:val="B2A63534"/>
    <w:lvl w:ilvl="0" w:tplc="80A262AA">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97" w15:restartNumberingAfterBreak="0">
    <w:nsid w:val="7E125E6B"/>
    <w:multiLevelType w:val="hybridMultilevel"/>
    <w:tmpl w:val="7FECE74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8" w15:restartNumberingAfterBreak="0">
    <w:nsid w:val="7E1A77C7"/>
    <w:multiLevelType w:val="hybridMultilevel"/>
    <w:tmpl w:val="B768898C"/>
    <w:lvl w:ilvl="0" w:tplc="041B000F">
      <w:start w:val="1"/>
      <w:numFmt w:val="decimal"/>
      <w:lvlText w:val="%1."/>
      <w:lvlJc w:val="left"/>
      <w:pPr>
        <w:ind w:left="502"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9" w15:restartNumberingAfterBreak="0">
    <w:nsid w:val="7E7C2C21"/>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0" w15:restartNumberingAfterBreak="0">
    <w:nsid w:val="7E9F5D5F"/>
    <w:multiLevelType w:val="hybridMultilevel"/>
    <w:tmpl w:val="E8140202"/>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1" w15:restartNumberingAfterBreak="0">
    <w:nsid w:val="7F8271D3"/>
    <w:multiLevelType w:val="hybridMultilevel"/>
    <w:tmpl w:val="0DAE1324"/>
    <w:lvl w:ilvl="0" w:tplc="041B0017">
      <w:start w:val="1"/>
      <w:numFmt w:val="lowerLetter"/>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0"/>
  </w:num>
  <w:num w:numId="2">
    <w:abstractNumId w:val="0"/>
  </w:num>
  <w:num w:numId="3">
    <w:abstractNumId w:val="332"/>
  </w:num>
  <w:num w:numId="4">
    <w:abstractNumId w:val="98"/>
  </w:num>
  <w:num w:numId="5">
    <w:abstractNumId w:val="295"/>
  </w:num>
  <w:num w:numId="6">
    <w:abstractNumId w:val="152"/>
  </w:num>
  <w:num w:numId="7">
    <w:abstractNumId w:val="195"/>
  </w:num>
  <w:num w:numId="8">
    <w:abstractNumId w:val="102"/>
  </w:num>
  <w:num w:numId="9">
    <w:abstractNumId w:val="13"/>
  </w:num>
  <w:num w:numId="10">
    <w:abstractNumId w:val="391"/>
  </w:num>
  <w:num w:numId="11">
    <w:abstractNumId w:val="57"/>
  </w:num>
  <w:num w:numId="12">
    <w:abstractNumId w:val="315"/>
  </w:num>
  <w:num w:numId="13">
    <w:abstractNumId w:val="79"/>
  </w:num>
  <w:num w:numId="14">
    <w:abstractNumId w:val="183"/>
  </w:num>
  <w:num w:numId="15">
    <w:abstractNumId w:val="56"/>
  </w:num>
  <w:num w:numId="16">
    <w:abstractNumId w:val="55"/>
  </w:num>
  <w:num w:numId="17">
    <w:abstractNumId w:val="103"/>
  </w:num>
  <w:num w:numId="18">
    <w:abstractNumId w:val="313"/>
  </w:num>
  <w:num w:numId="19">
    <w:abstractNumId w:val="265"/>
  </w:num>
  <w:num w:numId="20">
    <w:abstractNumId w:val="286"/>
  </w:num>
  <w:num w:numId="21">
    <w:abstractNumId w:val="380"/>
  </w:num>
  <w:num w:numId="22">
    <w:abstractNumId w:val="34"/>
  </w:num>
  <w:num w:numId="23">
    <w:abstractNumId w:val="52"/>
  </w:num>
  <w:num w:numId="24">
    <w:abstractNumId w:val="142"/>
  </w:num>
  <w:num w:numId="25">
    <w:abstractNumId w:val="3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92"/>
  </w:num>
  <w:num w:numId="27">
    <w:abstractNumId w:val="104"/>
  </w:num>
  <w:num w:numId="28">
    <w:abstractNumId w:val="261"/>
  </w:num>
  <w:num w:numId="29">
    <w:abstractNumId w:val="198"/>
  </w:num>
  <w:num w:numId="30">
    <w:abstractNumId w:val="196"/>
  </w:num>
  <w:num w:numId="31">
    <w:abstractNumId w:val="291"/>
  </w:num>
  <w:num w:numId="32">
    <w:abstractNumId w:val="84"/>
  </w:num>
  <w:num w:numId="33">
    <w:abstractNumId w:val="244"/>
  </w:num>
  <w:num w:numId="34">
    <w:abstractNumId w:val="345"/>
  </w:num>
  <w:num w:numId="35">
    <w:abstractNumId w:val="150"/>
  </w:num>
  <w:num w:numId="36">
    <w:abstractNumId w:val="344"/>
  </w:num>
  <w:num w:numId="37">
    <w:abstractNumId w:val="175"/>
  </w:num>
  <w:num w:numId="38">
    <w:abstractNumId w:val="319"/>
  </w:num>
  <w:num w:numId="39">
    <w:abstractNumId w:val="272"/>
  </w:num>
  <w:num w:numId="40">
    <w:abstractNumId w:val="22"/>
  </w:num>
  <w:num w:numId="41">
    <w:abstractNumId w:val="357"/>
  </w:num>
  <w:num w:numId="42">
    <w:abstractNumId w:val="31"/>
  </w:num>
  <w:num w:numId="43">
    <w:abstractNumId w:val="400"/>
  </w:num>
  <w:num w:numId="44">
    <w:abstractNumId w:val="68"/>
  </w:num>
  <w:num w:numId="45">
    <w:abstractNumId w:val="396"/>
  </w:num>
  <w:num w:numId="46">
    <w:abstractNumId w:val="346"/>
  </w:num>
  <w:num w:numId="47">
    <w:abstractNumId w:val="194"/>
  </w:num>
  <w:num w:numId="48">
    <w:abstractNumId w:val="123"/>
  </w:num>
  <w:num w:numId="49">
    <w:abstractNumId w:val="253"/>
  </w:num>
  <w:num w:numId="50">
    <w:abstractNumId w:val="119"/>
  </w:num>
  <w:num w:numId="51">
    <w:abstractNumId w:val="2"/>
  </w:num>
  <w:num w:numId="52">
    <w:abstractNumId w:val="118"/>
  </w:num>
  <w:num w:numId="53">
    <w:abstractNumId w:val="326"/>
  </w:num>
  <w:num w:numId="54">
    <w:abstractNumId w:val="203"/>
  </w:num>
  <w:num w:numId="55">
    <w:abstractNumId w:val="355"/>
  </w:num>
  <w:num w:numId="56">
    <w:abstractNumId w:val="1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36"/>
  </w:num>
  <w:num w:numId="58">
    <w:abstractNumId w:val="102"/>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89"/>
  </w:num>
  <w:num w:numId="62">
    <w:abstractNumId w:val="327"/>
  </w:num>
  <w:num w:numId="63">
    <w:abstractNumId w:val="49"/>
  </w:num>
  <w:num w:numId="64">
    <w:abstractNumId w:val="72"/>
  </w:num>
  <w:num w:numId="65">
    <w:abstractNumId w:val="3"/>
  </w:num>
  <w:num w:numId="66">
    <w:abstractNumId w:val="268"/>
  </w:num>
  <w:num w:numId="67">
    <w:abstractNumId w:val="76"/>
  </w:num>
  <w:num w:numId="68">
    <w:abstractNumId w:val="19"/>
  </w:num>
  <w:num w:numId="69">
    <w:abstractNumId w:val="182"/>
  </w:num>
  <w:num w:numId="70">
    <w:abstractNumId w:val="229"/>
  </w:num>
  <w:num w:numId="71">
    <w:abstractNumId w:val="128"/>
  </w:num>
  <w:num w:numId="72">
    <w:abstractNumId w:val="91"/>
  </w:num>
  <w:num w:numId="73">
    <w:abstractNumId w:val="61"/>
  </w:num>
  <w:num w:numId="74">
    <w:abstractNumId w:val="172"/>
  </w:num>
  <w:num w:numId="75">
    <w:abstractNumId w:val="361"/>
  </w:num>
  <w:num w:numId="76">
    <w:abstractNumId w:val="284"/>
  </w:num>
  <w:num w:numId="77">
    <w:abstractNumId w:val="316"/>
  </w:num>
  <w:num w:numId="78">
    <w:abstractNumId w:val="65"/>
  </w:num>
  <w:num w:numId="79">
    <w:abstractNumId w:val="334"/>
  </w:num>
  <w:num w:numId="80">
    <w:abstractNumId w:val="88"/>
  </w:num>
  <w:num w:numId="81">
    <w:abstractNumId w:val="30"/>
  </w:num>
  <w:num w:numId="82">
    <w:abstractNumId w:val="383"/>
  </w:num>
  <w:num w:numId="83">
    <w:abstractNumId w:val="11"/>
  </w:num>
  <w:num w:numId="84">
    <w:abstractNumId w:val="213"/>
  </w:num>
  <w:num w:numId="85">
    <w:abstractNumId w:val="33"/>
  </w:num>
  <w:num w:numId="86">
    <w:abstractNumId w:val="333"/>
  </w:num>
  <w:num w:numId="87">
    <w:abstractNumId w:val="240"/>
  </w:num>
  <w:num w:numId="88">
    <w:abstractNumId w:val="292"/>
  </w:num>
  <w:num w:numId="89">
    <w:abstractNumId w:val="162"/>
  </w:num>
  <w:num w:numId="90">
    <w:abstractNumId w:val="375"/>
  </w:num>
  <w:num w:numId="91">
    <w:abstractNumId w:val="335"/>
  </w:num>
  <w:num w:numId="92">
    <w:abstractNumId w:val="29"/>
  </w:num>
  <w:num w:numId="93">
    <w:abstractNumId w:val="220"/>
  </w:num>
  <w:num w:numId="94">
    <w:abstractNumId w:val="126"/>
  </w:num>
  <w:num w:numId="95">
    <w:abstractNumId w:val="121"/>
  </w:num>
  <w:num w:numId="96">
    <w:abstractNumId w:val="285"/>
  </w:num>
  <w:num w:numId="97">
    <w:abstractNumId w:val="5"/>
  </w:num>
  <w:num w:numId="98">
    <w:abstractNumId w:val="270"/>
  </w:num>
  <w:num w:numId="99">
    <w:abstractNumId w:val="62"/>
  </w:num>
  <w:num w:numId="100">
    <w:abstractNumId w:val="347"/>
  </w:num>
  <w:num w:numId="101">
    <w:abstractNumId w:val="388"/>
  </w:num>
  <w:num w:numId="102">
    <w:abstractNumId w:val="353"/>
  </w:num>
  <w:num w:numId="103">
    <w:abstractNumId w:val="185"/>
  </w:num>
  <w:num w:numId="104">
    <w:abstractNumId w:val="384"/>
  </w:num>
  <w:num w:numId="105">
    <w:abstractNumId w:val="325"/>
  </w:num>
  <w:num w:numId="106">
    <w:abstractNumId w:val="258"/>
  </w:num>
  <w:num w:numId="107">
    <w:abstractNumId w:val="146"/>
  </w:num>
  <w:num w:numId="108">
    <w:abstractNumId w:val="259"/>
  </w:num>
  <w:num w:numId="109">
    <w:abstractNumId w:val="288"/>
  </w:num>
  <w:num w:numId="110">
    <w:abstractNumId w:val="256"/>
  </w:num>
  <w:num w:numId="111">
    <w:abstractNumId w:val="17"/>
  </w:num>
  <w:num w:numId="112">
    <w:abstractNumId w:val="82"/>
  </w:num>
  <w:num w:numId="113">
    <w:abstractNumId w:val="46"/>
  </w:num>
  <w:num w:numId="114">
    <w:abstractNumId w:val="75"/>
  </w:num>
  <w:num w:numId="115">
    <w:abstractNumId w:val="67"/>
  </w:num>
  <w:num w:numId="116">
    <w:abstractNumId w:val="289"/>
  </w:num>
  <w:num w:numId="117">
    <w:abstractNumId w:val="274"/>
  </w:num>
  <w:num w:numId="118">
    <w:abstractNumId w:val="10"/>
  </w:num>
  <w:num w:numId="119">
    <w:abstractNumId w:val="264"/>
  </w:num>
  <w:num w:numId="120">
    <w:abstractNumId w:val="369"/>
  </w:num>
  <w:num w:numId="121">
    <w:abstractNumId w:val="387"/>
  </w:num>
  <w:num w:numId="122">
    <w:abstractNumId w:val="365"/>
  </w:num>
  <w:num w:numId="123">
    <w:abstractNumId w:val="302"/>
  </w:num>
  <w:num w:numId="124">
    <w:abstractNumId w:val="24"/>
  </w:num>
  <w:num w:numId="125">
    <w:abstractNumId w:val="301"/>
  </w:num>
  <w:num w:numId="126">
    <w:abstractNumId w:val="267"/>
  </w:num>
  <w:num w:numId="127">
    <w:abstractNumId w:val="69"/>
  </w:num>
  <w:num w:numId="128">
    <w:abstractNumId w:val="129"/>
  </w:num>
  <w:num w:numId="129">
    <w:abstractNumId w:val="83"/>
  </w:num>
  <w:num w:numId="130">
    <w:abstractNumId w:val="201"/>
  </w:num>
  <w:num w:numId="131">
    <w:abstractNumId w:val="1"/>
  </w:num>
  <w:num w:numId="132">
    <w:abstractNumId w:val="184"/>
  </w:num>
  <w:num w:numId="133">
    <w:abstractNumId w:val="85"/>
  </w:num>
  <w:num w:numId="134">
    <w:abstractNumId w:val="141"/>
  </w:num>
  <w:num w:numId="135">
    <w:abstractNumId w:val="394"/>
  </w:num>
  <w:num w:numId="136">
    <w:abstractNumId w:val="372"/>
  </w:num>
  <w:num w:numId="137">
    <w:abstractNumId w:val="300"/>
  </w:num>
  <w:num w:numId="138">
    <w:abstractNumId w:val="156"/>
  </w:num>
  <w:num w:numId="139">
    <w:abstractNumId w:val="341"/>
  </w:num>
  <w:num w:numId="140">
    <w:abstractNumId w:val="218"/>
  </w:num>
  <w:num w:numId="141">
    <w:abstractNumId w:val="116"/>
  </w:num>
  <w:num w:numId="142">
    <w:abstractNumId w:val="328"/>
  </w:num>
  <w:num w:numId="143">
    <w:abstractNumId w:val="93"/>
  </w:num>
  <w:num w:numId="144">
    <w:abstractNumId w:val="204"/>
  </w:num>
  <w:num w:numId="145">
    <w:abstractNumId w:val="77"/>
  </w:num>
  <w:num w:numId="146">
    <w:abstractNumId w:val="101"/>
  </w:num>
  <w:num w:numId="147">
    <w:abstractNumId w:val="368"/>
  </w:num>
  <w:num w:numId="148">
    <w:abstractNumId w:val="305"/>
  </w:num>
  <w:num w:numId="149">
    <w:abstractNumId w:val="8"/>
  </w:num>
  <w:num w:numId="150">
    <w:abstractNumId w:val="160"/>
  </w:num>
  <w:num w:numId="151">
    <w:abstractNumId w:val="130"/>
  </w:num>
  <w:num w:numId="152">
    <w:abstractNumId w:val="135"/>
  </w:num>
  <w:num w:numId="153">
    <w:abstractNumId w:val="211"/>
  </w:num>
  <w:num w:numId="154">
    <w:abstractNumId w:val="173"/>
  </w:num>
  <w:num w:numId="155">
    <w:abstractNumId w:val="281"/>
  </w:num>
  <w:num w:numId="156">
    <w:abstractNumId w:val="255"/>
  </w:num>
  <w:num w:numId="157">
    <w:abstractNumId w:val="364"/>
  </w:num>
  <w:num w:numId="158">
    <w:abstractNumId w:val="216"/>
  </w:num>
  <w:num w:numId="159">
    <w:abstractNumId w:val="26"/>
  </w:num>
  <w:num w:numId="160">
    <w:abstractNumId w:val="238"/>
  </w:num>
  <w:num w:numId="161">
    <w:abstractNumId w:val="155"/>
  </w:num>
  <w:num w:numId="162">
    <w:abstractNumId w:val="97"/>
  </w:num>
  <w:num w:numId="163">
    <w:abstractNumId w:val="276"/>
  </w:num>
  <w:num w:numId="164">
    <w:abstractNumId w:val="100"/>
  </w:num>
  <w:num w:numId="165">
    <w:abstractNumId w:val="99"/>
  </w:num>
  <w:num w:numId="166">
    <w:abstractNumId w:val="269"/>
  </w:num>
  <w:num w:numId="167">
    <w:abstractNumId w:val="161"/>
  </w:num>
  <w:num w:numId="168">
    <w:abstractNumId w:val="157"/>
  </w:num>
  <w:num w:numId="169">
    <w:abstractNumId w:val="145"/>
  </w:num>
  <w:num w:numId="170">
    <w:abstractNumId w:val="250"/>
  </w:num>
  <w:num w:numId="171">
    <w:abstractNumId w:val="266"/>
  </w:num>
  <w:num w:numId="172">
    <w:abstractNumId w:val="283"/>
  </w:num>
  <w:num w:numId="173">
    <w:abstractNumId w:val="324"/>
  </w:num>
  <w:num w:numId="174">
    <w:abstractNumId w:val="47"/>
  </w:num>
  <w:num w:numId="175">
    <w:abstractNumId w:val="342"/>
  </w:num>
  <w:num w:numId="176">
    <w:abstractNumId w:val="89"/>
  </w:num>
  <w:num w:numId="177">
    <w:abstractNumId w:val="136"/>
  </w:num>
  <w:num w:numId="178">
    <w:abstractNumId w:val="86"/>
  </w:num>
  <w:num w:numId="179">
    <w:abstractNumId w:val="54"/>
  </w:num>
  <w:num w:numId="180">
    <w:abstractNumId w:val="231"/>
  </w:num>
  <w:num w:numId="181">
    <w:abstractNumId w:val="358"/>
  </w:num>
  <w:num w:numId="182">
    <w:abstractNumId w:val="225"/>
  </w:num>
  <w:num w:numId="183">
    <w:abstractNumId w:val="21"/>
  </w:num>
  <w:num w:numId="184">
    <w:abstractNumId w:val="294"/>
  </w:num>
  <w:num w:numId="185">
    <w:abstractNumId w:val="151"/>
  </w:num>
  <w:num w:numId="186">
    <w:abstractNumId w:val="363"/>
  </w:num>
  <w:num w:numId="187">
    <w:abstractNumId w:val="39"/>
  </w:num>
  <w:num w:numId="188">
    <w:abstractNumId w:val="338"/>
  </w:num>
  <w:num w:numId="189">
    <w:abstractNumId w:val="307"/>
  </w:num>
  <w:num w:numId="190">
    <w:abstractNumId w:val="362"/>
  </w:num>
  <w:num w:numId="191">
    <w:abstractNumId w:val="385"/>
  </w:num>
  <w:num w:numId="192">
    <w:abstractNumId w:val="58"/>
  </w:num>
  <w:num w:numId="193">
    <w:abstractNumId w:val="245"/>
  </w:num>
  <w:num w:numId="194">
    <w:abstractNumId w:val="205"/>
  </w:num>
  <w:num w:numId="195">
    <w:abstractNumId w:val="222"/>
  </w:num>
  <w:num w:numId="196">
    <w:abstractNumId w:val="217"/>
  </w:num>
  <w:num w:numId="197">
    <w:abstractNumId w:val="279"/>
  </w:num>
  <w:num w:numId="198">
    <w:abstractNumId w:val="167"/>
  </w:num>
  <w:num w:numId="199">
    <w:abstractNumId w:val="122"/>
  </w:num>
  <w:num w:numId="200">
    <w:abstractNumId w:val="105"/>
  </w:num>
  <w:num w:numId="201">
    <w:abstractNumId w:val="210"/>
  </w:num>
  <w:num w:numId="202">
    <w:abstractNumId w:val="395"/>
  </w:num>
  <w:num w:numId="203">
    <w:abstractNumId w:val="32"/>
  </w:num>
  <w:num w:numId="204">
    <w:abstractNumId w:val="209"/>
  </w:num>
  <w:num w:numId="205">
    <w:abstractNumId w:val="107"/>
  </w:num>
  <w:num w:numId="206">
    <w:abstractNumId w:val="262"/>
  </w:num>
  <w:num w:numId="207">
    <w:abstractNumId w:val="241"/>
  </w:num>
  <w:num w:numId="208">
    <w:abstractNumId w:val="131"/>
  </w:num>
  <w:num w:numId="209">
    <w:abstractNumId w:val="373"/>
  </w:num>
  <w:num w:numId="210">
    <w:abstractNumId w:val="42"/>
  </w:num>
  <w:num w:numId="211">
    <w:abstractNumId w:val="351"/>
  </w:num>
  <w:num w:numId="212">
    <w:abstractNumId w:val="186"/>
  </w:num>
  <w:num w:numId="213">
    <w:abstractNumId w:val="44"/>
  </w:num>
  <w:num w:numId="214">
    <w:abstractNumId w:val="50"/>
  </w:num>
  <w:num w:numId="215">
    <w:abstractNumId w:val="206"/>
  </w:num>
  <w:num w:numId="216">
    <w:abstractNumId w:val="112"/>
  </w:num>
  <w:num w:numId="217">
    <w:abstractNumId w:val="247"/>
  </w:num>
  <w:num w:numId="218">
    <w:abstractNumId w:val="296"/>
  </w:num>
  <w:num w:numId="219">
    <w:abstractNumId w:val="212"/>
  </w:num>
  <w:num w:numId="220">
    <w:abstractNumId w:val="356"/>
  </w:num>
  <w:num w:numId="221">
    <w:abstractNumId w:val="113"/>
  </w:num>
  <w:num w:numId="222">
    <w:abstractNumId w:val="393"/>
  </w:num>
  <w:num w:numId="223">
    <w:abstractNumId w:val="398"/>
  </w:num>
  <w:num w:numId="224">
    <w:abstractNumId w:val="200"/>
  </w:num>
  <w:num w:numId="225">
    <w:abstractNumId w:val="233"/>
  </w:num>
  <w:num w:numId="226">
    <w:abstractNumId w:val="70"/>
  </w:num>
  <w:num w:numId="227">
    <w:abstractNumId w:val="154"/>
  </w:num>
  <w:num w:numId="228">
    <w:abstractNumId w:val="314"/>
  </w:num>
  <w:num w:numId="229">
    <w:abstractNumId w:val="330"/>
  </w:num>
  <w:num w:numId="230">
    <w:abstractNumId w:val="169"/>
  </w:num>
  <w:num w:numId="231">
    <w:abstractNumId w:val="179"/>
  </w:num>
  <w:num w:numId="232">
    <w:abstractNumId w:val="81"/>
  </w:num>
  <w:num w:numId="233">
    <w:abstractNumId w:val="249"/>
  </w:num>
  <w:num w:numId="234">
    <w:abstractNumId w:val="237"/>
  </w:num>
  <w:num w:numId="235">
    <w:abstractNumId w:val="221"/>
  </w:num>
  <w:num w:numId="236">
    <w:abstractNumId w:val="90"/>
  </w:num>
  <w:num w:numId="237">
    <w:abstractNumId w:val="379"/>
  </w:num>
  <w:num w:numId="238">
    <w:abstractNumId w:val="257"/>
  </w:num>
  <w:num w:numId="239">
    <w:abstractNumId w:val="349"/>
  </w:num>
  <w:num w:numId="240">
    <w:abstractNumId w:val="73"/>
  </w:num>
  <w:num w:numId="241">
    <w:abstractNumId w:val="191"/>
  </w:num>
  <w:num w:numId="242">
    <w:abstractNumId w:val="95"/>
  </w:num>
  <w:num w:numId="243">
    <w:abstractNumId w:val="165"/>
  </w:num>
  <w:num w:numId="244">
    <w:abstractNumId w:val="106"/>
  </w:num>
  <w:num w:numId="245">
    <w:abstractNumId w:val="337"/>
  </w:num>
  <w:num w:numId="246">
    <w:abstractNumId w:val="28"/>
  </w:num>
  <w:num w:numId="247">
    <w:abstractNumId w:val="114"/>
  </w:num>
  <w:num w:numId="248">
    <w:abstractNumId w:val="306"/>
  </w:num>
  <w:num w:numId="249">
    <w:abstractNumId w:val="15"/>
  </w:num>
  <w:num w:numId="250">
    <w:abstractNumId w:val="280"/>
  </w:num>
  <w:num w:numId="251">
    <w:abstractNumId w:val="181"/>
  </w:num>
  <w:num w:numId="252">
    <w:abstractNumId w:val="226"/>
  </w:num>
  <w:num w:numId="253">
    <w:abstractNumId w:val="14"/>
  </w:num>
  <w:num w:numId="254">
    <w:abstractNumId w:val="235"/>
  </w:num>
  <w:num w:numId="255">
    <w:abstractNumId w:val="367"/>
  </w:num>
  <w:num w:numId="256">
    <w:abstractNumId w:val="16"/>
  </w:num>
  <w:num w:numId="257">
    <w:abstractNumId w:val="190"/>
  </w:num>
  <w:num w:numId="258">
    <w:abstractNumId w:val="202"/>
  </w:num>
  <w:num w:numId="259">
    <w:abstractNumId w:val="140"/>
  </w:num>
  <w:num w:numId="260">
    <w:abstractNumId w:val="143"/>
  </w:num>
  <w:num w:numId="261">
    <w:abstractNumId w:val="96"/>
  </w:num>
  <w:num w:numId="262">
    <w:abstractNumId w:val="317"/>
  </w:num>
  <w:num w:numId="263">
    <w:abstractNumId w:val="59"/>
  </w:num>
  <w:num w:numId="264">
    <w:abstractNumId w:val="297"/>
  </w:num>
  <w:num w:numId="265">
    <w:abstractNumId w:val="287"/>
  </w:num>
  <w:num w:numId="266">
    <w:abstractNumId w:val="147"/>
  </w:num>
  <w:num w:numId="267">
    <w:abstractNumId w:val="144"/>
  </w:num>
  <w:num w:numId="268">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207"/>
  </w:num>
  <w:num w:numId="270">
    <w:abstractNumId w:val="120"/>
  </w:num>
  <w:num w:numId="271">
    <w:abstractNumId w:val="27"/>
  </w:num>
  <w:num w:numId="272">
    <w:abstractNumId w:val="64"/>
  </w:num>
  <w:num w:numId="273">
    <w:abstractNumId w:val="148"/>
  </w:num>
  <w:num w:numId="274">
    <w:abstractNumId w:val="397"/>
  </w:num>
  <w:num w:numId="275">
    <w:abstractNumId w:val="320"/>
  </w:num>
  <w:num w:numId="276">
    <w:abstractNumId w:val="7"/>
  </w:num>
  <w:num w:numId="277">
    <w:abstractNumId w:val="3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386"/>
  </w:num>
  <w:num w:numId="279">
    <w:abstractNumId w:val="1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2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2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2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2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3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4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2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251"/>
    <w:lvlOverride w:ilvl="0">
      <w:startOverride w:val="1"/>
    </w:lvlOverride>
    <w:lvlOverride w:ilvl="1"/>
    <w:lvlOverride w:ilvl="2"/>
    <w:lvlOverride w:ilvl="3"/>
    <w:lvlOverride w:ilvl="4"/>
    <w:lvlOverride w:ilvl="5"/>
    <w:lvlOverride w:ilvl="6"/>
    <w:lvlOverride w:ilvl="7"/>
    <w:lvlOverride w:ilvl="8"/>
  </w:num>
  <w:num w:numId="289">
    <w:abstractNumId w:val="74"/>
  </w:num>
  <w:num w:numId="290">
    <w:abstractNumId w:val="43"/>
    <w:lvlOverride w:ilvl="0">
      <w:startOverride w:val="1"/>
    </w:lvlOverride>
    <w:lvlOverride w:ilvl="1"/>
    <w:lvlOverride w:ilvl="2"/>
    <w:lvlOverride w:ilvl="3"/>
    <w:lvlOverride w:ilvl="4"/>
    <w:lvlOverride w:ilvl="5"/>
    <w:lvlOverride w:ilvl="6"/>
    <w:lvlOverride w:ilvl="7"/>
    <w:lvlOverride w:ilvl="8"/>
  </w:num>
  <w:num w:numId="291">
    <w:abstractNumId w:val="3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3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2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32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30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246"/>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17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48"/>
  </w:num>
  <w:num w:numId="300">
    <w:abstractNumId w:val="12"/>
  </w:num>
  <w:num w:numId="301">
    <w:abstractNumId w:val="370"/>
  </w:num>
  <w:num w:numId="302">
    <w:abstractNumId w:val="9"/>
  </w:num>
  <w:num w:numId="303">
    <w:abstractNumId w:val="228"/>
  </w:num>
  <w:num w:numId="304">
    <w:abstractNumId w:val="340"/>
  </w:num>
  <w:num w:numId="305">
    <w:abstractNumId w:val="6"/>
  </w:num>
  <w:num w:numId="306">
    <w:abstractNumId w:val="290"/>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109"/>
  </w:num>
  <w:num w:numId="308">
    <w:abstractNumId w:val="392"/>
  </w:num>
  <w:num w:numId="309">
    <w:abstractNumId w:val="80"/>
  </w:num>
  <w:num w:numId="310">
    <w:abstractNumId w:val="352"/>
  </w:num>
  <w:num w:numId="311">
    <w:abstractNumId w:val="243"/>
  </w:num>
  <w:num w:numId="312">
    <w:abstractNumId w:val="134"/>
  </w:num>
  <w:num w:numId="313">
    <w:abstractNumId w:val="263"/>
  </w:num>
  <w:num w:numId="314">
    <w:abstractNumId w:val="309"/>
  </w:num>
  <w:num w:numId="315">
    <w:abstractNumId w:val="36"/>
  </w:num>
  <w:num w:numId="316">
    <w:abstractNumId w:val="92"/>
  </w:num>
  <w:num w:numId="317">
    <w:abstractNumId w:val="115"/>
  </w:num>
  <w:num w:numId="318">
    <w:abstractNumId w:val="139"/>
  </w:num>
  <w:num w:numId="319">
    <w:abstractNumId w:val="3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2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2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1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376"/>
  </w:num>
  <w:num w:numId="325">
    <w:abstractNumId w:val="23"/>
  </w:num>
  <w:num w:numId="326">
    <w:abstractNumId w:val="170"/>
  </w:num>
  <w:num w:numId="327">
    <w:abstractNumId w:val="166"/>
  </w:num>
  <w:num w:numId="328">
    <w:abstractNumId w:val="108"/>
  </w:num>
  <w:num w:numId="329">
    <w:abstractNumId w:val="374"/>
  </w:num>
  <w:num w:numId="330">
    <w:abstractNumId w:val="168"/>
  </w:num>
  <w:num w:numId="331">
    <w:abstractNumId w:val="94"/>
  </w:num>
  <w:num w:numId="332">
    <w:abstractNumId w:val="371"/>
  </w:num>
  <w:num w:numId="333">
    <w:abstractNumId w:val="66"/>
  </w:num>
  <w:num w:numId="334">
    <w:abstractNumId w:val="308"/>
  </w:num>
  <w:num w:numId="335">
    <w:abstractNumId w:val="350"/>
  </w:num>
  <w:num w:numId="336">
    <w:abstractNumId w:val="401"/>
  </w:num>
  <w:num w:numId="337">
    <w:abstractNumId w:val="133"/>
  </w:num>
  <w:num w:numId="338">
    <w:abstractNumId w:val="339"/>
  </w:num>
  <w:num w:numId="339">
    <w:abstractNumId w:val="188"/>
  </w:num>
  <w:num w:numId="340">
    <w:abstractNumId w:val="18"/>
  </w:num>
  <w:num w:numId="341">
    <w:abstractNumId w:val="299"/>
  </w:num>
  <w:num w:numId="342">
    <w:abstractNumId w:val="273"/>
  </w:num>
  <w:num w:numId="343">
    <w:abstractNumId w:val="35"/>
  </w:num>
  <w:num w:numId="344">
    <w:abstractNumId w:val="71"/>
  </w:num>
  <w:num w:numId="345">
    <w:abstractNumId w:val="110"/>
  </w:num>
  <w:num w:numId="346">
    <w:abstractNumId w:val="163"/>
  </w:num>
  <w:num w:numId="347">
    <w:abstractNumId w:val="159"/>
  </w:num>
  <w:num w:numId="348">
    <w:abstractNumId w:val="359"/>
  </w:num>
  <w:num w:numId="349">
    <w:abstractNumId w:val="149"/>
  </w:num>
  <w:num w:numId="350">
    <w:abstractNumId w:val="176"/>
  </w:num>
  <w:num w:numId="351">
    <w:abstractNumId w:val="239"/>
  </w:num>
  <w:num w:numId="352">
    <w:abstractNumId w:val="38"/>
  </w:num>
  <w:num w:numId="353">
    <w:abstractNumId w:val="164"/>
  </w:num>
  <w:num w:numId="354">
    <w:abstractNumId w:val="282"/>
  </w:num>
  <w:num w:numId="355">
    <w:abstractNumId w:val="43"/>
  </w:num>
  <w:num w:numId="356">
    <w:abstractNumId w:val="310"/>
  </w:num>
  <w:num w:numId="357">
    <w:abstractNumId w:val="331"/>
  </w:num>
  <w:num w:numId="35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174"/>
  </w:num>
  <w:num w:numId="360">
    <w:abstractNumId w:val="242"/>
  </w:num>
  <w:num w:numId="361">
    <w:abstractNumId w:val="343"/>
  </w:num>
  <w:num w:numId="362">
    <w:abstractNumId w:val="138"/>
  </w:num>
  <w:num w:numId="363">
    <w:abstractNumId w:val="354"/>
  </w:num>
  <w:num w:numId="364">
    <w:abstractNumId w:val="178"/>
  </w:num>
  <w:num w:numId="365">
    <w:abstractNumId w:val="158"/>
  </w:num>
  <w:num w:numId="366">
    <w:abstractNumId w:val="53"/>
  </w:num>
  <w:num w:numId="367">
    <w:abstractNumId w:val="219"/>
  </w:num>
  <w:num w:numId="368">
    <w:abstractNumId w:val="78"/>
  </w:num>
  <w:num w:numId="369">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232"/>
  </w:num>
  <w:num w:numId="371">
    <w:abstractNumId w:val="153"/>
  </w:num>
  <w:num w:numId="372">
    <w:abstractNumId w:val="275"/>
  </w:num>
  <w:num w:numId="373">
    <w:abstractNumId w:val="180"/>
  </w:num>
  <w:num w:numId="374">
    <w:abstractNumId w:val="329"/>
  </w:num>
  <w:num w:numId="375">
    <w:abstractNumId w:val="254"/>
  </w:num>
  <w:num w:numId="376">
    <w:abstractNumId w:val="318"/>
  </w:num>
  <w:num w:numId="377">
    <w:abstractNumId w:val="41"/>
  </w:num>
  <w:num w:numId="378">
    <w:abstractNumId w:val="51"/>
  </w:num>
  <w:num w:numId="379">
    <w:abstractNumId w:val="132"/>
  </w:num>
  <w:num w:numId="380">
    <w:abstractNumId w:val="336"/>
  </w:num>
  <w:num w:numId="381">
    <w:abstractNumId w:val="127"/>
  </w:num>
  <w:num w:numId="382">
    <w:abstractNumId w:val="336"/>
  </w:num>
  <w:num w:numId="383">
    <w:abstractNumId w:val="360"/>
  </w:num>
  <w:num w:numId="384">
    <w:abstractNumId w:val="312"/>
  </w:num>
  <w:num w:numId="385">
    <w:abstractNumId w:val="311"/>
  </w:num>
  <w:num w:numId="386">
    <w:abstractNumId w:val="298"/>
  </w:num>
  <w:num w:numId="387">
    <w:abstractNumId w:val="25"/>
  </w:num>
  <w:num w:numId="388">
    <w:abstractNumId w:val="214"/>
  </w:num>
  <w:num w:numId="389">
    <w:abstractNumId w:val="60"/>
  </w:num>
  <w:num w:numId="390">
    <w:abstractNumId w:val="252"/>
  </w:num>
  <w:num w:numId="391">
    <w:abstractNumId w:val="234"/>
  </w:num>
  <w:num w:numId="392">
    <w:abstractNumId w:val="87"/>
  </w:num>
  <w:num w:numId="393">
    <w:abstractNumId w:val="377"/>
  </w:num>
  <w:num w:numId="394">
    <w:abstractNumId w:val="215"/>
  </w:num>
  <w:num w:numId="395">
    <w:abstractNumId w:val="124"/>
  </w:num>
  <w:num w:numId="396">
    <w:abstractNumId w:val="260"/>
  </w:num>
  <w:num w:numId="39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2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1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323"/>
  </w:num>
  <w:num w:numId="401">
    <w:abstractNumId w:val="189"/>
  </w:num>
  <w:num w:numId="402">
    <w:abstractNumId w:val="125"/>
  </w:num>
  <w:num w:numId="403">
    <w:abstractNumId w:val="111"/>
  </w:num>
  <w:num w:numId="404">
    <w:abstractNumId w:val="199"/>
  </w:num>
  <w:num w:numId="405">
    <w:abstractNumId w:val="197"/>
  </w:num>
  <w:num w:numId="406">
    <w:abstractNumId w:val="63"/>
  </w:num>
  <w:num w:numId="407">
    <w:abstractNumId w:val="322"/>
  </w:num>
  <w:num w:numId="408">
    <w:abstractNumId w:val="378"/>
  </w:num>
  <w:num w:numId="409">
    <w:abstractNumId w:val="2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278"/>
  </w:num>
  <w:num w:numId="411">
    <w:abstractNumId w:val="4"/>
  </w:num>
  <w:num w:numId="412">
    <w:abstractNumId w:val="303"/>
  </w:num>
  <w:numIdMacAtCleanup w:val="4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removePersonalInformation/>
  <w:removeDateAndTime/>
  <w:hideGrammaticalError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63E8"/>
    <w:rsid w:val="000009D8"/>
    <w:rsid w:val="00000CA6"/>
    <w:rsid w:val="00001B31"/>
    <w:rsid w:val="00003538"/>
    <w:rsid w:val="0000401A"/>
    <w:rsid w:val="0000543D"/>
    <w:rsid w:val="00005476"/>
    <w:rsid w:val="00005FB1"/>
    <w:rsid w:val="00006698"/>
    <w:rsid w:val="00011C3A"/>
    <w:rsid w:val="00013039"/>
    <w:rsid w:val="00013B3B"/>
    <w:rsid w:val="000141F4"/>
    <w:rsid w:val="00016CC6"/>
    <w:rsid w:val="000203B7"/>
    <w:rsid w:val="000203BF"/>
    <w:rsid w:val="000206B3"/>
    <w:rsid w:val="00022703"/>
    <w:rsid w:val="0002534D"/>
    <w:rsid w:val="00026EA5"/>
    <w:rsid w:val="00031EAF"/>
    <w:rsid w:val="000322C3"/>
    <w:rsid w:val="000324E5"/>
    <w:rsid w:val="00032D32"/>
    <w:rsid w:val="00033A7C"/>
    <w:rsid w:val="00034669"/>
    <w:rsid w:val="00035D4C"/>
    <w:rsid w:val="00036908"/>
    <w:rsid w:val="00036B49"/>
    <w:rsid w:val="000401B1"/>
    <w:rsid w:val="000409BC"/>
    <w:rsid w:val="00040AF4"/>
    <w:rsid w:val="000418BA"/>
    <w:rsid w:val="0004314B"/>
    <w:rsid w:val="00043851"/>
    <w:rsid w:val="00043F2B"/>
    <w:rsid w:val="0004631B"/>
    <w:rsid w:val="00047245"/>
    <w:rsid w:val="0005078E"/>
    <w:rsid w:val="000509B9"/>
    <w:rsid w:val="00050D36"/>
    <w:rsid w:val="00051EE3"/>
    <w:rsid w:val="0005246A"/>
    <w:rsid w:val="00053E98"/>
    <w:rsid w:val="00055DFF"/>
    <w:rsid w:val="000622ED"/>
    <w:rsid w:val="00062D27"/>
    <w:rsid w:val="00064717"/>
    <w:rsid w:val="00064DFE"/>
    <w:rsid w:val="00064EF4"/>
    <w:rsid w:val="000659CD"/>
    <w:rsid w:val="00066A3D"/>
    <w:rsid w:val="0006736A"/>
    <w:rsid w:val="000718A0"/>
    <w:rsid w:val="00072EFF"/>
    <w:rsid w:val="00073299"/>
    <w:rsid w:val="00074944"/>
    <w:rsid w:val="00076317"/>
    <w:rsid w:val="00077804"/>
    <w:rsid w:val="000820AC"/>
    <w:rsid w:val="000823FA"/>
    <w:rsid w:val="00082668"/>
    <w:rsid w:val="00082F74"/>
    <w:rsid w:val="000832DD"/>
    <w:rsid w:val="00084FD2"/>
    <w:rsid w:val="000851A6"/>
    <w:rsid w:val="000874CC"/>
    <w:rsid w:val="000900DC"/>
    <w:rsid w:val="00090AF4"/>
    <w:rsid w:val="00090E80"/>
    <w:rsid w:val="00091091"/>
    <w:rsid w:val="00092CB2"/>
    <w:rsid w:val="00093ECD"/>
    <w:rsid w:val="00095406"/>
    <w:rsid w:val="000975DB"/>
    <w:rsid w:val="000A0323"/>
    <w:rsid w:val="000A0CD7"/>
    <w:rsid w:val="000A1DF0"/>
    <w:rsid w:val="000A2A83"/>
    <w:rsid w:val="000A2E65"/>
    <w:rsid w:val="000A523D"/>
    <w:rsid w:val="000A61CE"/>
    <w:rsid w:val="000A6583"/>
    <w:rsid w:val="000A6768"/>
    <w:rsid w:val="000A68DA"/>
    <w:rsid w:val="000A6A1E"/>
    <w:rsid w:val="000A70B4"/>
    <w:rsid w:val="000B18B1"/>
    <w:rsid w:val="000B33F0"/>
    <w:rsid w:val="000B683F"/>
    <w:rsid w:val="000B7E99"/>
    <w:rsid w:val="000C156E"/>
    <w:rsid w:val="000C353C"/>
    <w:rsid w:val="000C5C83"/>
    <w:rsid w:val="000C614B"/>
    <w:rsid w:val="000C761F"/>
    <w:rsid w:val="000C7724"/>
    <w:rsid w:val="000D0906"/>
    <w:rsid w:val="000D20BF"/>
    <w:rsid w:val="000D2A99"/>
    <w:rsid w:val="000D39F8"/>
    <w:rsid w:val="000D59C7"/>
    <w:rsid w:val="000E1145"/>
    <w:rsid w:val="000E1806"/>
    <w:rsid w:val="000E1D70"/>
    <w:rsid w:val="000E236F"/>
    <w:rsid w:val="000E254C"/>
    <w:rsid w:val="000E286B"/>
    <w:rsid w:val="000E384D"/>
    <w:rsid w:val="000E4158"/>
    <w:rsid w:val="000E48D6"/>
    <w:rsid w:val="000E4D62"/>
    <w:rsid w:val="000E541E"/>
    <w:rsid w:val="000E5A36"/>
    <w:rsid w:val="000E6473"/>
    <w:rsid w:val="000F104E"/>
    <w:rsid w:val="000F171C"/>
    <w:rsid w:val="000F48B1"/>
    <w:rsid w:val="000F7D38"/>
    <w:rsid w:val="000F7E20"/>
    <w:rsid w:val="00100313"/>
    <w:rsid w:val="00100548"/>
    <w:rsid w:val="00100619"/>
    <w:rsid w:val="00100C1B"/>
    <w:rsid w:val="001024C9"/>
    <w:rsid w:val="0010305E"/>
    <w:rsid w:val="00103C0C"/>
    <w:rsid w:val="001043DA"/>
    <w:rsid w:val="001047E6"/>
    <w:rsid w:val="001059BB"/>
    <w:rsid w:val="00105FBA"/>
    <w:rsid w:val="00106E93"/>
    <w:rsid w:val="00107E98"/>
    <w:rsid w:val="00110145"/>
    <w:rsid w:val="00110934"/>
    <w:rsid w:val="00110A63"/>
    <w:rsid w:val="00112F8A"/>
    <w:rsid w:val="00113AA3"/>
    <w:rsid w:val="00115082"/>
    <w:rsid w:val="001177B2"/>
    <w:rsid w:val="001178C6"/>
    <w:rsid w:val="00117B54"/>
    <w:rsid w:val="0012163A"/>
    <w:rsid w:val="00122C6F"/>
    <w:rsid w:val="001272C2"/>
    <w:rsid w:val="00127599"/>
    <w:rsid w:val="00127FAA"/>
    <w:rsid w:val="00127FBA"/>
    <w:rsid w:val="00127FCF"/>
    <w:rsid w:val="001323BC"/>
    <w:rsid w:val="001349BB"/>
    <w:rsid w:val="00134B4C"/>
    <w:rsid w:val="001361B8"/>
    <w:rsid w:val="0013689D"/>
    <w:rsid w:val="00136FC4"/>
    <w:rsid w:val="0013702F"/>
    <w:rsid w:val="0013742D"/>
    <w:rsid w:val="00140E59"/>
    <w:rsid w:val="00140FE3"/>
    <w:rsid w:val="00145E20"/>
    <w:rsid w:val="00147A20"/>
    <w:rsid w:val="001517B0"/>
    <w:rsid w:val="00153B8D"/>
    <w:rsid w:val="001541DD"/>
    <w:rsid w:val="0015521A"/>
    <w:rsid w:val="00155C9E"/>
    <w:rsid w:val="00155E0D"/>
    <w:rsid w:val="00157ECA"/>
    <w:rsid w:val="001626CB"/>
    <w:rsid w:val="0016391C"/>
    <w:rsid w:val="00163A9F"/>
    <w:rsid w:val="00170B1A"/>
    <w:rsid w:val="0017155C"/>
    <w:rsid w:val="001716A1"/>
    <w:rsid w:val="00171BA0"/>
    <w:rsid w:val="00171D7B"/>
    <w:rsid w:val="001723F5"/>
    <w:rsid w:val="00172982"/>
    <w:rsid w:val="0017309C"/>
    <w:rsid w:val="001736C2"/>
    <w:rsid w:val="00173C2B"/>
    <w:rsid w:val="0017572F"/>
    <w:rsid w:val="001769A1"/>
    <w:rsid w:val="001773B0"/>
    <w:rsid w:val="00182856"/>
    <w:rsid w:val="00182DE1"/>
    <w:rsid w:val="00183672"/>
    <w:rsid w:val="0018381D"/>
    <w:rsid w:val="001840C9"/>
    <w:rsid w:val="001866B9"/>
    <w:rsid w:val="001939EF"/>
    <w:rsid w:val="001956EE"/>
    <w:rsid w:val="001A08B6"/>
    <w:rsid w:val="001A2595"/>
    <w:rsid w:val="001A2B60"/>
    <w:rsid w:val="001A2D08"/>
    <w:rsid w:val="001A2D18"/>
    <w:rsid w:val="001A3324"/>
    <w:rsid w:val="001A4921"/>
    <w:rsid w:val="001A5308"/>
    <w:rsid w:val="001A75B5"/>
    <w:rsid w:val="001B0F36"/>
    <w:rsid w:val="001B36B6"/>
    <w:rsid w:val="001B4BE4"/>
    <w:rsid w:val="001B506B"/>
    <w:rsid w:val="001B68B0"/>
    <w:rsid w:val="001B691C"/>
    <w:rsid w:val="001B7D1F"/>
    <w:rsid w:val="001C002B"/>
    <w:rsid w:val="001C197C"/>
    <w:rsid w:val="001C232D"/>
    <w:rsid w:val="001C2FE7"/>
    <w:rsid w:val="001C32BD"/>
    <w:rsid w:val="001C37CA"/>
    <w:rsid w:val="001C3983"/>
    <w:rsid w:val="001C3B9F"/>
    <w:rsid w:val="001C4524"/>
    <w:rsid w:val="001C6862"/>
    <w:rsid w:val="001C7067"/>
    <w:rsid w:val="001C792C"/>
    <w:rsid w:val="001D010C"/>
    <w:rsid w:val="001D0869"/>
    <w:rsid w:val="001D12E0"/>
    <w:rsid w:val="001D1450"/>
    <w:rsid w:val="001D1B43"/>
    <w:rsid w:val="001D42E6"/>
    <w:rsid w:val="001D4582"/>
    <w:rsid w:val="001D5BCB"/>
    <w:rsid w:val="001D5DF8"/>
    <w:rsid w:val="001D6710"/>
    <w:rsid w:val="001E0C79"/>
    <w:rsid w:val="001E0CA8"/>
    <w:rsid w:val="001E40A8"/>
    <w:rsid w:val="001E7922"/>
    <w:rsid w:val="001F1092"/>
    <w:rsid w:val="001F129B"/>
    <w:rsid w:val="001F355F"/>
    <w:rsid w:val="00201773"/>
    <w:rsid w:val="0020336C"/>
    <w:rsid w:val="00203D78"/>
    <w:rsid w:val="00206B90"/>
    <w:rsid w:val="00212C91"/>
    <w:rsid w:val="00212D54"/>
    <w:rsid w:val="002157DF"/>
    <w:rsid w:val="00215C71"/>
    <w:rsid w:val="00217768"/>
    <w:rsid w:val="00220AF8"/>
    <w:rsid w:val="00221E8A"/>
    <w:rsid w:val="00224EAD"/>
    <w:rsid w:val="00224F8A"/>
    <w:rsid w:val="00226058"/>
    <w:rsid w:val="002267D2"/>
    <w:rsid w:val="00227685"/>
    <w:rsid w:val="002305B9"/>
    <w:rsid w:val="00231E80"/>
    <w:rsid w:val="0023261D"/>
    <w:rsid w:val="00232D4B"/>
    <w:rsid w:val="002333B7"/>
    <w:rsid w:val="0023484F"/>
    <w:rsid w:val="00235FA2"/>
    <w:rsid w:val="002416F8"/>
    <w:rsid w:val="0024412C"/>
    <w:rsid w:val="002446FC"/>
    <w:rsid w:val="002452F9"/>
    <w:rsid w:val="0024551C"/>
    <w:rsid w:val="002458C7"/>
    <w:rsid w:val="00245F8B"/>
    <w:rsid w:val="00246293"/>
    <w:rsid w:val="002505DB"/>
    <w:rsid w:val="00250FB8"/>
    <w:rsid w:val="00255174"/>
    <w:rsid w:val="0025559B"/>
    <w:rsid w:val="00255EDB"/>
    <w:rsid w:val="002575CE"/>
    <w:rsid w:val="002576AF"/>
    <w:rsid w:val="00260377"/>
    <w:rsid w:val="00261685"/>
    <w:rsid w:val="00263B02"/>
    <w:rsid w:val="002657D2"/>
    <w:rsid w:val="00266AF0"/>
    <w:rsid w:val="0027060E"/>
    <w:rsid w:val="002709E8"/>
    <w:rsid w:val="00270FB9"/>
    <w:rsid w:val="002724E9"/>
    <w:rsid w:val="00272783"/>
    <w:rsid w:val="00274005"/>
    <w:rsid w:val="00276026"/>
    <w:rsid w:val="002765EE"/>
    <w:rsid w:val="00276B5C"/>
    <w:rsid w:val="00277055"/>
    <w:rsid w:val="002800A5"/>
    <w:rsid w:val="002801FF"/>
    <w:rsid w:val="00280654"/>
    <w:rsid w:val="00281C87"/>
    <w:rsid w:val="002822F6"/>
    <w:rsid w:val="0028265C"/>
    <w:rsid w:val="0028326F"/>
    <w:rsid w:val="00283980"/>
    <w:rsid w:val="00285839"/>
    <w:rsid w:val="00290695"/>
    <w:rsid w:val="00290F56"/>
    <w:rsid w:val="00293AAF"/>
    <w:rsid w:val="00294899"/>
    <w:rsid w:val="002949D4"/>
    <w:rsid w:val="00295119"/>
    <w:rsid w:val="00295379"/>
    <w:rsid w:val="0029758F"/>
    <w:rsid w:val="002A18CA"/>
    <w:rsid w:val="002A1BDA"/>
    <w:rsid w:val="002A521D"/>
    <w:rsid w:val="002A65F5"/>
    <w:rsid w:val="002A793B"/>
    <w:rsid w:val="002B1440"/>
    <w:rsid w:val="002B2727"/>
    <w:rsid w:val="002B30B5"/>
    <w:rsid w:val="002B314A"/>
    <w:rsid w:val="002B60CD"/>
    <w:rsid w:val="002B720C"/>
    <w:rsid w:val="002B722F"/>
    <w:rsid w:val="002B7E0D"/>
    <w:rsid w:val="002C05B2"/>
    <w:rsid w:val="002C0BED"/>
    <w:rsid w:val="002C0F95"/>
    <w:rsid w:val="002C2DF2"/>
    <w:rsid w:val="002C6507"/>
    <w:rsid w:val="002C6514"/>
    <w:rsid w:val="002D35D5"/>
    <w:rsid w:val="002D40A7"/>
    <w:rsid w:val="002D4430"/>
    <w:rsid w:val="002D51B2"/>
    <w:rsid w:val="002D6CBC"/>
    <w:rsid w:val="002D7456"/>
    <w:rsid w:val="002D7FF2"/>
    <w:rsid w:val="002E1478"/>
    <w:rsid w:val="002E198C"/>
    <w:rsid w:val="002E24C3"/>
    <w:rsid w:val="002E2F5F"/>
    <w:rsid w:val="002E3909"/>
    <w:rsid w:val="002E4359"/>
    <w:rsid w:val="002E4CDE"/>
    <w:rsid w:val="002E51D7"/>
    <w:rsid w:val="002E6BFF"/>
    <w:rsid w:val="002F0FAA"/>
    <w:rsid w:val="002F18AA"/>
    <w:rsid w:val="002F1E31"/>
    <w:rsid w:val="002F600A"/>
    <w:rsid w:val="002F763B"/>
    <w:rsid w:val="00300DCF"/>
    <w:rsid w:val="00301105"/>
    <w:rsid w:val="003020B8"/>
    <w:rsid w:val="00303A2D"/>
    <w:rsid w:val="00304959"/>
    <w:rsid w:val="00305CCD"/>
    <w:rsid w:val="00305D71"/>
    <w:rsid w:val="003063D7"/>
    <w:rsid w:val="00306F23"/>
    <w:rsid w:val="003076FE"/>
    <w:rsid w:val="00307767"/>
    <w:rsid w:val="00307F99"/>
    <w:rsid w:val="00310591"/>
    <w:rsid w:val="00311C90"/>
    <w:rsid w:val="003120E4"/>
    <w:rsid w:val="00314F59"/>
    <w:rsid w:val="00316337"/>
    <w:rsid w:val="00316569"/>
    <w:rsid w:val="00316ED0"/>
    <w:rsid w:val="00317707"/>
    <w:rsid w:val="00320515"/>
    <w:rsid w:val="00321E75"/>
    <w:rsid w:val="0032289B"/>
    <w:rsid w:val="003228C9"/>
    <w:rsid w:val="00322B00"/>
    <w:rsid w:val="00325785"/>
    <w:rsid w:val="00326E7E"/>
    <w:rsid w:val="00327A83"/>
    <w:rsid w:val="00330044"/>
    <w:rsid w:val="00330C1F"/>
    <w:rsid w:val="00331D9B"/>
    <w:rsid w:val="00332581"/>
    <w:rsid w:val="00333A38"/>
    <w:rsid w:val="00333F4F"/>
    <w:rsid w:val="00334F78"/>
    <w:rsid w:val="0033507F"/>
    <w:rsid w:val="00340593"/>
    <w:rsid w:val="00340770"/>
    <w:rsid w:val="00341477"/>
    <w:rsid w:val="003425F6"/>
    <w:rsid w:val="00342CF6"/>
    <w:rsid w:val="00346FC0"/>
    <w:rsid w:val="0035413F"/>
    <w:rsid w:val="00354FBA"/>
    <w:rsid w:val="003569B9"/>
    <w:rsid w:val="00356A5B"/>
    <w:rsid w:val="00361A63"/>
    <w:rsid w:val="00363CFA"/>
    <w:rsid w:val="0036463A"/>
    <w:rsid w:val="003667DA"/>
    <w:rsid w:val="00367AAF"/>
    <w:rsid w:val="0037016C"/>
    <w:rsid w:val="0037051F"/>
    <w:rsid w:val="00370AC2"/>
    <w:rsid w:val="00371592"/>
    <w:rsid w:val="003720AA"/>
    <w:rsid w:val="00372889"/>
    <w:rsid w:val="00373358"/>
    <w:rsid w:val="00373CA2"/>
    <w:rsid w:val="00376028"/>
    <w:rsid w:val="00376E7B"/>
    <w:rsid w:val="00377D4D"/>
    <w:rsid w:val="00384497"/>
    <w:rsid w:val="003851C7"/>
    <w:rsid w:val="00385D6F"/>
    <w:rsid w:val="00386BE1"/>
    <w:rsid w:val="003870B7"/>
    <w:rsid w:val="003900EC"/>
    <w:rsid w:val="0039101A"/>
    <w:rsid w:val="003919EE"/>
    <w:rsid w:val="00392B16"/>
    <w:rsid w:val="00393D67"/>
    <w:rsid w:val="003942E9"/>
    <w:rsid w:val="003943FB"/>
    <w:rsid w:val="00394938"/>
    <w:rsid w:val="00395CE5"/>
    <w:rsid w:val="00397308"/>
    <w:rsid w:val="00397735"/>
    <w:rsid w:val="00397C39"/>
    <w:rsid w:val="003A026D"/>
    <w:rsid w:val="003A1261"/>
    <w:rsid w:val="003A2618"/>
    <w:rsid w:val="003A2AE2"/>
    <w:rsid w:val="003A2CED"/>
    <w:rsid w:val="003A3228"/>
    <w:rsid w:val="003A3CE5"/>
    <w:rsid w:val="003A50A7"/>
    <w:rsid w:val="003A7C64"/>
    <w:rsid w:val="003B0250"/>
    <w:rsid w:val="003B0F6B"/>
    <w:rsid w:val="003B1847"/>
    <w:rsid w:val="003B2753"/>
    <w:rsid w:val="003B3794"/>
    <w:rsid w:val="003B49AF"/>
    <w:rsid w:val="003B54B9"/>
    <w:rsid w:val="003B5EA5"/>
    <w:rsid w:val="003B7874"/>
    <w:rsid w:val="003C0AD6"/>
    <w:rsid w:val="003C144C"/>
    <w:rsid w:val="003C15FE"/>
    <w:rsid w:val="003C1D27"/>
    <w:rsid w:val="003C3BC7"/>
    <w:rsid w:val="003C3C23"/>
    <w:rsid w:val="003C55AF"/>
    <w:rsid w:val="003C588F"/>
    <w:rsid w:val="003C62F7"/>
    <w:rsid w:val="003C6586"/>
    <w:rsid w:val="003C6F0C"/>
    <w:rsid w:val="003C7448"/>
    <w:rsid w:val="003C7DA6"/>
    <w:rsid w:val="003D05DB"/>
    <w:rsid w:val="003D1D6F"/>
    <w:rsid w:val="003D4388"/>
    <w:rsid w:val="003D4A37"/>
    <w:rsid w:val="003D77B1"/>
    <w:rsid w:val="003D7A27"/>
    <w:rsid w:val="003E1CDE"/>
    <w:rsid w:val="003E20E8"/>
    <w:rsid w:val="003E24C6"/>
    <w:rsid w:val="003E3040"/>
    <w:rsid w:val="003E3051"/>
    <w:rsid w:val="003E414F"/>
    <w:rsid w:val="003E5E8A"/>
    <w:rsid w:val="003E758E"/>
    <w:rsid w:val="003F04DC"/>
    <w:rsid w:val="003F1275"/>
    <w:rsid w:val="003F39FC"/>
    <w:rsid w:val="003F3C6E"/>
    <w:rsid w:val="003F4D6F"/>
    <w:rsid w:val="003F670C"/>
    <w:rsid w:val="003F778A"/>
    <w:rsid w:val="003F7DD0"/>
    <w:rsid w:val="00400B58"/>
    <w:rsid w:val="00401CEC"/>
    <w:rsid w:val="00404FEE"/>
    <w:rsid w:val="00407883"/>
    <w:rsid w:val="0041040C"/>
    <w:rsid w:val="004108DB"/>
    <w:rsid w:val="004119B1"/>
    <w:rsid w:val="00412237"/>
    <w:rsid w:val="00412CA6"/>
    <w:rsid w:val="00415947"/>
    <w:rsid w:val="00416B96"/>
    <w:rsid w:val="00416FEC"/>
    <w:rsid w:val="00421499"/>
    <w:rsid w:val="00421517"/>
    <w:rsid w:val="00421B02"/>
    <w:rsid w:val="00422769"/>
    <w:rsid w:val="004227C4"/>
    <w:rsid w:val="00422A97"/>
    <w:rsid w:val="00424F06"/>
    <w:rsid w:val="004255FB"/>
    <w:rsid w:val="004257F5"/>
    <w:rsid w:val="0043055E"/>
    <w:rsid w:val="0043089F"/>
    <w:rsid w:val="00430C9B"/>
    <w:rsid w:val="0043214B"/>
    <w:rsid w:val="00436BFA"/>
    <w:rsid w:val="00437BEE"/>
    <w:rsid w:val="00437E43"/>
    <w:rsid w:val="0044329B"/>
    <w:rsid w:val="00443541"/>
    <w:rsid w:val="00443739"/>
    <w:rsid w:val="004456D4"/>
    <w:rsid w:val="00445F97"/>
    <w:rsid w:val="004466CE"/>
    <w:rsid w:val="00447E2D"/>
    <w:rsid w:val="00450D3D"/>
    <w:rsid w:val="00451A2B"/>
    <w:rsid w:val="0045286B"/>
    <w:rsid w:val="00455844"/>
    <w:rsid w:val="00455AB3"/>
    <w:rsid w:val="00460B42"/>
    <w:rsid w:val="00460F21"/>
    <w:rsid w:val="00462291"/>
    <w:rsid w:val="00462D90"/>
    <w:rsid w:val="004637AA"/>
    <w:rsid w:val="00464039"/>
    <w:rsid w:val="0046504B"/>
    <w:rsid w:val="00465A66"/>
    <w:rsid w:val="00465B83"/>
    <w:rsid w:val="004715F8"/>
    <w:rsid w:val="00471F4F"/>
    <w:rsid w:val="0047322B"/>
    <w:rsid w:val="00473244"/>
    <w:rsid w:val="00473DD1"/>
    <w:rsid w:val="00476400"/>
    <w:rsid w:val="00481079"/>
    <w:rsid w:val="00481D7B"/>
    <w:rsid w:val="0048347B"/>
    <w:rsid w:val="00484A9D"/>
    <w:rsid w:val="00484C97"/>
    <w:rsid w:val="00484FC1"/>
    <w:rsid w:val="00485F0F"/>
    <w:rsid w:val="00485FC7"/>
    <w:rsid w:val="00486158"/>
    <w:rsid w:val="00486462"/>
    <w:rsid w:val="0048712C"/>
    <w:rsid w:val="00487880"/>
    <w:rsid w:val="0049054E"/>
    <w:rsid w:val="00494822"/>
    <w:rsid w:val="004972F3"/>
    <w:rsid w:val="004A221F"/>
    <w:rsid w:val="004A3C6A"/>
    <w:rsid w:val="004A5213"/>
    <w:rsid w:val="004A5484"/>
    <w:rsid w:val="004A7447"/>
    <w:rsid w:val="004B086E"/>
    <w:rsid w:val="004B7665"/>
    <w:rsid w:val="004B793F"/>
    <w:rsid w:val="004C228D"/>
    <w:rsid w:val="004C5010"/>
    <w:rsid w:val="004C5926"/>
    <w:rsid w:val="004C6AA8"/>
    <w:rsid w:val="004C6EB7"/>
    <w:rsid w:val="004D01DE"/>
    <w:rsid w:val="004D2E7C"/>
    <w:rsid w:val="004D399D"/>
    <w:rsid w:val="004D3D07"/>
    <w:rsid w:val="004D64CC"/>
    <w:rsid w:val="004D6938"/>
    <w:rsid w:val="004D6BC8"/>
    <w:rsid w:val="004D7815"/>
    <w:rsid w:val="004D7A30"/>
    <w:rsid w:val="004E0189"/>
    <w:rsid w:val="004E096B"/>
    <w:rsid w:val="004E0CD6"/>
    <w:rsid w:val="004E35FE"/>
    <w:rsid w:val="004E3967"/>
    <w:rsid w:val="004E57CD"/>
    <w:rsid w:val="004E6C7F"/>
    <w:rsid w:val="004F36BB"/>
    <w:rsid w:val="004F3EC7"/>
    <w:rsid w:val="004F4B8E"/>
    <w:rsid w:val="004F4F08"/>
    <w:rsid w:val="004F550D"/>
    <w:rsid w:val="004F700A"/>
    <w:rsid w:val="00501708"/>
    <w:rsid w:val="00501848"/>
    <w:rsid w:val="005018F2"/>
    <w:rsid w:val="00501CAA"/>
    <w:rsid w:val="00502A29"/>
    <w:rsid w:val="00505C3A"/>
    <w:rsid w:val="00506F27"/>
    <w:rsid w:val="0051034E"/>
    <w:rsid w:val="005107AD"/>
    <w:rsid w:val="00510CDA"/>
    <w:rsid w:val="00511E1B"/>
    <w:rsid w:val="00513AFB"/>
    <w:rsid w:val="0051760A"/>
    <w:rsid w:val="00517B1D"/>
    <w:rsid w:val="005220AE"/>
    <w:rsid w:val="00522211"/>
    <w:rsid w:val="005224E2"/>
    <w:rsid w:val="0052337A"/>
    <w:rsid w:val="005238B2"/>
    <w:rsid w:val="005239A6"/>
    <w:rsid w:val="005243B9"/>
    <w:rsid w:val="005279E2"/>
    <w:rsid w:val="0053066F"/>
    <w:rsid w:val="00530C13"/>
    <w:rsid w:val="0053115A"/>
    <w:rsid w:val="00533EB0"/>
    <w:rsid w:val="00534445"/>
    <w:rsid w:val="0053588C"/>
    <w:rsid w:val="00535A71"/>
    <w:rsid w:val="00536911"/>
    <w:rsid w:val="00536A8B"/>
    <w:rsid w:val="0053742D"/>
    <w:rsid w:val="00537E96"/>
    <w:rsid w:val="00540841"/>
    <w:rsid w:val="00540A84"/>
    <w:rsid w:val="00543479"/>
    <w:rsid w:val="005470DD"/>
    <w:rsid w:val="00547155"/>
    <w:rsid w:val="005475B5"/>
    <w:rsid w:val="00547EBC"/>
    <w:rsid w:val="005527E2"/>
    <w:rsid w:val="005531C5"/>
    <w:rsid w:val="00553293"/>
    <w:rsid w:val="00553A7C"/>
    <w:rsid w:val="00553D3A"/>
    <w:rsid w:val="00553FBB"/>
    <w:rsid w:val="0055554F"/>
    <w:rsid w:val="0055624B"/>
    <w:rsid w:val="00556398"/>
    <w:rsid w:val="005563AE"/>
    <w:rsid w:val="0055701C"/>
    <w:rsid w:val="00557CE5"/>
    <w:rsid w:val="005625AC"/>
    <w:rsid w:val="00564E0E"/>
    <w:rsid w:val="00566C02"/>
    <w:rsid w:val="005700C0"/>
    <w:rsid w:val="0057023A"/>
    <w:rsid w:val="00570289"/>
    <w:rsid w:val="005711BB"/>
    <w:rsid w:val="00572488"/>
    <w:rsid w:val="00572773"/>
    <w:rsid w:val="00573E4C"/>
    <w:rsid w:val="00573E84"/>
    <w:rsid w:val="0057476E"/>
    <w:rsid w:val="00576A53"/>
    <w:rsid w:val="00577A63"/>
    <w:rsid w:val="0058398F"/>
    <w:rsid w:val="005841B2"/>
    <w:rsid w:val="0058711E"/>
    <w:rsid w:val="0058724D"/>
    <w:rsid w:val="005874D3"/>
    <w:rsid w:val="00587584"/>
    <w:rsid w:val="00587B58"/>
    <w:rsid w:val="00592EA0"/>
    <w:rsid w:val="00594B46"/>
    <w:rsid w:val="00595C09"/>
    <w:rsid w:val="00597E25"/>
    <w:rsid w:val="005A033D"/>
    <w:rsid w:val="005A1A1E"/>
    <w:rsid w:val="005A247A"/>
    <w:rsid w:val="005A5BEE"/>
    <w:rsid w:val="005A5CFE"/>
    <w:rsid w:val="005B28D3"/>
    <w:rsid w:val="005B2DEB"/>
    <w:rsid w:val="005B3355"/>
    <w:rsid w:val="005B407B"/>
    <w:rsid w:val="005B4ECE"/>
    <w:rsid w:val="005B4F8F"/>
    <w:rsid w:val="005B55E4"/>
    <w:rsid w:val="005B5BB5"/>
    <w:rsid w:val="005B645E"/>
    <w:rsid w:val="005B6917"/>
    <w:rsid w:val="005C0542"/>
    <w:rsid w:val="005C0DFF"/>
    <w:rsid w:val="005C4AB7"/>
    <w:rsid w:val="005C6CF5"/>
    <w:rsid w:val="005D01F4"/>
    <w:rsid w:val="005D09F7"/>
    <w:rsid w:val="005D0FE6"/>
    <w:rsid w:val="005D1036"/>
    <w:rsid w:val="005D2BEA"/>
    <w:rsid w:val="005D555C"/>
    <w:rsid w:val="005D6953"/>
    <w:rsid w:val="005E074D"/>
    <w:rsid w:val="005E5FB6"/>
    <w:rsid w:val="005E61C1"/>
    <w:rsid w:val="005E7791"/>
    <w:rsid w:val="005E77D5"/>
    <w:rsid w:val="005F05AF"/>
    <w:rsid w:val="005F075A"/>
    <w:rsid w:val="005F09D3"/>
    <w:rsid w:val="005F22B0"/>
    <w:rsid w:val="005F2845"/>
    <w:rsid w:val="005F33B5"/>
    <w:rsid w:val="005F3CCA"/>
    <w:rsid w:val="005F3F78"/>
    <w:rsid w:val="005F45CC"/>
    <w:rsid w:val="005F4DB5"/>
    <w:rsid w:val="005F5266"/>
    <w:rsid w:val="005F6197"/>
    <w:rsid w:val="005F6869"/>
    <w:rsid w:val="005F7A35"/>
    <w:rsid w:val="005F7F6D"/>
    <w:rsid w:val="00600D13"/>
    <w:rsid w:val="006039DE"/>
    <w:rsid w:val="0060488F"/>
    <w:rsid w:val="00604BB4"/>
    <w:rsid w:val="00605AEA"/>
    <w:rsid w:val="00606312"/>
    <w:rsid w:val="0060763B"/>
    <w:rsid w:val="00611DA9"/>
    <w:rsid w:val="00612607"/>
    <w:rsid w:val="00614A7C"/>
    <w:rsid w:val="0061521B"/>
    <w:rsid w:val="00615B17"/>
    <w:rsid w:val="0061614D"/>
    <w:rsid w:val="00616A4F"/>
    <w:rsid w:val="00617B94"/>
    <w:rsid w:val="00623857"/>
    <w:rsid w:val="006241C5"/>
    <w:rsid w:val="006241E6"/>
    <w:rsid w:val="00624CAA"/>
    <w:rsid w:val="00625031"/>
    <w:rsid w:val="006255D5"/>
    <w:rsid w:val="00625864"/>
    <w:rsid w:val="00625DEA"/>
    <w:rsid w:val="00625FA8"/>
    <w:rsid w:val="0063175F"/>
    <w:rsid w:val="0063232A"/>
    <w:rsid w:val="006326DB"/>
    <w:rsid w:val="0063486A"/>
    <w:rsid w:val="0063492E"/>
    <w:rsid w:val="00634F3D"/>
    <w:rsid w:val="00635E4C"/>
    <w:rsid w:val="0064282C"/>
    <w:rsid w:val="00642BA9"/>
    <w:rsid w:val="00643CE1"/>
    <w:rsid w:val="006468ED"/>
    <w:rsid w:val="00650BA9"/>
    <w:rsid w:val="0065304D"/>
    <w:rsid w:val="00654198"/>
    <w:rsid w:val="00654615"/>
    <w:rsid w:val="00654D5E"/>
    <w:rsid w:val="006557FC"/>
    <w:rsid w:val="00655AA4"/>
    <w:rsid w:val="0065631F"/>
    <w:rsid w:val="00657222"/>
    <w:rsid w:val="00660BC3"/>
    <w:rsid w:val="006612B9"/>
    <w:rsid w:val="00663970"/>
    <w:rsid w:val="00664983"/>
    <w:rsid w:val="00664D27"/>
    <w:rsid w:val="00666B7B"/>
    <w:rsid w:val="006676F3"/>
    <w:rsid w:val="00667E4B"/>
    <w:rsid w:val="00667F68"/>
    <w:rsid w:val="006708A1"/>
    <w:rsid w:val="00671564"/>
    <w:rsid w:val="00671AD2"/>
    <w:rsid w:val="0067221E"/>
    <w:rsid w:val="00672342"/>
    <w:rsid w:val="00673252"/>
    <w:rsid w:val="0067553D"/>
    <w:rsid w:val="006803A0"/>
    <w:rsid w:val="006820D9"/>
    <w:rsid w:val="006825B9"/>
    <w:rsid w:val="00682682"/>
    <w:rsid w:val="00682D0A"/>
    <w:rsid w:val="00682D8C"/>
    <w:rsid w:val="00682EB1"/>
    <w:rsid w:val="0068335A"/>
    <w:rsid w:val="006839B4"/>
    <w:rsid w:val="00692228"/>
    <w:rsid w:val="00692429"/>
    <w:rsid w:val="006929A4"/>
    <w:rsid w:val="00692F1A"/>
    <w:rsid w:val="0069368D"/>
    <w:rsid w:val="00693C5E"/>
    <w:rsid w:val="006941A0"/>
    <w:rsid w:val="00695C53"/>
    <w:rsid w:val="0069799D"/>
    <w:rsid w:val="006A04AE"/>
    <w:rsid w:val="006A0531"/>
    <w:rsid w:val="006A23DA"/>
    <w:rsid w:val="006A26B0"/>
    <w:rsid w:val="006A4DDE"/>
    <w:rsid w:val="006A5CCC"/>
    <w:rsid w:val="006A5F79"/>
    <w:rsid w:val="006A6481"/>
    <w:rsid w:val="006B0710"/>
    <w:rsid w:val="006B1073"/>
    <w:rsid w:val="006B163F"/>
    <w:rsid w:val="006B1E36"/>
    <w:rsid w:val="006B21CC"/>
    <w:rsid w:val="006B2B6A"/>
    <w:rsid w:val="006B5723"/>
    <w:rsid w:val="006B778F"/>
    <w:rsid w:val="006C06D1"/>
    <w:rsid w:val="006C1C05"/>
    <w:rsid w:val="006C3B50"/>
    <w:rsid w:val="006C5004"/>
    <w:rsid w:val="006C50C7"/>
    <w:rsid w:val="006C6864"/>
    <w:rsid w:val="006C7E6A"/>
    <w:rsid w:val="006D0974"/>
    <w:rsid w:val="006D0B1E"/>
    <w:rsid w:val="006D0B29"/>
    <w:rsid w:val="006D1259"/>
    <w:rsid w:val="006D20EC"/>
    <w:rsid w:val="006D4930"/>
    <w:rsid w:val="006D4FC5"/>
    <w:rsid w:val="006D73ED"/>
    <w:rsid w:val="006D756C"/>
    <w:rsid w:val="006D75BF"/>
    <w:rsid w:val="006D7E32"/>
    <w:rsid w:val="006E0090"/>
    <w:rsid w:val="006E0204"/>
    <w:rsid w:val="006E0CE6"/>
    <w:rsid w:val="006E1FFF"/>
    <w:rsid w:val="006E35CB"/>
    <w:rsid w:val="006E47AC"/>
    <w:rsid w:val="006E488A"/>
    <w:rsid w:val="006E4AC7"/>
    <w:rsid w:val="006E4E1D"/>
    <w:rsid w:val="006E606A"/>
    <w:rsid w:val="006E78C3"/>
    <w:rsid w:val="006F1788"/>
    <w:rsid w:val="006F1EDF"/>
    <w:rsid w:val="006F3B93"/>
    <w:rsid w:val="006F3C0A"/>
    <w:rsid w:val="006F4458"/>
    <w:rsid w:val="006F5ABB"/>
    <w:rsid w:val="006F6B80"/>
    <w:rsid w:val="00701BF8"/>
    <w:rsid w:val="007020D7"/>
    <w:rsid w:val="0070333D"/>
    <w:rsid w:val="00703CA6"/>
    <w:rsid w:val="00704702"/>
    <w:rsid w:val="00706848"/>
    <w:rsid w:val="007105F8"/>
    <w:rsid w:val="00710D8E"/>
    <w:rsid w:val="00711DDC"/>
    <w:rsid w:val="007122E3"/>
    <w:rsid w:val="00713EB4"/>
    <w:rsid w:val="00716422"/>
    <w:rsid w:val="0071677F"/>
    <w:rsid w:val="00717045"/>
    <w:rsid w:val="00720014"/>
    <w:rsid w:val="0072030F"/>
    <w:rsid w:val="00721E3E"/>
    <w:rsid w:val="00721F46"/>
    <w:rsid w:val="007221F9"/>
    <w:rsid w:val="00723B2E"/>
    <w:rsid w:val="00724393"/>
    <w:rsid w:val="00724C46"/>
    <w:rsid w:val="00726CCE"/>
    <w:rsid w:val="00731FDF"/>
    <w:rsid w:val="0073222D"/>
    <w:rsid w:val="007324D5"/>
    <w:rsid w:val="00732B42"/>
    <w:rsid w:val="00733281"/>
    <w:rsid w:val="00734DAE"/>
    <w:rsid w:val="00734F81"/>
    <w:rsid w:val="00736062"/>
    <w:rsid w:val="00736AC0"/>
    <w:rsid w:val="0073723B"/>
    <w:rsid w:val="0074047D"/>
    <w:rsid w:val="007416E4"/>
    <w:rsid w:val="00742BA9"/>
    <w:rsid w:val="00742DC5"/>
    <w:rsid w:val="00744A3C"/>
    <w:rsid w:val="007454D6"/>
    <w:rsid w:val="007464FF"/>
    <w:rsid w:val="00747E5D"/>
    <w:rsid w:val="00747F8B"/>
    <w:rsid w:val="007502AD"/>
    <w:rsid w:val="00751213"/>
    <w:rsid w:val="007520AF"/>
    <w:rsid w:val="00752350"/>
    <w:rsid w:val="0075306F"/>
    <w:rsid w:val="00753B20"/>
    <w:rsid w:val="007543FA"/>
    <w:rsid w:val="00756296"/>
    <w:rsid w:val="00756CDA"/>
    <w:rsid w:val="00756F62"/>
    <w:rsid w:val="0076096E"/>
    <w:rsid w:val="00760B8C"/>
    <w:rsid w:val="00761325"/>
    <w:rsid w:val="00761C2A"/>
    <w:rsid w:val="00763BA9"/>
    <w:rsid w:val="007647A3"/>
    <w:rsid w:val="00764D0E"/>
    <w:rsid w:val="007651C9"/>
    <w:rsid w:val="007652B9"/>
    <w:rsid w:val="007655B1"/>
    <w:rsid w:val="00766DB4"/>
    <w:rsid w:val="007708C1"/>
    <w:rsid w:val="00770E60"/>
    <w:rsid w:val="00772CDC"/>
    <w:rsid w:val="00773343"/>
    <w:rsid w:val="00773876"/>
    <w:rsid w:val="00775096"/>
    <w:rsid w:val="00775CCE"/>
    <w:rsid w:val="00780749"/>
    <w:rsid w:val="00780A68"/>
    <w:rsid w:val="00780D97"/>
    <w:rsid w:val="00781BBA"/>
    <w:rsid w:val="00781C23"/>
    <w:rsid w:val="007821C4"/>
    <w:rsid w:val="00783E19"/>
    <w:rsid w:val="00786989"/>
    <w:rsid w:val="00787B01"/>
    <w:rsid w:val="007903E3"/>
    <w:rsid w:val="00791532"/>
    <w:rsid w:val="00791E2D"/>
    <w:rsid w:val="00793472"/>
    <w:rsid w:val="00794C04"/>
    <w:rsid w:val="00796F1C"/>
    <w:rsid w:val="0079703E"/>
    <w:rsid w:val="00797401"/>
    <w:rsid w:val="007A00B7"/>
    <w:rsid w:val="007A0898"/>
    <w:rsid w:val="007A1E8B"/>
    <w:rsid w:val="007A373F"/>
    <w:rsid w:val="007A46AE"/>
    <w:rsid w:val="007A580C"/>
    <w:rsid w:val="007A5942"/>
    <w:rsid w:val="007B053B"/>
    <w:rsid w:val="007B0CDC"/>
    <w:rsid w:val="007B0E75"/>
    <w:rsid w:val="007B15A3"/>
    <w:rsid w:val="007B194E"/>
    <w:rsid w:val="007B3984"/>
    <w:rsid w:val="007B5102"/>
    <w:rsid w:val="007C1F69"/>
    <w:rsid w:val="007C2B94"/>
    <w:rsid w:val="007C2CE4"/>
    <w:rsid w:val="007C552B"/>
    <w:rsid w:val="007C6114"/>
    <w:rsid w:val="007C7D70"/>
    <w:rsid w:val="007D0719"/>
    <w:rsid w:val="007D0E00"/>
    <w:rsid w:val="007D0E8E"/>
    <w:rsid w:val="007D1897"/>
    <w:rsid w:val="007D1C24"/>
    <w:rsid w:val="007D20A0"/>
    <w:rsid w:val="007D292D"/>
    <w:rsid w:val="007D38DF"/>
    <w:rsid w:val="007D4699"/>
    <w:rsid w:val="007D71D0"/>
    <w:rsid w:val="007D7393"/>
    <w:rsid w:val="007D7752"/>
    <w:rsid w:val="007E01CF"/>
    <w:rsid w:val="007E04E4"/>
    <w:rsid w:val="007E05D5"/>
    <w:rsid w:val="007E1490"/>
    <w:rsid w:val="007E4476"/>
    <w:rsid w:val="007E4B2B"/>
    <w:rsid w:val="007E4E1F"/>
    <w:rsid w:val="007E52F2"/>
    <w:rsid w:val="007E66C8"/>
    <w:rsid w:val="007F20D0"/>
    <w:rsid w:val="007F3628"/>
    <w:rsid w:val="007F5042"/>
    <w:rsid w:val="00802367"/>
    <w:rsid w:val="00803B7E"/>
    <w:rsid w:val="00803C14"/>
    <w:rsid w:val="00804F85"/>
    <w:rsid w:val="00805A45"/>
    <w:rsid w:val="00805B47"/>
    <w:rsid w:val="00806A33"/>
    <w:rsid w:val="00806AEE"/>
    <w:rsid w:val="00807014"/>
    <w:rsid w:val="008077EA"/>
    <w:rsid w:val="00807B9F"/>
    <w:rsid w:val="00807C7B"/>
    <w:rsid w:val="008108C8"/>
    <w:rsid w:val="00811577"/>
    <w:rsid w:val="008119B9"/>
    <w:rsid w:val="0081211E"/>
    <w:rsid w:val="0081288F"/>
    <w:rsid w:val="008130A2"/>
    <w:rsid w:val="008130F1"/>
    <w:rsid w:val="00813946"/>
    <w:rsid w:val="00813A03"/>
    <w:rsid w:val="008142B6"/>
    <w:rsid w:val="0081530C"/>
    <w:rsid w:val="00815970"/>
    <w:rsid w:val="00815A64"/>
    <w:rsid w:val="00815C8B"/>
    <w:rsid w:val="00823788"/>
    <w:rsid w:val="00825EC8"/>
    <w:rsid w:val="00826CA1"/>
    <w:rsid w:val="00827F61"/>
    <w:rsid w:val="008317E3"/>
    <w:rsid w:val="008318CC"/>
    <w:rsid w:val="008350FD"/>
    <w:rsid w:val="00835266"/>
    <w:rsid w:val="0083546A"/>
    <w:rsid w:val="008354B4"/>
    <w:rsid w:val="008363F7"/>
    <w:rsid w:val="00837DFE"/>
    <w:rsid w:val="0084144B"/>
    <w:rsid w:val="00841464"/>
    <w:rsid w:val="00841BF5"/>
    <w:rsid w:val="008429F2"/>
    <w:rsid w:val="008430F2"/>
    <w:rsid w:val="0084384E"/>
    <w:rsid w:val="00843C6E"/>
    <w:rsid w:val="00843D43"/>
    <w:rsid w:val="00844C0A"/>
    <w:rsid w:val="008452CB"/>
    <w:rsid w:val="00845BA5"/>
    <w:rsid w:val="008462A4"/>
    <w:rsid w:val="00846808"/>
    <w:rsid w:val="0085023A"/>
    <w:rsid w:val="00850962"/>
    <w:rsid w:val="008520E6"/>
    <w:rsid w:val="00852284"/>
    <w:rsid w:val="00853685"/>
    <w:rsid w:val="0085669C"/>
    <w:rsid w:val="00856E16"/>
    <w:rsid w:val="00857216"/>
    <w:rsid w:val="00857ACE"/>
    <w:rsid w:val="00857D31"/>
    <w:rsid w:val="00860AE6"/>
    <w:rsid w:val="008619DD"/>
    <w:rsid w:val="0086315D"/>
    <w:rsid w:val="00863DCC"/>
    <w:rsid w:val="00864E27"/>
    <w:rsid w:val="00865814"/>
    <w:rsid w:val="008675E7"/>
    <w:rsid w:val="00870883"/>
    <w:rsid w:val="00870A0F"/>
    <w:rsid w:val="00870B61"/>
    <w:rsid w:val="00871B36"/>
    <w:rsid w:val="0087390E"/>
    <w:rsid w:val="00874DC6"/>
    <w:rsid w:val="00875045"/>
    <w:rsid w:val="00876618"/>
    <w:rsid w:val="0088076C"/>
    <w:rsid w:val="00880EC1"/>
    <w:rsid w:val="00881D84"/>
    <w:rsid w:val="00883EF0"/>
    <w:rsid w:val="0088404B"/>
    <w:rsid w:val="00887348"/>
    <w:rsid w:val="00887541"/>
    <w:rsid w:val="00887623"/>
    <w:rsid w:val="008906DC"/>
    <w:rsid w:val="00891183"/>
    <w:rsid w:val="0089120A"/>
    <w:rsid w:val="00893512"/>
    <w:rsid w:val="00893E61"/>
    <w:rsid w:val="0089458A"/>
    <w:rsid w:val="00894A65"/>
    <w:rsid w:val="008958D2"/>
    <w:rsid w:val="00896578"/>
    <w:rsid w:val="008A0127"/>
    <w:rsid w:val="008A2386"/>
    <w:rsid w:val="008A2885"/>
    <w:rsid w:val="008A2D27"/>
    <w:rsid w:val="008A2E4F"/>
    <w:rsid w:val="008A2E61"/>
    <w:rsid w:val="008A6040"/>
    <w:rsid w:val="008A679A"/>
    <w:rsid w:val="008A67A6"/>
    <w:rsid w:val="008B2CD4"/>
    <w:rsid w:val="008B3978"/>
    <w:rsid w:val="008B403A"/>
    <w:rsid w:val="008B4AD3"/>
    <w:rsid w:val="008B6CAA"/>
    <w:rsid w:val="008B7562"/>
    <w:rsid w:val="008B7D1F"/>
    <w:rsid w:val="008C2015"/>
    <w:rsid w:val="008C3434"/>
    <w:rsid w:val="008C479E"/>
    <w:rsid w:val="008C5647"/>
    <w:rsid w:val="008C5B89"/>
    <w:rsid w:val="008C67D8"/>
    <w:rsid w:val="008C75A0"/>
    <w:rsid w:val="008D1729"/>
    <w:rsid w:val="008D1AA1"/>
    <w:rsid w:val="008D3CBF"/>
    <w:rsid w:val="008D52A5"/>
    <w:rsid w:val="008D5A0C"/>
    <w:rsid w:val="008D7E5A"/>
    <w:rsid w:val="008E01DC"/>
    <w:rsid w:val="008E1814"/>
    <w:rsid w:val="008E1B96"/>
    <w:rsid w:val="008E29D2"/>
    <w:rsid w:val="008E2E8F"/>
    <w:rsid w:val="008E31F4"/>
    <w:rsid w:val="008E32EA"/>
    <w:rsid w:val="008E54B4"/>
    <w:rsid w:val="008E60B8"/>
    <w:rsid w:val="008E676A"/>
    <w:rsid w:val="008E676B"/>
    <w:rsid w:val="008F004F"/>
    <w:rsid w:val="008F0969"/>
    <w:rsid w:val="008F2968"/>
    <w:rsid w:val="008F526A"/>
    <w:rsid w:val="008F541A"/>
    <w:rsid w:val="008F5BEE"/>
    <w:rsid w:val="008F6B1D"/>
    <w:rsid w:val="008F6B4E"/>
    <w:rsid w:val="008F6E58"/>
    <w:rsid w:val="00900169"/>
    <w:rsid w:val="00902829"/>
    <w:rsid w:val="00903718"/>
    <w:rsid w:val="00904235"/>
    <w:rsid w:val="009058FC"/>
    <w:rsid w:val="0090609E"/>
    <w:rsid w:val="00906913"/>
    <w:rsid w:val="009078F6"/>
    <w:rsid w:val="00907EE1"/>
    <w:rsid w:val="00910368"/>
    <w:rsid w:val="00910AA4"/>
    <w:rsid w:val="00912275"/>
    <w:rsid w:val="00912687"/>
    <w:rsid w:val="00913329"/>
    <w:rsid w:val="00913352"/>
    <w:rsid w:val="00913468"/>
    <w:rsid w:val="009153FA"/>
    <w:rsid w:val="00921418"/>
    <w:rsid w:val="00922669"/>
    <w:rsid w:val="00922ACA"/>
    <w:rsid w:val="00922C62"/>
    <w:rsid w:val="00922F7A"/>
    <w:rsid w:val="009245E6"/>
    <w:rsid w:val="0092730B"/>
    <w:rsid w:val="00927C4D"/>
    <w:rsid w:val="0093059E"/>
    <w:rsid w:val="0093167C"/>
    <w:rsid w:val="00932A90"/>
    <w:rsid w:val="00934925"/>
    <w:rsid w:val="00934FCF"/>
    <w:rsid w:val="0093571B"/>
    <w:rsid w:val="00935F66"/>
    <w:rsid w:val="00936AB3"/>
    <w:rsid w:val="00937F31"/>
    <w:rsid w:val="009407C8"/>
    <w:rsid w:val="0094199C"/>
    <w:rsid w:val="00942F11"/>
    <w:rsid w:val="00943C75"/>
    <w:rsid w:val="00944164"/>
    <w:rsid w:val="00944F1E"/>
    <w:rsid w:val="00946874"/>
    <w:rsid w:val="0095115F"/>
    <w:rsid w:val="00952567"/>
    <w:rsid w:val="00953734"/>
    <w:rsid w:val="009549C1"/>
    <w:rsid w:val="00954CE9"/>
    <w:rsid w:val="00956261"/>
    <w:rsid w:val="00956846"/>
    <w:rsid w:val="00957A14"/>
    <w:rsid w:val="00957F10"/>
    <w:rsid w:val="0096165D"/>
    <w:rsid w:val="00962180"/>
    <w:rsid w:val="0096393F"/>
    <w:rsid w:val="00964F4A"/>
    <w:rsid w:val="0096712F"/>
    <w:rsid w:val="00970543"/>
    <w:rsid w:val="00970ABD"/>
    <w:rsid w:val="00970E31"/>
    <w:rsid w:val="00972A2A"/>
    <w:rsid w:val="009735EC"/>
    <w:rsid w:val="00975615"/>
    <w:rsid w:val="00975D4B"/>
    <w:rsid w:val="00977C0B"/>
    <w:rsid w:val="00984A57"/>
    <w:rsid w:val="0098554E"/>
    <w:rsid w:val="0098559F"/>
    <w:rsid w:val="00985B3E"/>
    <w:rsid w:val="00986435"/>
    <w:rsid w:val="00987C2B"/>
    <w:rsid w:val="00990546"/>
    <w:rsid w:val="0099118B"/>
    <w:rsid w:val="00991DC9"/>
    <w:rsid w:val="00993E3B"/>
    <w:rsid w:val="00994E86"/>
    <w:rsid w:val="0099707E"/>
    <w:rsid w:val="00997CB0"/>
    <w:rsid w:val="009A4212"/>
    <w:rsid w:val="009A663F"/>
    <w:rsid w:val="009A6FCC"/>
    <w:rsid w:val="009A7726"/>
    <w:rsid w:val="009A7FA5"/>
    <w:rsid w:val="009B0A5A"/>
    <w:rsid w:val="009B0F7F"/>
    <w:rsid w:val="009B4F26"/>
    <w:rsid w:val="009B5AC6"/>
    <w:rsid w:val="009B5FDF"/>
    <w:rsid w:val="009B7E65"/>
    <w:rsid w:val="009C09C2"/>
    <w:rsid w:val="009C3CC9"/>
    <w:rsid w:val="009C4774"/>
    <w:rsid w:val="009C68FA"/>
    <w:rsid w:val="009C7138"/>
    <w:rsid w:val="009C717E"/>
    <w:rsid w:val="009D0812"/>
    <w:rsid w:val="009D08AC"/>
    <w:rsid w:val="009D12D8"/>
    <w:rsid w:val="009D14B2"/>
    <w:rsid w:val="009D1B67"/>
    <w:rsid w:val="009D27EA"/>
    <w:rsid w:val="009D2FF6"/>
    <w:rsid w:val="009D3789"/>
    <w:rsid w:val="009D5FD7"/>
    <w:rsid w:val="009D6DF9"/>
    <w:rsid w:val="009D6FAC"/>
    <w:rsid w:val="009D7275"/>
    <w:rsid w:val="009E11A7"/>
    <w:rsid w:val="009E187D"/>
    <w:rsid w:val="009E3284"/>
    <w:rsid w:val="009E525C"/>
    <w:rsid w:val="009E56E7"/>
    <w:rsid w:val="009E63E8"/>
    <w:rsid w:val="009F05F1"/>
    <w:rsid w:val="009F1EAD"/>
    <w:rsid w:val="009F2F18"/>
    <w:rsid w:val="009F339E"/>
    <w:rsid w:val="009F6821"/>
    <w:rsid w:val="009F68AA"/>
    <w:rsid w:val="009F6E1D"/>
    <w:rsid w:val="009F79B9"/>
    <w:rsid w:val="009F7D61"/>
    <w:rsid w:val="00A008DE"/>
    <w:rsid w:val="00A01843"/>
    <w:rsid w:val="00A0234D"/>
    <w:rsid w:val="00A051DB"/>
    <w:rsid w:val="00A061F1"/>
    <w:rsid w:val="00A06322"/>
    <w:rsid w:val="00A07153"/>
    <w:rsid w:val="00A12C4F"/>
    <w:rsid w:val="00A13E26"/>
    <w:rsid w:val="00A14FAA"/>
    <w:rsid w:val="00A1572B"/>
    <w:rsid w:val="00A16FDE"/>
    <w:rsid w:val="00A17E37"/>
    <w:rsid w:val="00A2306A"/>
    <w:rsid w:val="00A23CC6"/>
    <w:rsid w:val="00A24594"/>
    <w:rsid w:val="00A24D34"/>
    <w:rsid w:val="00A25913"/>
    <w:rsid w:val="00A2629E"/>
    <w:rsid w:val="00A262ED"/>
    <w:rsid w:val="00A27AEB"/>
    <w:rsid w:val="00A27C47"/>
    <w:rsid w:val="00A3034D"/>
    <w:rsid w:val="00A30C60"/>
    <w:rsid w:val="00A353D3"/>
    <w:rsid w:val="00A35848"/>
    <w:rsid w:val="00A35FB0"/>
    <w:rsid w:val="00A362D3"/>
    <w:rsid w:val="00A3684A"/>
    <w:rsid w:val="00A3725E"/>
    <w:rsid w:val="00A37EEF"/>
    <w:rsid w:val="00A41B97"/>
    <w:rsid w:val="00A4267B"/>
    <w:rsid w:val="00A42950"/>
    <w:rsid w:val="00A453A8"/>
    <w:rsid w:val="00A456F1"/>
    <w:rsid w:val="00A4642A"/>
    <w:rsid w:val="00A468C7"/>
    <w:rsid w:val="00A4745A"/>
    <w:rsid w:val="00A47F6E"/>
    <w:rsid w:val="00A506D8"/>
    <w:rsid w:val="00A50F9A"/>
    <w:rsid w:val="00A51B45"/>
    <w:rsid w:val="00A51BC7"/>
    <w:rsid w:val="00A51E21"/>
    <w:rsid w:val="00A52705"/>
    <w:rsid w:val="00A53819"/>
    <w:rsid w:val="00A53A00"/>
    <w:rsid w:val="00A53D0B"/>
    <w:rsid w:val="00A565D1"/>
    <w:rsid w:val="00A56FF2"/>
    <w:rsid w:val="00A61042"/>
    <w:rsid w:val="00A62881"/>
    <w:rsid w:val="00A639B7"/>
    <w:rsid w:val="00A67897"/>
    <w:rsid w:val="00A71464"/>
    <w:rsid w:val="00A732FB"/>
    <w:rsid w:val="00A74332"/>
    <w:rsid w:val="00A74626"/>
    <w:rsid w:val="00A7472F"/>
    <w:rsid w:val="00A74D67"/>
    <w:rsid w:val="00A81A10"/>
    <w:rsid w:val="00A81C5E"/>
    <w:rsid w:val="00A8219F"/>
    <w:rsid w:val="00A825AC"/>
    <w:rsid w:val="00A82C45"/>
    <w:rsid w:val="00A83695"/>
    <w:rsid w:val="00A83A51"/>
    <w:rsid w:val="00A859E6"/>
    <w:rsid w:val="00A867CE"/>
    <w:rsid w:val="00A90637"/>
    <w:rsid w:val="00A91BD9"/>
    <w:rsid w:val="00A94623"/>
    <w:rsid w:val="00A9530C"/>
    <w:rsid w:val="00A96331"/>
    <w:rsid w:val="00A96B29"/>
    <w:rsid w:val="00A96EBE"/>
    <w:rsid w:val="00A97DCA"/>
    <w:rsid w:val="00AA3F51"/>
    <w:rsid w:val="00AA4DE1"/>
    <w:rsid w:val="00AA578B"/>
    <w:rsid w:val="00AA69BB"/>
    <w:rsid w:val="00AA6B19"/>
    <w:rsid w:val="00AA7286"/>
    <w:rsid w:val="00AA7C32"/>
    <w:rsid w:val="00AB1230"/>
    <w:rsid w:val="00AB2435"/>
    <w:rsid w:val="00AB2B44"/>
    <w:rsid w:val="00AB2DCC"/>
    <w:rsid w:val="00AB2E95"/>
    <w:rsid w:val="00AB7854"/>
    <w:rsid w:val="00AB78C0"/>
    <w:rsid w:val="00AC071D"/>
    <w:rsid w:val="00AC1BE4"/>
    <w:rsid w:val="00AC1C9C"/>
    <w:rsid w:val="00AC2030"/>
    <w:rsid w:val="00AC25A3"/>
    <w:rsid w:val="00AC3767"/>
    <w:rsid w:val="00AC4D5C"/>
    <w:rsid w:val="00AC75D1"/>
    <w:rsid w:val="00AD1B11"/>
    <w:rsid w:val="00AD1CCE"/>
    <w:rsid w:val="00AD1D80"/>
    <w:rsid w:val="00AD3B1A"/>
    <w:rsid w:val="00AD420A"/>
    <w:rsid w:val="00AD4D42"/>
    <w:rsid w:val="00AD5656"/>
    <w:rsid w:val="00AD593C"/>
    <w:rsid w:val="00AD629F"/>
    <w:rsid w:val="00AD705F"/>
    <w:rsid w:val="00AD73AC"/>
    <w:rsid w:val="00AD7893"/>
    <w:rsid w:val="00AE0137"/>
    <w:rsid w:val="00AE1464"/>
    <w:rsid w:val="00AE20F8"/>
    <w:rsid w:val="00AE2A84"/>
    <w:rsid w:val="00AE34F1"/>
    <w:rsid w:val="00AE36CC"/>
    <w:rsid w:val="00AE4B1D"/>
    <w:rsid w:val="00AE4DDD"/>
    <w:rsid w:val="00AE547C"/>
    <w:rsid w:val="00AE5A25"/>
    <w:rsid w:val="00AE6D89"/>
    <w:rsid w:val="00AE6DC0"/>
    <w:rsid w:val="00AE7867"/>
    <w:rsid w:val="00AF03C8"/>
    <w:rsid w:val="00AF0BE2"/>
    <w:rsid w:val="00AF0CD9"/>
    <w:rsid w:val="00AF2804"/>
    <w:rsid w:val="00AF4615"/>
    <w:rsid w:val="00AF4933"/>
    <w:rsid w:val="00AF5F54"/>
    <w:rsid w:val="00AF5FEB"/>
    <w:rsid w:val="00AF6DA6"/>
    <w:rsid w:val="00B02048"/>
    <w:rsid w:val="00B024EF"/>
    <w:rsid w:val="00B025F7"/>
    <w:rsid w:val="00B02B1E"/>
    <w:rsid w:val="00B03A23"/>
    <w:rsid w:val="00B03B89"/>
    <w:rsid w:val="00B042AB"/>
    <w:rsid w:val="00B04675"/>
    <w:rsid w:val="00B05AB8"/>
    <w:rsid w:val="00B069AB"/>
    <w:rsid w:val="00B104C4"/>
    <w:rsid w:val="00B10D3F"/>
    <w:rsid w:val="00B1155D"/>
    <w:rsid w:val="00B128EA"/>
    <w:rsid w:val="00B12A55"/>
    <w:rsid w:val="00B154B0"/>
    <w:rsid w:val="00B174E9"/>
    <w:rsid w:val="00B210A6"/>
    <w:rsid w:val="00B210B9"/>
    <w:rsid w:val="00B21C5F"/>
    <w:rsid w:val="00B21F0A"/>
    <w:rsid w:val="00B2290D"/>
    <w:rsid w:val="00B22AE1"/>
    <w:rsid w:val="00B22D62"/>
    <w:rsid w:val="00B24B22"/>
    <w:rsid w:val="00B26A31"/>
    <w:rsid w:val="00B3118E"/>
    <w:rsid w:val="00B31279"/>
    <w:rsid w:val="00B314D4"/>
    <w:rsid w:val="00B31E33"/>
    <w:rsid w:val="00B32E7D"/>
    <w:rsid w:val="00B33E91"/>
    <w:rsid w:val="00B343DD"/>
    <w:rsid w:val="00B357E4"/>
    <w:rsid w:val="00B3584E"/>
    <w:rsid w:val="00B3593B"/>
    <w:rsid w:val="00B368EA"/>
    <w:rsid w:val="00B36B5F"/>
    <w:rsid w:val="00B37D72"/>
    <w:rsid w:val="00B37FAE"/>
    <w:rsid w:val="00B40585"/>
    <w:rsid w:val="00B40BEA"/>
    <w:rsid w:val="00B441A9"/>
    <w:rsid w:val="00B45BC9"/>
    <w:rsid w:val="00B45C88"/>
    <w:rsid w:val="00B463C1"/>
    <w:rsid w:val="00B46F8B"/>
    <w:rsid w:val="00B47E58"/>
    <w:rsid w:val="00B5005C"/>
    <w:rsid w:val="00B5142E"/>
    <w:rsid w:val="00B5173D"/>
    <w:rsid w:val="00B52439"/>
    <w:rsid w:val="00B5314C"/>
    <w:rsid w:val="00B53F8C"/>
    <w:rsid w:val="00B55714"/>
    <w:rsid w:val="00B56C4F"/>
    <w:rsid w:val="00B571C6"/>
    <w:rsid w:val="00B60C3F"/>
    <w:rsid w:val="00B614C3"/>
    <w:rsid w:val="00B61557"/>
    <w:rsid w:val="00B628AD"/>
    <w:rsid w:val="00B650E5"/>
    <w:rsid w:val="00B6510C"/>
    <w:rsid w:val="00B65FA0"/>
    <w:rsid w:val="00B66F49"/>
    <w:rsid w:val="00B70A6A"/>
    <w:rsid w:val="00B7284F"/>
    <w:rsid w:val="00B72C3C"/>
    <w:rsid w:val="00B73092"/>
    <w:rsid w:val="00B733AE"/>
    <w:rsid w:val="00B736DC"/>
    <w:rsid w:val="00B73E06"/>
    <w:rsid w:val="00B744AA"/>
    <w:rsid w:val="00B74B4E"/>
    <w:rsid w:val="00B74D7F"/>
    <w:rsid w:val="00B751A3"/>
    <w:rsid w:val="00B75B6A"/>
    <w:rsid w:val="00B75EDF"/>
    <w:rsid w:val="00B771DE"/>
    <w:rsid w:val="00B77CE1"/>
    <w:rsid w:val="00B80C21"/>
    <w:rsid w:val="00B82B2B"/>
    <w:rsid w:val="00B83B46"/>
    <w:rsid w:val="00B83DE6"/>
    <w:rsid w:val="00B83EA2"/>
    <w:rsid w:val="00B8597C"/>
    <w:rsid w:val="00B9035D"/>
    <w:rsid w:val="00B917F3"/>
    <w:rsid w:val="00B91EA2"/>
    <w:rsid w:val="00B91EB9"/>
    <w:rsid w:val="00B957D3"/>
    <w:rsid w:val="00B9604E"/>
    <w:rsid w:val="00B96084"/>
    <w:rsid w:val="00B9703B"/>
    <w:rsid w:val="00B971D8"/>
    <w:rsid w:val="00BA2CA8"/>
    <w:rsid w:val="00BA3181"/>
    <w:rsid w:val="00BA368D"/>
    <w:rsid w:val="00BA4471"/>
    <w:rsid w:val="00BA4EB8"/>
    <w:rsid w:val="00BA5C6D"/>
    <w:rsid w:val="00BA68B8"/>
    <w:rsid w:val="00BA786F"/>
    <w:rsid w:val="00BB0E53"/>
    <w:rsid w:val="00BB13F2"/>
    <w:rsid w:val="00BB44CE"/>
    <w:rsid w:val="00BB45A7"/>
    <w:rsid w:val="00BB48FF"/>
    <w:rsid w:val="00BB639D"/>
    <w:rsid w:val="00BB6EFC"/>
    <w:rsid w:val="00BC0763"/>
    <w:rsid w:val="00BC0787"/>
    <w:rsid w:val="00BC1D27"/>
    <w:rsid w:val="00BC4026"/>
    <w:rsid w:val="00BC4DA1"/>
    <w:rsid w:val="00BC5F86"/>
    <w:rsid w:val="00BC707A"/>
    <w:rsid w:val="00BC73EE"/>
    <w:rsid w:val="00BC76D9"/>
    <w:rsid w:val="00BD1217"/>
    <w:rsid w:val="00BD1E3D"/>
    <w:rsid w:val="00BD21F5"/>
    <w:rsid w:val="00BD2807"/>
    <w:rsid w:val="00BD3BE0"/>
    <w:rsid w:val="00BD4A99"/>
    <w:rsid w:val="00BD5FD5"/>
    <w:rsid w:val="00BE00A3"/>
    <w:rsid w:val="00BE014D"/>
    <w:rsid w:val="00BE0181"/>
    <w:rsid w:val="00BE1B61"/>
    <w:rsid w:val="00BE351D"/>
    <w:rsid w:val="00BE3FBA"/>
    <w:rsid w:val="00BE42CF"/>
    <w:rsid w:val="00BE65A2"/>
    <w:rsid w:val="00BE702B"/>
    <w:rsid w:val="00BF106A"/>
    <w:rsid w:val="00BF2107"/>
    <w:rsid w:val="00BF24BA"/>
    <w:rsid w:val="00BF3289"/>
    <w:rsid w:val="00BF4564"/>
    <w:rsid w:val="00BF4EA4"/>
    <w:rsid w:val="00BF5A96"/>
    <w:rsid w:val="00BF6123"/>
    <w:rsid w:val="00BF653C"/>
    <w:rsid w:val="00BF77D3"/>
    <w:rsid w:val="00C00207"/>
    <w:rsid w:val="00C002A8"/>
    <w:rsid w:val="00C00CF6"/>
    <w:rsid w:val="00C01D34"/>
    <w:rsid w:val="00C03CE9"/>
    <w:rsid w:val="00C03D40"/>
    <w:rsid w:val="00C042D8"/>
    <w:rsid w:val="00C04414"/>
    <w:rsid w:val="00C04A4D"/>
    <w:rsid w:val="00C057CA"/>
    <w:rsid w:val="00C06067"/>
    <w:rsid w:val="00C073A1"/>
    <w:rsid w:val="00C07624"/>
    <w:rsid w:val="00C10700"/>
    <w:rsid w:val="00C10E64"/>
    <w:rsid w:val="00C11ACB"/>
    <w:rsid w:val="00C12A17"/>
    <w:rsid w:val="00C13998"/>
    <w:rsid w:val="00C13D13"/>
    <w:rsid w:val="00C1415F"/>
    <w:rsid w:val="00C141C6"/>
    <w:rsid w:val="00C17ACB"/>
    <w:rsid w:val="00C21609"/>
    <w:rsid w:val="00C228C8"/>
    <w:rsid w:val="00C22F03"/>
    <w:rsid w:val="00C22FD5"/>
    <w:rsid w:val="00C23BEC"/>
    <w:rsid w:val="00C23DA3"/>
    <w:rsid w:val="00C24362"/>
    <w:rsid w:val="00C246DB"/>
    <w:rsid w:val="00C256B4"/>
    <w:rsid w:val="00C26D99"/>
    <w:rsid w:val="00C27049"/>
    <w:rsid w:val="00C30851"/>
    <w:rsid w:val="00C31262"/>
    <w:rsid w:val="00C32333"/>
    <w:rsid w:val="00C334C7"/>
    <w:rsid w:val="00C33709"/>
    <w:rsid w:val="00C34538"/>
    <w:rsid w:val="00C36322"/>
    <w:rsid w:val="00C3640A"/>
    <w:rsid w:val="00C36B51"/>
    <w:rsid w:val="00C416C2"/>
    <w:rsid w:val="00C42579"/>
    <w:rsid w:val="00C433B1"/>
    <w:rsid w:val="00C43C19"/>
    <w:rsid w:val="00C45265"/>
    <w:rsid w:val="00C47441"/>
    <w:rsid w:val="00C479C3"/>
    <w:rsid w:val="00C47A59"/>
    <w:rsid w:val="00C50404"/>
    <w:rsid w:val="00C51E3B"/>
    <w:rsid w:val="00C538B2"/>
    <w:rsid w:val="00C55587"/>
    <w:rsid w:val="00C57273"/>
    <w:rsid w:val="00C603F8"/>
    <w:rsid w:val="00C6249B"/>
    <w:rsid w:val="00C62533"/>
    <w:rsid w:val="00C63F83"/>
    <w:rsid w:val="00C64D4B"/>
    <w:rsid w:val="00C65CA5"/>
    <w:rsid w:val="00C6725F"/>
    <w:rsid w:val="00C67C7C"/>
    <w:rsid w:val="00C7074A"/>
    <w:rsid w:val="00C70E43"/>
    <w:rsid w:val="00C7137B"/>
    <w:rsid w:val="00C72440"/>
    <w:rsid w:val="00C74A64"/>
    <w:rsid w:val="00C74E76"/>
    <w:rsid w:val="00C74F4D"/>
    <w:rsid w:val="00C75ABE"/>
    <w:rsid w:val="00C76DB8"/>
    <w:rsid w:val="00C77D2C"/>
    <w:rsid w:val="00C80B86"/>
    <w:rsid w:val="00C82F8B"/>
    <w:rsid w:val="00C84084"/>
    <w:rsid w:val="00C856F5"/>
    <w:rsid w:val="00C85C75"/>
    <w:rsid w:val="00C864A0"/>
    <w:rsid w:val="00C8677F"/>
    <w:rsid w:val="00C86E23"/>
    <w:rsid w:val="00C87D3B"/>
    <w:rsid w:val="00C91B32"/>
    <w:rsid w:val="00C937A9"/>
    <w:rsid w:val="00C93F30"/>
    <w:rsid w:val="00C951D9"/>
    <w:rsid w:val="00C9536B"/>
    <w:rsid w:val="00C97D74"/>
    <w:rsid w:val="00CA06A4"/>
    <w:rsid w:val="00CA244E"/>
    <w:rsid w:val="00CA2631"/>
    <w:rsid w:val="00CA2B60"/>
    <w:rsid w:val="00CA4362"/>
    <w:rsid w:val="00CA65CF"/>
    <w:rsid w:val="00CA67A4"/>
    <w:rsid w:val="00CA68AD"/>
    <w:rsid w:val="00CB0C24"/>
    <w:rsid w:val="00CB204A"/>
    <w:rsid w:val="00CB2FF3"/>
    <w:rsid w:val="00CB3C92"/>
    <w:rsid w:val="00CB4262"/>
    <w:rsid w:val="00CB433A"/>
    <w:rsid w:val="00CB47F1"/>
    <w:rsid w:val="00CB585A"/>
    <w:rsid w:val="00CB7B8D"/>
    <w:rsid w:val="00CC0751"/>
    <w:rsid w:val="00CC45A9"/>
    <w:rsid w:val="00CC4842"/>
    <w:rsid w:val="00CC48CB"/>
    <w:rsid w:val="00CC5097"/>
    <w:rsid w:val="00CC7ABC"/>
    <w:rsid w:val="00CD0DE5"/>
    <w:rsid w:val="00CD242D"/>
    <w:rsid w:val="00CD2BC2"/>
    <w:rsid w:val="00CD417C"/>
    <w:rsid w:val="00CD4580"/>
    <w:rsid w:val="00CD49A9"/>
    <w:rsid w:val="00CD4B84"/>
    <w:rsid w:val="00CD6512"/>
    <w:rsid w:val="00CD6BA7"/>
    <w:rsid w:val="00CD7282"/>
    <w:rsid w:val="00CD7EA1"/>
    <w:rsid w:val="00CE0253"/>
    <w:rsid w:val="00CE2906"/>
    <w:rsid w:val="00CE2954"/>
    <w:rsid w:val="00CE2A88"/>
    <w:rsid w:val="00CE506B"/>
    <w:rsid w:val="00CE5D37"/>
    <w:rsid w:val="00CE681D"/>
    <w:rsid w:val="00CE7DF8"/>
    <w:rsid w:val="00CE7E51"/>
    <w:rsid w:val="00CF0A7B"/>
    <w:rsid w:val="00CF3CDE"/>
    <w:rsid w:val="00CF459C"/>
    <w:rsid w:val="00CF4DAC"/>
    <w:rsid w:val="00CF58EF"/>
    <w:rsid w:val="00D028D0"/>
    <w:rsid w:val="00D02AE9"/>
    <w:rsid w:val="00D034C3"/>
    <w:rsid w:val="00D03A06"/>
    <w:rsid w:val="00D04CCE"/>
    <w:rsid w:val="00D058BF"/>
    <w:rsid w:val="00D071A6"/>
    <w:rsid w:val="00D07296"/>
    <w:rsid w:val="00D07A80"/>
    <w:rsid w:val="00D1122E"/>
    <w:rsid w:val="00D11A8F"/>
    <w:rsid w:val="00D11AFB"/>
    <w:rsid w:val="00D13207"/>
    <w:rsid w:val="00D1408E"/>
    <w:rsid w:val="00D1459C"/>
    <w:rsid w:val="00D15433"/>
    <w:rsid w:val="00D173D3"/>
    <w:rsid w:val="00D17EE7"/>
    <w:rsid w:val="00D2234D"/>
    <w:rsid w:val="00D22F02"/>
    <w:rsid w:val="00D23763"/>
    <w:rsid w:val="00D23823"/>
    <w:rsid w:val="00D23AF3"/>
    <w:rsid w:val="00D259CF"/>
    <w:rsid w:val="00D261B4"/>
    <w:rsid w:val="00D265A8"/>
    <w:rsid w:val="00D2726F"/>
    <w:rsid w:val="00D30CF1"/>
    <w:rsid w:val="00D30E95"/>
    <w:rsid w:val="00D3167B"/>
    <w:rsid w:val="00D3386A"/>
    <w:rsid w:val="00D349F1"/>
    <w:rsid w:val="00D351D6"/>
    <w:rsid w:val="00D35736"/>
    <w:rsid w:val="00D4085F"/>
    <w:rsid w:val="00D4121D"/>
    <w:rsid w:val="00D41224"/>
    <w:rsid w:val="00D43FF3"/>
    <w:rsid w:val="00D447AE"/>
    <w:rsid w:val="00D45D1E"/>
    <w:rsid w:val="00D47F7E"/>
    <w:rsid w:val="00D5024A"/>
    <w:rsid w:val="00D5085A"/>
    <w:rsid w:val="00D50E53"/>
    <w:rsid w:val="00D51963"/>
    <w:rsid w:val="00D55F9D"/>
    <w:rsid w:val="00D57C7C"/>
    <w:rsid w:val="00D634C5"/>
    <w:rsid w:val="00D63511"/>
    <w:rsid w:val="00D63995"/>
    <w:rsid w:val="00D645BB"/>
    <w:rsid w:val="00D65390"/>
    <w:rsid w:val="00D6541E"/>
    <w:rsid w:val="00D661EE"/>
    <w:rsid w:val="00D709EB"/>
    <w:rsid w:val="00D70A5F"/>
    <w:rsid w:val="00D70F69"/>
    <w:rsid w:val="00D726B2"/>
    <w:rsid w:val="00D74D39"/>
    <w:rsid w:val="00D7547F"/>
    <w:rsid w:val="00D76084"/>
    <w:rsid w:val="00D80067"/>
    <w:rsid w:val="00D8021F"/>
    <w:rsid w:val="00D80729"/>
    <w:rsid w:val="00D81D30"/>
    <w:rsid w:val="00D82155"/>
    <w:rsid w:val="00D82865"/>
    <w:rsid w:val="00D83571"/>
    <w:rsid w:val="00D84AF6"/>
    <w:rsid w:val="00D853E2"/>
    <w:rsid w:val="00D8575E"/>
    <w:rsid w:val="00D85956"/>
    <w:rsid w:val="00D85F55"/>
    <w:rsid w:val="00D87980"/>
    <w:rsid w:val="00D901D7"/>
    <w:rsid w:val="00D90541"/>
    <w:rsid w:val="00D915AA"/>
    <w:rsid w:val="00D9385A"/>
    <w:rsid w:val="00D94AFC"/>
    <w:rsid w:val="00D94BB7"/>
    <w:rsid w:val="00D97958"/>
    <w:rsid w:val="00DA0508"/>
    <w:rsid w:val="00DA0B1B"/>
    <w:rsid w:val="00DA212C"/>
    <w:rsid w:val="00DA3780"/>
    <w:rsid w:val="00DA4436"/>
    <w:rsid w:val="00DA4CDB"/>
    <w:rsid w:val="00DA5C60"/>
    <w:rsid w:val="00DA5C71"/>
    <w:rsid w:val="00DA5FB9"/>
    <w:rsid w:val="00DA7690"/>
    <w:rsid w:val="00DA7D9B"/>
    <w:rsid w:val="00DB0A15"/>
    <w:rsid w:val="00DB39E5"/>
    <w:rsid w:val="00DB6466"/>
    <w:rsid w:val="00DB720B"/>
    <w:rsid w:val="00DC11E7"/>
    <w:rsid w:val="00DC3E94"/>
    <w:rsid w:val="00DC65AE"/>
    <w:rsid w:val="00DC7971"/>
    <w:rsid w:val="00DC7EAF"/>
    <w:rsid w:val="00DD1F29"/>
    <w:rsid w:val="00DD716B"/>
    <w:rsid w:val="00DE063A"/>
    <w:rsid w:val="00DE270A"/>
    <w:rsid w:val="00DE28AB"/>
    <w:rsid w:val="00DE45CF"/>
    <w:rsid w:val="00DE4BDD"/>
    <w:rsid w:val="00DE55BF"/>
    <w:rsid w:val="00DE5D89"/>
    <w:rsid w:val="00DE72DC"/>
    <w:rsid w:val="00DE771D"/>
    <w:rsid w:val="00DF0B0A"/>
    <w:rsid w:val="00DF0D33"/>
    <w:rsid w:val="00DF11F0"/>
    <w:rsid w:val="00DF24CC"/>
    <w:rsid w:val="00DF4E07"/>
    <w:rsid w:val="00DF50A1"/>
    <w:rsid w:val="00DF6D20"/>
    <w:rsid w:val="00E001D0"/>
    <w:rsid w:val="00E00471"/>
    <w:rsid w:val="00E00E70"/>
    <w:rsid w:val="00E0236B"/>
    <w:rsid w:val="00E03F5A"/>
    <w:rsid w:val="00E04084"/>
    <w:rsid w:val="00E044E3"/>
    <w:rsid w:val="00E05864"/>
    <w:rsid w:val="00E059FA"/>
    <w:rsid w:val="00E0769D"/>
    <w:rsid w:val="00E07E81"/>
    <w:rsid w:val="00E129A2"/>
    <w:rsid w:val="00E13721"/>
    <w:rsid w:val="00E14AE8"/>
    <w:rsid w:val="00E158FD"/>
    <w:rsid w:val="00E16ACF"/>
    <w:rsid w:val="00E16FD6"/>
    <w:rsid w:val="00E17A30"/>
    <w:rsid w:val="00E20643"/>
    <w:rsid w:val="00E2080D"/>
    <w:rsid w:val="00E20D27"/>
    <w:rsid w:val="00E24DB4"/>
    <w:rsid w:val="00E25ACA"/>
    <w:rsid w:val="00E30E52"/>
    <w:rsid w:val="00E30FD4"/>
    <w:rsid w:val="00E335EF"/>
    <w:rsid w:val="00E33653"/>
    <w:rsid w:val="00E367B6"/>
    <w:rsid w:val="00E3686E"/>
    <w:rsid w:val="00E413C6"/>
    <w:rsid w:val="00E41876"/>
    <w:rsid w:val="00E418F1"/>
    <w:rsid w:val="00E42BCF"/>
    <w:rsid w:val="00E42CB6"/>
    <w:rsid w:val="00E4567C"/>
    <w:rsid w:val="00E45E37"/>
    <w:rsid w:val="00E4698C"/>
    <w:rsid w:val="00E54F25"/>
    <w:rsid w:val="00E550D6"/>
    <w:rsid w:val="00E55A4F"/>
    <w:rsid w:val="00E56711"/>
    <w:rsid w:val="00E57043"/>
    <w:rsid w:val="00E602D2"/>
    <w:rsid w:val="00E60C42"/>
    <w:rsid w:val="00E60ECF"/>
    <w:rsid w:val="00E62229"/>
    <w:rsid w:val="00E62408"/>
    <w:rsid w:val="00E643E4"/>
    <w:rsid w:val="00E65767"/>
    <w:rsid w:val="00E66C47"/>
    <w:rsid w:val="00E66EF3"/>
    <w:rsid w:val="00E676DE"/>
    <w:rsid w:val="00E708DB"/>
    <w:rsid w:val="00E70D12"/>
    <w:rsid w:val="00E713AF"/>
    <w:rsid w:val="00E7156E"/>
    <w:rsid w:val="00E71AC3"/>
    <w:rsid w:val="00E72FE8"/>
    <w:rsid w:val="00E73003"/>
    <w:rsid w:val="00E7422E"/>
    <w:rsid w:val="00E74E95"/>
    <w:rsid w:val="00E77529"/>
    <w:rsid w:val="00E80E7D"/>
    <w:rsid w:val="00E81986"/>
    <w:rsid w:val="00E82762"/>
    <w:rsid w:val="00E83C30"/>
    <w:rsid w:val="00E83FB4"/>
    <w:rsid w:val="00E8456D"/>
    <w:rsid w:val="00E90B41"/>
    <w:rsid w:val="00E91202"/>
    <w:rsid w:val="00E9166C"/>
    <w:rsid w:val="00E919B1"/>
    <w:rsid w:val="00E9293F"/>
    <w:rsid w:val="00E92D27"/>
    <w:rsid w:val="00E93995"/>
    <w:rsid w:val="00E96D5F"/>
    <w:rsid w:val="00E97281"/>
    <w:rsid w:val="00EA20A1"/>
    <w:rsid w:val="00EA2B51"/>
    <w:rsid w:val="00EA316A"/>
    <w:rsid w:val="00EA3922"/>
    <w:rsid w:val="00EA4A02"/>
    <w:rsid w:val="00EA504D"/>
    <w:rsid w:val="00EA675F"/>
    <w:rsid w:val="00EA7CFB"/>
    <w:rsid w:val="00EB05F0"/>
    <w:rsid w:val="00EB0FBF"/>
    <w:rsid w:val="00EB1E40"/>
    <w:rsid w:val="00EB2309"/>
    <w:rsid w:val="00EB2536"/>
    <w:rsid w:val="00EB373E"/>
    <w:rsid w:val="00EB3ABA"/>
    <w:rsid w:val="00EC07EA"/>
    <w:rsid w:val="00EC100E"/>
    <w:rsid w:val="00EC6625"/>
    <w:rsid w:val="00EC7F3F"/>
    <w:rsid w:val="00ED06C9"/>
    <w:rsid w:val="00ED33F2"/>
    <w:rsid w:val="00ED3AD0"/>
    <w:rsid w:val="00ED3B58"/>
    <w:rsid w:val="00ED51C9"/>
    <w:rsid w:val="00ED6444"/>
    <w:rsid w:val="00ED6EB5"/>
    <w:rsid w:val="00EE0BCF"/>
    <w:rsid w:val="00EE1E34"/>
    <w:rsid w:val="00EE229D"/>
    <w:rsid w:val="00EE50E8"/>
    <w:rsid w:val="00EE5103"/>
    <w:rsid w:val="00EE5B21"/>
    <w:rsid w:val="00EE61C2"/>
    <w:rsid w:val="00EE64BA"/>
    <w:rsid w:val="00EE6807"/>
    <w:rsid w:val="00EE6962"/>
    <w:rsid w:val="00EE7402"/>
    <w:rsid w:val="00EE7BC4"/>
    <w:rsid w:val="00EE7F46"/>
    <w:rsid w:val="00EF1320"/>
    <w:rsid w:val="00EF1450"/>
    <w:rsid w:val="00EF26CA"/>
    <w:rsid w:val="00F03673"/>
    <w:rsid w:val="00F037AD"/>
    <w:rsid w:val="00F05094"/>
    <w:rsid w:val="00F05AC1"/>
    <w:rsid w:val="00F05E23"/>
    <w:rsid w:val="00F05F91"/>
    <w:rsid w:val="00F06439"/>
    <w:rsid w:val="00F07491"/>
    <w:rsid w:val="00F07C84"/>
    <w:rsid w:val="00F12951"/>
    <w:rsid w:val="00F13747"/>
    <w:rsid w:val="00F1379F"/>
    <w:rsid w:val="00F13EE7"/>
    <w:rsid w:val="00F152FD"/>
    <w:rsid w:val="00F15D66"/>
    <w:rsid w:val="00F17AC2"/>
    <w:rsid w:val="00F17B34"/>
    <w:rsid w:val="00F20060"/>
    <w:rsid w:val="00F21024"/>
    <w:rsid w:val="00F215FB"/>
    <w:rsid w:val="00F21F62"/>
    <w:rsid w:val="00F2225D"/>
    <w:rsid w:val="00F23D38"/>
    <w:rsid w:val="00F2411C"/>
    <w:rsid w:val="00F2574E"/>
    <w:rsid w:val="00F263BD"/>
    <w:rsid w:val="00F26E3A"/>
    <w:rsid w:val="00F27E4D"/>
    <w:rsid w:val="00F30094"/>
    <w:rsid w:val="00F32BA5"/>
    <w:rsid w:val="00F34835"/>
    <w:rsid w:val="00F35A74"/>
    <w:rsid w:val="00F36036"/>
    <w:rsid w:val="00F43F88"/>
    <w:rsid w:val="00F4413F"/>
    <w:rsid w:val="00F45982"/>
    <w:rsid w:val="00F4698E"/>
    <w:rsid w:val="00F46EFB"/>
    <w:rsid w:val="00F50019"/>
    <w:rsid w:val="00F52772"/>
    <w:rsid w:val="00F52F47"/>
    <w:rsid w:val="00F54043"/>
    <w:rsid w:val="00F541B6"/>
    <w:rsid w:val="00F542FF"/>
    <w:rsid w:val="00F544A7"/>
    <w:rsid w:val="00F55444"/>
    <w:rsid w:val="00F55910"/>
    <w:rsid w:val="00F55D28"/>
    <w:rsid w:val="00F56909"/>
    <w:rsid w:val="00F56FA1"/>
    <w:rsid w:val="00F57A5F"/>
    <w:rsid w:val="00F57BDF"/>
    <w:rsid w:val="00F610EC"/>
    <w:rsid w:val="00F613C6"/>
    <w:rsid w:val="00F6337E"/>
    <w:rsid w:val="00F64BDD"/>
    <w:rsid w:val="00F6599E"/>
    <w:rsid w:val="00F66B58"/>
    <w:rsid w:val="00F66B66"/>
    <w:rsid w:val="00F67770"/>
    <w:rsid w:val="00F67888"/>
    <w:rsid w:val="00F67D4C"/>
    <w:rsid w:val="00F71136"/>
    <w:rsid w:val="00F71F45"/>
    <w:rsid w:val="00F72591"/>
    <w:rsid w:val="00F72BC8"/>
    <w:rsid w:val="00F7381D"/>
    <w:rsid w:val="00F762E0"/>
    <w:rsid w:val="00F76415"/>
    <w:rsid w:val="00F7694B"/>
    <w:rsid w:val="00F771BF"/>
    <w:rsid w:val="00F80690"/>
    <w:rsid w:val="00F80F76"/>
    <w:rsid w:val="00F81DB5"/>
    <w:rsid w:val="00F8221C"/>
    <w:rsid w:val="00F82519"/>
    <w:rsid w:val="00F8261F"/>
    <w:rsid w:val="00F82883"/>
    <w:rsid w:val="00F82FC2"/>
    <w:rsid w:val="00F8333A"/>
    <w:rsid w:val="00F83F9E"/>
    <w:rsid w:val="00F85307"/>
    <w:rsid w:val="00F85F61"/>
    <w:rsid w:val="00F86B5A"/>
    <w:rsid w:val="00F87211"/>
    <w:rsid w:val="00F873BF"/>
    <w:rsid w:val="00F87669"/>
    <w:rsid w:val="00F90694"/>
    <w:rsid w:val="00F91373"/>
    <w:rsid w:val="00F93F57"/>
    <w:rsid w:val="00F94427"/>
    <w:rsid w:val="00F94DD3"/>
    <w:rsid w:val="00F953F6"/>
    <w:rsid w:val="00F97EAA"/>
    <w:rsid w:val="00FA0051"/>
    <w:rsid w:val="00FA0488"/>
    <w:rsid w:val="00FA1E63"/>
    <w:rsid w:val="00FA5206"/>
    <w:rsid w:val="00FA7E2C"/>
    <w:rsid w:val="00FB01E4"/>
    <w:rsid w:val="00FB06A3"/>
    <w:rsid w:val="00FB08C3"/>
    <w:rsid w:val="00FB1682"/>
    <w:rsid w:val="00FB1D18"/>
    <w:rsid w:val="00FB3000"/>
    <w:rsid w:val="00FB321C"/>
    <w:rsid w:val="00FB48EA"/>
    <w:rsid w:val="00FB5CAA"/>
    <w:rsid w:val="00FC07FD"/>
    <w:rsid w:val="00FC0BDD"/>
    <w:rsid w:val="00FC1B1F"/>
    <w:rsid w:val="00FC1D1C"/>
    <w:rsid w:val="00FC1D92"/>
    <w:rsid w:val="00FC3AC1"/>
    <w:rsid w:val="00FC3B41"/>
    <w:rsid w:val="00FC52E9"/>
    <w:rsid w:val="00FC5CD3"/>
    <w:rsid w:val="00FC5F1B"/>
    <w:rsid w:val="00FD217B"/>
    <w:rsid w:val="00FD2B41"/>
    <w:rsid w:val="00FD5608"/>
    <w:rsid w:val="00FE2C71"/>
    <w:rsid w:val="00FE31B0"/>
    <w:rsid w:val="00FE4B08"/>
    <w:rsid w:val="00FF468E"/>
    <w:rsid w:val="00FF4736"/>
    <w:rsid w:val="00FF579F"/>
    <w:rsid w:val="00FF6C69"/>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6873A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nhideWhenUsed="1"/>
    <w:lsdException w:name="footnote text" w:locked="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2B2727"/>
    <w:rPr>
      <w:rFonts w:ascii="Times New Roman" w:eastAsia="Times New Roman" w:hAnsi="Times New Roman"/>
      <w:sz w:val="24"/>
      <w:szCs w:val="24"/>
    </w:rPr>
  </w:style>
  <w:style w:type="paragraph" w:styleId="Nadpis1">
    <w:name w:val="heading 1"/>
    <w:basedOn w:val="Normlny"/>
    <w:next w:val="Normlny"/>
    <w:link w:val="Nadpis1Char"/>
    <w:autoRedefine/>
    <w:uiPriority w:val="99"/>
    <w:qFormat/>
    <w:rsid w:val="00F12951"/>
    <w:pPr>
      <w:keepNext/>
      <w:keepLines/>
      <w:pBdr>
        <w:bottom w:val="single" w:sz="8" w:space="4" w:color="4F81BD"/>
      </w:pBdr>
      <w:spacing w:before="480" w:after="300"/>
      <w:contextualSpacing/>
      <w:outlineLvl w:val="0"/>
    </w:pPr>
    <w:rPr>
      <w:bCs/>
      <w:color w:val="365F91"/>
      <w:spacing w:val="5"/>
      <w:kern w:val="28"/>
      <w:sz w:val="52"/>
      <w:szCs w:val="52"/>
    </w:rPr>
  </w:style>
  <w:style w:type="paragraph" w:styleId="Nadpis2">
    <w:name w:val="heading 2"/>
    <w:basedOn w:val="Normlny"/>
    <w:next w:val="Normlny"/>
    <w:link w:val="Nadpis2Char"/>
    <w:autoRedefine/>
    <w:uiPriority w:val="99"/>
    <w:qFormat/>
    <w:rsid w:val="00F12951"/>
    <w:pPr>
      <w:keepNext/>
      <w:keepLines/>
      <w:pBdr>
        <w:bottom w:val="single" w:sz="8" w:space="4" w:color="4F81BD"/>
      </w:pBdr>
      <w:spacing w:before="200" w:after="300"/>
      <w:contextualSpacing/>
      <w:outlineLvl w:val="1"/>
    </w:pPr>
    <w:rPr>
      <w:rFonts w:ascii="Cambria" w:hAnsi="Cambria"/>
      <w:b/>
      <w:bCs/>
      <w:color w:val="365F91"/>
      <w:spacing w:val="5"/>
      <w:kern w:val="28"/>
      <w:sz w:val="36"/>
      <w:szCs w:val="26"/>
    </w:rPr>
  </w:style>
  <w:style w:type="paragraph" w:styleId="Nadpis3">
    <w:name w:val="heading 3"/>
    <w:aliases w:val="Podúloha"/>
    <w:basedOn w:val="Normlny"/>
    <w:next w:val="Normlny"/>
    <w:link w:val="Nadpis3Char"/>
    <w:uiPriority w:val="99"/>
    <w:qFormat/>
    <w:rsid w:val="00F12951"/>
    <w:pPr>
      <w:keepNext/>
      <w:keepLines/>
      <w:spacing w:before="200" w:line="276" w:lineRule="auto"/>
      <w:jc w:val="both"/>
      <w:outlineLvl w:val="2"/>
    </w:pPr>
    <w:rPr>
      <w:rFonts w:ascii="Cambria" w:hAnsi="Cambria"/>
      <w:b/>
      <w:bCs/>
      <w:color w:val="4F81BD"/>
      <w:sz w:val="26"/>
      <w:szCs w:val="22"/>
      <w:lang w:eastAsia="en-US"/>
    </w:rPr>
  </w:style>
  <w:style w:type="paragraph" w:styleId="Nadpis4">
    <w:name w:val="heading 4"/>
    <w:basedOn w:val="Normlny"/>
    <w:next w:val="Normlny"/>
    <w:link w:val="Nadpis4Char"/>
    <w:uiPriority w:val="99"/>
    <w:qFormat/>
    <w:rsid w:val="00F12951"/>
    <w:pPr>
      <w:keepNext/>
      <w:keepLines/>
      <w:spacing w:before="200"/>
      <w:outlineLvl w:val="3"/>
    </w:pPr>
    <w:rPr>
      <w:rFonts w:ascii="Cambria" w:hAnsi="Cambria"/>
      <w:b/>
      <w:bCs/>
      <w:i/>
      <w:iCs/>
      <w:color w:val="4F81BD"/>
    </w:rPr>
  </w:style>
  <w:style w:type="paragraph" w:styleId="Nadpis5">
    <w:name w:val="heading 5"/>
    <w:basedOn w:val="Normlny"/>
    <w:next w:val="Normlny"/>
    <w:link w:val="Nadpis5Char"/>
    <w:uiPriority w:val="99"/>
    <w:qFormat/>
    <w:rsid w:val="00F12951"/>
    <w:pPr>
      <w:keepNext/>
      <w:keepLines/>
      <w:spacing w:before="200"/>
      <w:outlineLvl w:val="4"/>
    </w:pPr>
    <w:rPr>
      <w:rFonts w:ascii="Cambria" w:hAnsi="Cambria"/>
      <w:color w:val="243F6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9"/>
    <w:locked/>
    <w:rsid w:val="00F12951"/>
    <w:rPr>
      <w:rFonts w:ascii="Times New Roman" w:hAnsi="Times New Roman" w:cs="Times New Roman"/>
      <w:bCs/>
      <w:color w:val="365F91"/>
      <w:spacing w:val="5"/>
      <w:kern w:val="28"/>
      <w:sz w:val="52"/>
      <w:szCs w:val="52"/>
      <w:lang w:eastAsia="sk-SK"/>
    </w:rPr>
  </w:style>
  <w:style w:type="character" w:customStyle="1" w:styleId="Nadpis2Char">
    <w:name w:val="Nadpis 2 Char"/>
    <w:link w:val="Nadpis2"/>
    <w:uiPriority w:val="99"/>
    <w:locked/>
    <w:rsid w:val="00F12951"/>
    <w:rPr>
      <w:rFonts w:ascii="Cambria" w:hAnsi="Cambria" w:cs="Times New Roman"/>
      <w:b/>
      <w:bCs/>
      <w:color w:val="365F91"/>
      <w:spacing w:val="5"/>
      <w:kern w:val="28"/>
      <w:sz w:val="26"/>
      <w:szCs w:val="26"/>
      <w:lang w:eastAsia="sk-SK"/>
    </w:rPr>
  </w:style>
  <w:style w:type="character" w:customStyle="1" w:styleId="Nadpis3Char">
    <w:name w:val="Nadpis 3 Char"/>
    <w:aliases w:val="Podúloha Char"/>
    <w:link w:val="Nadpis3"/>
    <w:uiPriority w:val="99"/>
    <w:locked/>
    <w:rsid w:val="00F12951"/>
    <w:rPr>
      <w:rFonts w:ascii="Cambria" w:hAnsi="Cambria" w:cs="Times New Roman"/>
      <w:b/>
      <w:bCs/>
      <w:color w:val="4F81BD"/>
      <w:sz w:val="26"/>
    </w:rPr>
  </w:style>
  <w:style w:type="character" w:customStyle="1" w:styleId="Nadpis4Char">
    <w:name w:val="Nadpis 4 Char"/>
    <w:link w:val="Nadpis4"/>
    <w:uiPriority w:val="99"/>
    <w:locked/>
    <w:rsid w:val="00F12951"/>
    <w:rPr>
      <w:rFonts w:ascii="Cambria" w:hAnsi="Cambria" w:cs="Times New Roman"/>
      <w:b/>
      <w:bCs/>
      <w:i/>
      <w:iCs/>
      <w:color w:val="4F81BD"/>
      <w:sz w:val="24"/>
      <w:szCs w:val="24"/>
      <w:lang w:eastAsia="sk-SK"/>
    </w:rPr>
  </w:style>
  <w:style w:type="character" w:customStyle="1" w:styleId="Nadpis5Char">
    <w:name w:val="Nadpis 5 Char"/>
    <w:link w:val="Nadpis5"/>
    <w:uiPriority w:val="99"/>
    <w:semiHidden/>
    <w:locked/>
    <w:rsid w:val="00F12951"/>
    <w:rPr>
      <w:rFonts w:ascii="Cambria" w:hAnsi="Cambria" w:cs="Times New Roman"/>
      <w:color w:val="243F60"/>
      <w:sz w:val="24"/>
      <w:szCs w:val="24"/>
      <w:lang w:eastAsia="sk-SK"/>
    </w:rPr>
  </w:style>
  <w:style w:type="paragraph" w:styleId="Textbubliny">
    <w:name w:val="Balloon Text"/>
    <w:basedOn w:val="Normlny"/>
    <w:link w:val="TextbublinyChar"/>
    <w:uiPriority w:val="99"/>
    <w:semiHidden/>
    <w:rsid w:val="00F12951"/>
    <w:rPr>
      <w:rFonts w:ascii="Tahoma" w:hAnsi="Tahoma" w:cs="Tahoma"/>
      <w:sz w:val="16"/>
      <w:szCs w:val="16"/>
    </w:rPr>
  </w:style>
  <w:style w:type="character" w:customStyle="1" w:styleId="TextbublinyChar">
    <w:name w:val="Text bubliny Char"/>
    <w:link w:val="Textbubliny"/>
    <w:uiPriority w:val="99"/>
    <w:semiHidden/>
    <w:locked/>
    <w:rsid w:val="00F12951"/>
    <w:rPr>
      <w:rFonts w:ascii="Tahoma" w:hAnsi="Tahoma" w:cs="Tahoma"/>
      <w:sz w:val="16"/>
      <w:szCs w:val="16"/>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uiPriority w:val="99"/>
    <w:rsid w:val="00F12951"/>
    <w:rPr>
      <w:rFonts w:cs="Times New Roman"/>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Char4"/>
    <w:basedOn w:val="Normlny"/>
    <w:link w:val="TextpoznmkypodiarouChar"/>
    <w:uiPriority w:val="99"/>
    <w:rsid w:val="00F12951"/>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link w:val="Textpoznmkypodiarou"/>
    <w:uiPriority w:val="99"/>
    <w:locked/>
    <w:rsid w:val="00F12951"/>
    <w:rPr>
      <w:rFonts w:ascii="Times New Roman" w:hAnsi="Times New Roman" w:cs="Times New Roman"/>
      <w:sz w:val="20"/>
      <w:szCs w:val="20"/>
      <w:lang w:eastAsia="sk-SK"/>
    </w:rPr>
  </w:style>
  <w:style w:type="paragraph" w:customStyle="1" w:styleId="SRK1">
    <w:name w:val="SRK 1"/>
    <w:basedOn w:val="Nadpis1"/>
    <w:next w:val="Normlny"/>
    <w:autoRedefine/>
    <w:uiPriority w:val="99"/>
    <w:qFormat/>
    <w:rsid w:val="00326E7E"/>
    <w:pPr>
      <w:pBdr>
        <w:bottom w:val="single" w:sz="8" w:space="31" w:color="4F81BD"/>
      </w:pBdr>
      <w:contextualSpacing w:val="0"/>
    </w:pPr>
    <w:rPr>
      <w:color w:val="1E4E9D"/>
    </w:rPr>
  </w:style>
  <w:style w:type="paragraph" w:customStyle="1" w:styleId="SRK2">
    <w:name w:val="SRK 2"/>
    <w:basedOn w:val="Nadpis2"/>
    <w:next w:val="Normlny"/>
    <w:autoRedefine/>
    <w:uiPriority w:val="99"/>
    <w:qFormat/>
    <w:rsid w:val="00CB47F1"/>
    <w:pPr>
      <w:contextualSpacing w:val="0"/>
    </w:pPr>
    <w:rPr>
      <w:rFonts w:ascii="Times New Roman" w:hAnsi="Times New Roman"/>
      <w:b w:val="0"/>
      <w:color w:val="1E4E9D"/>
    </w:rPr>
  </w:style>
  <w:style w:type="paragraph" w:styleId="Pta">
    <w:name w:val="footer"/>
    <w:basedOn w:val="Normlny"/>
    <w:link w:val="PtaChar"/>
    <w:uiPriority w:val="99"/>
    <w:rsid w:val="00F12951"/>
    <w:pPr>
      <w:tabs>
        <w:tab w:val="center" w:pos="4536"/>
        <w:tab w:val="right" w:pos="9072"/>
      </w:tabs>
    </w:pPr>
  </w:style>
  <w:style w:type="character" w:customStyle="1" w:styleId="PtaChar">
    <w:name w:val="Päta Char"/>
    <w:link w:val="Pta"/>
    <w:uiPriority w:val="99"/>
    <w:locked/>
    <w:rsid w:val="00F12951"/>
    <w:rPr>
      <w:rFonts w:ascii="Times New Roman" w:hAnsi="Times New Roman" w:cs="Times New Roman"/>
      <w:sz w:val="24"/>
      <w:szCs w:val="24"/>
      <w:lang w:eastAsia="sk-SK"/>
    </w:rPr>
  </w:style>
  <w:style w:type="paragraph" w:customStyle="1" w:styleId="SRK3">
    <w:name w:val="SRK 3"/>
    <w:basedOn w:val="Nadpis3"/>
    <w:autoRedefine/>
    <w:uiPriority w:val="99"/>
    <w:qFormat/>
    <w:rsid w:val="00CB47F1"/>
    <w:pPr>
      <w:spacing w:line="240" w:lineRule="auto"/>
    </w:pPr>
    <w:rPr>
      <w:rFonts w:ascii="Times New Roman" w:hAnsi="Times New Roman"/>
      <w:b w:val="0"/>
      <w:color w:val="1E4E9D"/>
    </w:rPr>
  </w:style>
  <w:style w:type="paragraph" w:customStyle="1" w:styleId="SRK4">
    <w:name w:val="SRK 4"/>
    <w:basedOn w:val="Nadpis4"/>
    <w:next w:val="Normlny"/>
    <w:autoRedefine/>
    <w:uiPriority w:val="99"/>
    <w:qFormat/>
    <w:rsid w:val="00CB47F1"/>
    <w:pPr>
      <w:jc w:val="both"/>
    </w:pPr>
    <w:rPr>
      <w:rFonts w:ascii="Times New Roman" w:hAnsi="Times New Roman"/>
      <w:b w:val="0"/>
      <w:i w:val="0"/>
      <w:color w:val="1E4E9D"/>
    </w:rPr>
  </w:style>
  <w:style w:type="paragraph" w:styleId="Odsekzoznamu">
    <w:name w:val="List Paragraph"/>
    <w:aliases w:val="body,Odsek zoznamu2"/>
    <w:basedOn w:val="Normlny"/>
    <w:link w:val="OdsekzoznamuChar"/>
    <w:uiPriority w:val="34"/>
    <w:qFormat/>
    <w:rsid w:val="00F12951"/>
    <w:pPr>
      <w:ind w:left="720"/>
      <w:contextualSpacing/>
    </w:pPr>
  </w:style>
  <w:style w:type="character" w:customStyle="1" w:styleId="OdsekzoznamuChar">
    <w:name w:val="Odsek zoznamu Char"/>
    <w:aliases w:val="body Char,Odsek zoznamu2 Char"/>
    <w:link w:val="Odsekzoznamu"/>
    <w:uiPriority w:val="34"/>
    <w:locked/>
    <w:rsid w:val="00F12951"/>
    <w:rPr>
      <w:rFonts w:ascii="Times New Roman" w:hAnsi="Times New Roman" w:cs="Times New Roman"/>
      <w:sz w:val="24"/>
      <w:szCs w:val="24"/>
      <w:lang w:eastAsia="sk-SK"/>
    </w:rPr>
  </w:style>
  <w:style w:type="paragraph" w:styleId="Textkomentra">
    <w:name w:val="annotation text"/>
    <w:basedOn w:val="Normlny"/>
    <w:link w:val="TextkomentraChar"/>
    <w:uiPriority w:val="99"/>
    <w:rsid w:val="00F12951"/>
    <w:rPr>
      <w:sz w:val="20"/>
      <w:szCs w:val="20"/>
    </w:rPr>
  </w:style>
  <w:style w:type="character" w:customStyle="1" w:styleId="TextkomentraChar">
    <w:name w:val="Text komentára Char"/>
    <w:link w:val="Textkomentra"/>
    <w:uiPriority w:val="99"/>
    <w:locked/>
    <w:rsid w:val="00F12951"/>
    <w:rPr>
      <w:rFonts w:ascii="Times New Roman" w:hAnsi="Times New Roman" w:cs="Times New Roman"/>
      <w:sz w:val="20"/>
      <w:szCs w:val="20"/>
      <w:lang w:eastAsia="sk-SK"/>
    </w:rPr>
  </w:style>
  <w:style w:type="character" w:styleId="Odkaznakomentr">
    <w:name w:val="annotation reference"/>
    <w:uiPriority w:val="99"/>
    <w:semiHidden/>
    <w:rsid w:val="00F12951"/>
    <w:rPr>
      <w:rFonts w:cs="Times New Roman"/>
      <w:sz w:val="16"/>
      <w:szCs w:val="16"/>
    </w:rPr>
  </w:style>
  <w:style w:type="paragraph" w:styleId="Predmetkomentra">
    <w:name w:val="annotation subject"/>
    <w:basedOn w:val="Textkomentra"/>
    <w:next w:val="Textkomentra"/>
    <w:link w:val="PredmetkomentraChar"/>
    <w:uiPriority w:val="99"/>
    <w:semiHidden/>
    <w:rsid w:val="00F12951"/>
    <w:rPr>
      <w:b/>
      <w:bCs/>
    </w:rPr>
  </w:style>
  <w:style w:type="character" w:customStyle="1" w:styleId="PredmetkomentraChar">
    <w:name w:val="Predmet komentára Char"/>
    <w:link w:val="Predmetkomentra"/>
    <w:uiPriority w:val="99"/>
    <w:semiHidden/>
    <w:locked/>
    <w:rsid w:val="00F12951"/>
    <w:rPr>
      <w:rFonts w:ascii="Times New Roman" w:hAnsi="Times New Roman" w:cs="Times New Roman"/>
      <w:b/>
      <w:bCs/>
      <w:sz w:val="20"/>
      <w:szCs w:val="20"/>
      <w:lang w:eastAsia="sk-SK"/>
    </w:rPr>
  </w:style>
  <w:style w:type="paragraph" w:customStyle="1" w:styleId="SRK5">
    <w:name w:val="SRK 5"/>
    <w:basedOn w:val="Nadpis5"/>
    <w:next w:val="Normlny"/>
    <w:uiPriority w:val="99"/>
    <w:qFormat/>
    <w:rsid w:val="00CB47F1"/>
    <w:rPr>
      <w:rFonts w:ascii="Times New Roman" w:hAnsi="Times New Roman"/>
      <w:b/>
      <w:i/>
      <w:color w:val="1E4E9D"/>
    </w:rPr>
  </w:style>
  <w:style w:type="paragraph" w:styleId="Popis">
    <w:name w:val="caption"/>
    <w:basedOn w:val="Normlny"/>
    <w:next w:val="Normlny"/>
    <w:uiPriority w:val="99"/>
    <w:qFormat/>
    <w:rsid w:val="00F12951"/>
    <w:pPr>
      <w:spacing w:after="200"/>
    </w:pPr>
    <w:rPr>
      <w:b/>
      <w:bCs/>
      <w:color w:val="4F81BD"/>
      <w:sz w:val="18"/>
      <w:szCs w:val="18"/>
    </w:rPr>
  </w:style>
  <w:style w:type="paragraph" w:customStyle="1" w:styleId="SRKNorm">
    <w:name w:val="SRK Norm."/>
    <w:basedOn w:val="Normlny"/>
    <w:next w:val="Normlny"/>
    <w:uiPriority w:val="99"/>
    <w:rsid w:val="00F12951"/>
    <w:pPr>
      <w:spacing w:before="200" w:after="200"/>
      <w:jc w:val="both"/>
    </w:pPr>
  </w:style>
  <w:style w:type="paragraph" w:styleId="Revzia">
    <w:name w:val="Revision"/>
    <w:hidden/>
    <w:uiPriority w:val="99"/>
    <w:semiHidden/>
    <w:rsid w:val="00F12951"/>
    <w:rPr>
      <w:rFonts w:ascii="Times New Roman" w:eastAsia="Times New Roman" w:hAnsi="Times New Roman"/>
      <w:sz w:val="24"/>
      <w:szCs w:val="24"/>
    </w:rPr>
  </w:style>
  <w:style w:type="paragraph" w:styleId="Normlnywebov">
    <w:name w:val="Normal (Web)"/>
    <w:basedOn w:val="Normlny"/>
    <w:uiPriority w:val="99"/>
    <w:semiHidden/>
    <w:rsid w:val="00F12951"/>
    <w:pPr>
      <w:spacing w:before="100" w:beforeAutospacing="1" w:after="100" w:afterAutospacing="1"/>
    </w:pPr>
  </w:style>
  <w:style w:type="paragraph" w:styleId="Zvraznencitcia">
    <w:name w:val="Intense Quote"/>
    <w:basedOn w:val="Normlny"/>
    <w:next w:val="Normlny"/>
    <w:link w:val="ZvraznencitciaChar"/>
    <w:uiPriority w:val="99"/>
    <w:qFormat/>
    <w:rsid w:val="00F12951"/>
    <w:pPr>
      <w:pBdr>
        <w:bottom w:val="single" w:sz="4" w:space="4" w:color="4F81BD"/>
      </w:pBdr>
      <w:spacing w:before="200" w:after="280" w:line="276" w:lineRule="auto"/>
      <w:ind w:left="936" w:right="936"/>
      <w:jc w:val="both"/>
    </w:pPr>
    <w:rPr>
      <w:rFonts w:eastAsia="Calibri"/>
      <w:b/>
      <w:bCs/>
      <w:i/>
      <w:iCs/>
      <w:color w:val="4F81BD"/>
      <w:szCs w:val="22"/>
      <w:lang w:eastAsia="en-US"/>
    </w:rPr>
  </w:style>
  <w:style w:type="character" w:customStyle="1" w:styleId="ZvraznencitciaChar">
    <w:name w:val="Zvýraznená citácia Char"/>
    <w:link w:val="Zvraznencitcia"/>
    <w:uiPriority w:val="99"/>
    <w:locked/>
    <w:rsid w:val="00F12951"/>
    <w:rPr>
      <w:rFonts w:ascii="Times New Roman" w:hAnsi="Times New Roman" w:cs="Times New Roman"/>
      <w:b/>
      <w:bCs/>
      <w:i/>
      <w:iCs/>
      <w:color w:val="4F81BD"/>
      <w:sz w:val="24"/>
    </w:rPr>
  </w:style>
  <w:style w:type="paragraph" w:styleId="Obsah1">
    <w:name w:val="toc 1"/>
    <w:basedOn w:val="Normlny"/>
    <w:next w:val="Normlny"/>
    <w:autoRedefine/>
    <w:uiPriority w:val="39"/>
    <w:rsid w:val="00F12951"/>
    <w:pPr>
      <w:tabs>
        <w:tab w:val="right" w:leader="dot" w:pos="9825"/>
      </w:tabs>
      <w:spacing w:after="100"/>
      <w:ind w:left="-426"/>
    </w:pPr>
    <w:rPr>
      <w:b/>
      <w:noProof/>
      <w:sz w:val="28"/>
    </w:rPr>
  </w:style>
  <w:style w:type="paragraph" w:styleId="Obsah2">
    <w:name w:val="toc 2"/>
    <w:basedOn w:val="Normlny"/>
    <w:next w:val="Normlny"/>
    <w:autoRedefine/>
    <w:uiPriority w:val="39"/>
    <w:rsid w:val="00F12951"/>
    <w:pPr>
      <w:tabs>
        <w:tab w:val="right" w:leader="dot" w:pos="9841"/>
      </w:tabs>
      <w:spacing w:after="100"/>
    </w:pPr>
  </w:style>
  <w:style w:type="paragraph" w:styleId="Obsah3">
    <w:name w:val="toc 3"/>
    <w:basedOn w:val="Normlny"/>
    <w:next w:val="Normlny"/>
    <w:autoRedefine/>
    <w:uiPriority w:val="39"/>
    <w:rsid w:val="00F12951"/>
    <w:pPr>
      <w:tabs>
        <w:tab w:val="right" w:leader="dot" w:pos="9825"/>
      </w:tabs>
      <w:spacing w:after="100"/>
      <w:ind w:left="993" w:hanging="567"/>
    </w:pPr>
  </w:style>
  <w:style w:type="table" w:customStyle="1" w:styleId="Strednpodfarbenie1zvraznenie11">
    <w:name w:val="Stredné podfarbenie 1 – zvýraznenie 11"/>
    <w:uiPriority w:val="99"/>
    <w:rsid w:val="00F1295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paragraph" w:styleId="Zkladntext">
    <w:name w:val="Body Text"/>
    <w:basedOn w:val="Normlny"/>
    <w:link w:val="ZkladntextChar"/>
    <w:uiPriority w:val="99"/>
    <w:rsid w:val="00F12951"/>
    <w:pPr>
      <w:spacing w:after="120" w:line="276" w:lineRule="auto"/>
      <w:jc w:val="both"/>
    </w:pPr>
    <w:rPr>
      <w:rFonts w:eastAsia="Calibri"/>
      <w:szCs w:val="22"/>
      <w:lang w:eastAsia="en-US"/>
    </w:rPr>
  </w:style>
  <w:style w:type="character" w:customStyle="1" w:styleId="ZkladntextChar">
    <w:name w:val="Základný text Char"/>
    <w:link w:val="Zkladntext"/>
    <w:uiPriority w:val="99"/>
    <w:locked/>
    <w:rsid w:val="00F12951"/>
    <w:rPr>
      <w:rFonts w:ascii="Times New Roman" w:hAnsi="Times New Roman" w:cs="Times New Roman"/>
      <w:sz w:val="24"/>
    </w:rPr>
  </w:style>
  <w:style w:type="paragraph" w:styleId="Zoznamsodrkami">
    <w:name w:val="List Bullet"/>
    <w:basedOn w:val="Zkladntext"/>
    <w:uiPriority w:val="99"/>
    <w:rsid w:val="00F12951"/>
    <w:pPr>
      <w:numPr>
        <w:numId w:val="15"/>
      </w:numPr>
      <w:spacing w:before="130" w:after="130" w:line="240" w:lineRule="auto"/>
    </w:pPr>
    <w:rPr>
      <w:rFonts w:eastAsia="Times New Roman"/>
      <w:sz w:val="22"/>
      <w:szCs w:val="20"/>
    </w:rPr>
  </w:style>
  <w:style w:type="paragraph" w:styleId="Obsah4">
    <w:name w:val="toc 4"/>
    <w:basedOn w:val="Normlny"/>
    <w:next w:val="Normlny"/>
    <w:autoRedefine/>
    <w:uiPriority w:val="39"/>
    <w:rsid w:val="009B0F7F"/>
    <w:pPr>
      <w:tabs>
        <w:tab w:val="right" w:leader="dot" w:pos="9825"/>
      </w:tabs>
      <w:spacing w:after="100" w:line="276" w:lineRule="auto"/>
      <w:ind w:left="1843" w:hanging="851"/>
    </w:pPr>
    <w:rPr>
      <w:noProof/>
      <w:sz w:val="22"/>
      <w:szCs w:val="22"/>
    </w:rPr>
  </w:style>
  <w:style w:type="paragraph" w:styleId="Obsah6">
    <w:name w:val="toc 6"/>
    <w:basedOn w:val="Normlny"/>
    <w:next w:val="Normlny"/>
    <w:autoRedefine/>
    <w:uiPriority w:val="39"/>
    <w:rsid w:val="00F12951"/>
    <w:pPr>
      <w:spacing w:after="100" w:line="276" w:lineRule="auto"/>
      <w:ind w:left="1100"/>
    </w:pPr>
    <w:rPr>
      <w:rFonts w:ascii="Calibri" w:hAnsi="Calibri"/>
      <w:sz w:val="22"/>
      <w:szCs w:val="22"/>
    </w:rPr>
  </w:style>
  <w:style w:type="paragraph" w:styleId="Obsah7">
    <w:name w:val="toc 7"/>
    <w:basedOn w:val="Normlny"/>
    <w:next w:val="Normlny"/>
    <w:autoRedefine/>
    <w:uiPriority w:val="39"/>
    <w:rsid w:val="00F12951"/>
    <w:pPr>
      <w:spacing w:after="100" w:line="276" w:lineRule="auto"/>
      <w:ind w:left="1320"/>
    </w:pPr>
    <w:rPr>
      <w:rFonts w:ascii="Calibri" w:hAnsi="Calibri"/>
      <w:sz w:val="22"/>
      <w:szCs w:val="22"/>
    </w:rPr>
  </w:style>
  <w:style w:type="paragraph" w:styleId="Obsah8">
    <w:name w:val="toc 8"/>
    <w:basedOn w:val="Normlny"/>
    <w:next w:val="Normlny"/>
    <w:autoRedefine/>
    <w:uiPriority w:val="39"/>
    <w:rsid w:val="00F12951"/>
    <w:pPr>
      <w:spacing w:after="100" w:line="276" w:lineRule="auto"/>
      <w:ind w:left="1540"/>
    </w:pPr>
    <w:rPr>
      <w:rFonts w:ascii="Calibri" w:hAnsi="Calibri"/>
      <w:sz w:val="22"/>
      <w:szCs w:val="22"/>
    </w:rPr>
  </w:style>
  <w:style w:type="paragraph" w:styleId="Obsah9">
    <w:name w:val="toc 9"/>
    <w:basedOn w:val="Normlny"/>
    <w:next w:val="Normlny"/>
    <w:autoRedefine/>
    <w:uiPriority w:val="39"/>
    <w:rsid w:val="00F12951"/>
    <w:pPr>
      <w:spacing w:after="100" w:line="276" w:lineRule="auto"/>
      <w:ind w:left="1760"/>
    </w:pPr>
    <w:rPr>
      <w:rFonts w:ascii="Calibri" w:hAnsi="Calibri"/>
      <w:sz w:val="22"/>
      <w:szCs w:val="22"/>
    </w:rPr>
  </w:style>
  <w:style w:type="character" w:styleId="Zstupntext">
    <w:name w:val="Placeholder Text"/>
    <w:uiPriority w:val="99"/>
    <w:semiHidden/>
    <w:rsid w:val="00F12951"/>
    <w:rPr>
      <w:rFonts w:ascii="Times New Roman" w:hAnsi="Times New Roman" w:cs="Times New Roman"/>
      <w:color w:val="808080"/>
    </w:rPr>
  </w:style>
  <w:style w:type="character" w:styleId="Hypertextovprepojenie">
    <w:name w:val="Hyperlink"/>
    <w:uiPriority w:val="99"/>
    <w:rsid w:val="00F12951"/>
    <w:rPr>
      <w:rFonts w:cs="Times New Roman"/>
      <w:color w:val="0000FF"/>
      <w:u w:val="single"/>
    </w:rPr>
  </w:style>
  <w:style w:type="character" w:styleId="Intenzvnezvraznenie">
    <w:name w:val="Intense Emphasis"/>
    <w:uiPriority w:val="99"/>
    <w:qFormat/>
    <w:rsid w:val="00F12951"/>
    <w:rPr>
      <w:rFonts w:cs="Times New Roman"/>
      <w:b/>
      <w:bCs/>
      <w:i/>
      <w:iCs/>
      <w:color w:val="4F81BD"/>
    </w:rPr>
  </w:style>
  <w:style w:type="character" w:styleId="Jemnodkaz">
    <w:name w:val="Subtle Reference"/>
    <w:uiPriority w:val="99"/>
    <w:qFormat/>
    <w:rsid w:val="00F12951"/>
    <w:rPr>
      <w:rFonts w:cs="Times New Roman"/>
      <w:smallCaps/>
      <w:color w:val="C0504D"/>
      <w:u w:val="single"/>
    </w:rPr>
  </w:style>
  <w:style w:type="paragraph" w:customStyle="1" w:styleId="CM1">
    <w:name w:val="CM1"/>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Default">
    <w:name w:val="Default"/>
    <w:uiPriority w:val="99"/>
    <w:rsid w:val="00F12951"/>
    <w:pPr>
      <w:autoSpaceDE w:val="0"/>
      <w:autoSpaceDN w:val="0"/>
      <w:adjustRightInd w:val="0"/>
    </w:pPr>
    <w:rPr>
      <w:rFonts w:ascii="Times New Roman" w:hAnsi="Times New Roman"/>
      <w:color w:val="000000"/>
      <w:sz w:val="24"/>
      <w:szCs w:val="24"/>
      <w:lang w:eastAsia="en-US"/>
    </w:rPr>
  </w:style>
  <w:style w:type="paragraph" w:styleId="Obsah5">
    <w:name w:val="toc 5"/>
    <w:basedOn w:val="Normlny"/>
    <w:next w:val="Normlny"/>
    <w:autoRedefine/>
    <w:uiPriority w:val="39"/>
    <w:rsid w:val="009A663F"/>
    <w:pPr>
      <w:tabs>
        <w:tab w:val="right" w:leader="dot" w:pos="9825"/>
      </w:tabs>
      <w:spacing w:after="100" w:line="276" w:lineRule="auto"/>
      <w:ind w:left="2410" w:hanging="874"/>
    </w:pPr>
    <w:rPr>
      <w:noProof/>
      <w:sz w:val="20"/>
      <w:szCs w:val="22"/>
    </w:rPr>
  </w:style>
  <w:style w:type="paragraph" w:styleId="Bezriadkovania">
    <w:name w:val="No Spacing"/>
    <w:uiPriority w:val="99"/>
    <w:qFormat/>
    <w:rsid w:val="00F12951"/>
    <w:rPr>
      <w:rFonts w:ascii="Times New Roman" w:eastAsia="Times New Roman" w:hAnsi="Times New Roman"/>
      <w:sz w:val="24"/>
      <w:szCs w:val="24"/>
    </w:rPr>
  </w:style>
  <w:style w:type="paragraph" w:styleId="Hlavikaobsahu">
    <w:name w:val="TOC Heading"/>
    <w:basedOn w:val="Nadpis1"/>
    <w:next w:val="Normlny"/>
    <w:uiPriority w:val="99"/>
    <w:qFormat/>
    <w:rsid w:val="00F12951"/>
    <w:pPr>
      <w:pBdr>
        <w:bottom w:val="none" w:sz="0" w:space="0" w:color="auto"/>
      </w:pBdr>
      <w:spacing w:after="0" w:line="276" w:lineRule="auto"/>
      <w:contextualSpacing w:val="0"/>
      <w:outlineLvl w:val="9"/>
    </w:pPr>
    <w:rPr>
      <w:rFonts w:ascii="Cambria" w:hAnsi="Cambria"/>
      <w:b/>
      <w:spacing w:val="0"/>
      <w:kern w:val="0"/>
      <w:sz w:val="28"/>
      <w:szCs w:val="28"/>
    </w:rPr>
  </w:style>
  <w:style w:type="character" w:styleId="PouitHypertextovPrepojenie">
    <w:name w:val="FollowedHyperlink"/>
    <w:uiPriority w:val="99"/>
    <w:semiHidden/>
    <w:rsid w:val="00F12951"/>
    <w:rPr>
      <w:rFonts w:cs="Times New Roman"/>
      <w:color w:val="800080"/>
      <w:u w:val="single"/>
    </w:rPr>
  </w:style>
  <w:style w:type="table" w:styleId="Mriekatabuky">
    <w:name w:val="Table Grid"/>
    <w:basedOn w:val="Normlnatabuka"/>
    <w:uiPriority w:val="99"/>
    <w:rsid w:val="00F129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sid w:val="00F12951"/>
    <w:rPr>
      <w:rFonts w:ascii="EUAlbertina" w:hAnsi="EUAlbertina"/>
      <w:color w:val="auto"/>
    </w:rPr>
  </w:style>
  <w:style w:type="paragraph" w:styleId="Hlavika">
    <w:name w:val="header"/>
    <w:basedOn w:val="Normlny"/>
    <w:link w:val="HlavikaChar"/>
    <w:uiPriority w:val="99"/>
    <w:rsid w:val="00F12951"/>
    <w:pPr>
      <w:tabs>
        <w:tab w:val="center" w:pos="4536"/>
        <w:tab w:val="right" w:pos="9072"/>
      </w:tabs>
    </w:pPr>
  </w:style>
  <w:style w:type="character" w:customStyle="1" w:styleId="HlavikaChar">
    <w:name w:val="Hlavička Char"/>
    <w:link w:val="Hlavika"/>
    <w:uiPriority w:val="99"/>
    <w:locked/>
    <w:rsid w:val="00F12951"/>
    <w:rPr>
      <w:rFonts w:ascii="Times New Roman" w:hAnsi="Times New Roman" w:cs="Times New Roman"/>
      <w:sz w:val="24"/>
      <w:szCs w:val="24"/>
      <w:lang w:eastAsia="sk-SK"/>
    </w:rPr>
  </w:style>
  <w:style w:type="character" w:customStyle="1" w:styleId="A7">
    <w:name w:val="A7"/>
    <w:uiPriority w:val="99"/>
    <w:rsid w:val="00F12951"/>
    <w:rPr>
      <w:color w:val="000000"/>
      <w:sz w:val="22"/>
    </w:rPr>
  </w:style>
  <w:style w:type="paragraph" w:styleId="Zarkazkladnhotextu2">
    <w:name w:val="Body Text Indent 2"/>
    <w:basedOn w:val="Normlny"/>
    <w:link w:val="Zarkazkladnhotextu2Char"/>
    <w:uiPriority w:val="99"/>
    <w:semiHidden/>
    <w:rsid w:val="00600D13"/>
    <w:pPr>
      <w:spacing w:after="120" w:line="480" w:lineRule="auto"/>
      <w:ind w:left="283"/>
    </w:pPr>
  </w:style>
  <w:style w:type="character" w:customStyle="1" w:styleId="Zarkazkladnhotextu2Char">
    <w:name w:val="Zarážka základného textu 2 Char"/>
    <w:link w:val="Zarkazkladnhotextu2"/>
    <w:uiPriority w:val="99"/>
    <w:semiHidden/>
    <w:locked/>
    <w:rsid w:val="00600D13"/>
    <w:rPr>
      <w:rFonts w:ascii="Times New Roman" w:hAnsi="Times New Roman" w:cs="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0329876">
      <w:marLeft w:val="0"/>
      <w:marRight w:val="0"/>
      <w:marTop w:val="0"/>
      <w:marBottom w:val="0"/>
      <w:divBdr>
        <w:top w:val="none" w:sz="0" w:space="0" w:color="auto"/>
        <w:left w:val="none" w:sz="0" w:space="0" w:color="auto"/>
        <w:bottom w:val="none" w:sz="0" w:space="0" w:color="auto"/>
        <w:right w:val="none" w:sz="0" w:space="0" w:color="auto"/>
      </w:divBdr>
    </w:div>
    <w:div w:id="380329877">
      <w:marLeft w:val="0"/>
      <w:marRight w:val="0"/>
      <w:marTop w:val="0"/>
      <w:marBottom w:val="0"/>
      <w:divBdr>
        <w:top w:val="none" w:sz="0" w:space="0" w:color="auto"/>
        <w:left w:val="none" w:sz="0" w:space="0" w:color="auto"/>
        <w:bottom w:val="none" w:sz="0" w:space="0" w:color="auto"/>
        <w:right w:val="none" w:sz="0" w:space="0" w:color="auto"/>
      </w:divBdr>
    </w:div>
    <w:div w:id="380329879">
      <w:marLeft w:val="0"/>
      <w:marRight w:val="0"/>
      <w:marTop w:val="0"/>
      <w:marBottom w:val="0"/>
      <w:divBdr>
        <w:top w:val="none" w:sz="0" w:space="0" w:color="auto"/>
        <w:left w:val="none" w:sz="0" w:space="0" w:color="auto"/>
        <w:bottom w:val="none" w:sz="0" w:space="0" w:color="auto"/>
        <w:right w:val="none" w:sz="0" w:space="0" w:color="auto"/>
      </w:divBdr>
    </w:div>
    <w:div w:id="380329880">
      <w:marLeft w:val="0"/>
      <w:marRight w:val="0"/>
      <w:marTop w:val="0"/>
      <w:marBottom w:val="0"/>
      <w:divBdr>
        <w:top w:val="none" w:sz="0" w:space="0" w:color="auto"/>
        <w:left w:val="none" w:sz="0" w:space="0" w:color="auto"/>
        <w:bottom w:val="none" w:sz="0" w:space="0" w:color="auto"/>
        <w:right w:val="none" w:sz="0" w:space="0" w:color="auto"/>
      </w:divBdr>
    </w:div>
    <w:div w:id="380329881">
      <w:marLeft w:val="0"/>
      <w:marRight w:val="0"/>
      <w:marTop w:val="0"/>
      <w:marBottom w:val="0"/>
      <w:divBdr>
        <w:top w:val="none" w:sz="0" w:space="0" w:color="auto"/>
        <w:left w:val="none" w:sz="0" w:space="0" w:color="auto"/>
        <w:bottom w:val="none" w:sz="0" w:space="0" w:color="auto"/>
        <w:right w:val="none" w:sz="0" w:space="0" w:color="auto"/>
      </w:divBdr>
    </w:div>
    <w:div w:id="380329882">
      <w:marLeft w:val="0"/>
      <w:marRight w:val="0"/>
      <w:marTop w:val="0"/>
      <w:marBottom w:val="0"/>
      <w:divBdr>
        <w:top w:val="none" w:sz="0" w:space="0" w:color="auto"/>
        <w:left w:val="none" w:sz="0" w:space="0" w:color="auto"/>
        <w:bottom w:val="none" w:sz="0" w:space="0" w:color="auto"/>
        <w:right w:val="none" w:sz="0" w:space="0" w:color="auto"/>
      </w:divBdr>
      <w:divsChild>
        <w:div w:id="380329890">
          <w:marLeft w:val="547"/>
          <w:marRight w:val="0"/>
          <w:marTop w:val="0"/>
          <w:marBottom w:val="0"/>
          <w:divBdr>
            <w:top w:val="none" w:sz="0" w:space="0" w:color="auto"/>
            <w:left w:val="none" w:sz="0" w:space="0" w:color="auto"/>
            <w:bottom w:val="none" w:sz="0" w:space="0" w:color="auto"/>
            <w:right w:val="none" w:sz="0" w:space="0" w:color="auto"/>
          </w:divBdr>
        </w:div>
      </w:divsChild>
    </w:div>
    <w:div w:id="380329883">
      <w:marLeft w:val="0"/>
      <w:marRight w:val="0"/>
      <w:marTop w:val="0"/>
      <w:marBottom w:val="0"/>
      <w:divBdr>
        <w:top w:val="none" w:sz="0" w:space="0" w:color="auto"/>
        <w:left w:val="none" w:sz="0" w:space="0" w:color="auto"/>
        <w:bottom w:val="none" w:sz="0" w:space="0" w:color="auto"/>
        <w:right w:val="none" w:sz="0" w:space="0" w:color="auto"/>
      </w:divBdr>
    </w:div>
    <w:div w:id="380329884">
      <w:marLeft w:val="0"/>
      <w:marRight w:val="0"/>
      <w:marTop w:val="0"/>
      <w:marBottom w:val="0"/>
      <w:divBdr>
        <w:top w:val="none" w:sz="0" w:space="0" w:color="auto"/>
        <w:left w:val="none" w:sz="0" w:space="0" w:color="auto"/>
        <w:bottom w:val="none" w:sz="0" w:space="0" w:color="auto"/>
        <w:right w:val="none" w:sz="0" w:space="0" w:color="auto"/>
      </w:divBdr>
    </w:div>
    <w:div w:id="380329885">
      <w:marLeft w:val="0"/>
      <w:marRight w:val="0"/>
      <w:marTop w:val="0"/>
      <w:marBottom w:val="0"/>
      <w:divBdr>
        <w:top w:val="none" w:sz="0" w:space="0" w:color="auto"/>
        <w:left w:val="none" w:sz="0" w:space="0" w:color="auto"/>
        <w:bottom w:val="none" w:sz="0" w:space="0" w:color="auto"/>
        <w:right w:val="none" w:sz="0" w:space="0" w:color="auto"/>
      </w:divBdr>
    </w:div>
    <w:div w:id="380329886">
      <w:marLeft w:val="0"/>
      <w:marRight w:val="0"/>
      <w:marTop w:val="0"/>
      <w:marBottom w:val="0"/>
      <w:divBdr>
        <w:top w:val="none" w:sz="0" w:space="0" w:color="auto"/>
        <w:left w:val="none" w:sz="0" w:space="0" w:color="auto"/>
        <w:bottom w:val="none" w:sz="0" w:space="0" w:color="auto"/>
        <w:right w:val="none" w:sz="0" w:space="0" w:color="auto"/>
      </w:divBdr>
    </w:div>
    <w:div w:id="380329887">
      <w:marLeft w:val="0"/>
      <w:marRight w:val="0"/>
      <w:marTop w:val="0"/>
      <w:marBottom w:val="0"/>
      <w:divBdr>
        <w:top w:val="none" w:sz="0" w:space="0" w:color="auto"/>
        <w:left w:val="none" w:sz="0" w:space="0" w:color="auto"/>
        <w:bottom w:val="none" w:sz="0" w:space="0" w:color="auto"/>
        <w:right w:val="none" w:sz="0" w:space="0" w:color="auto"/>
      </w:divBdr>
    </w:div>
    <w:div w:id="380329888">
      <w:marLeft w:val="0"/>
      <w:marRight w:val="0"/>
      <w:marTop w:val="0"/>
      <w:marBottom w:val="0"/>
      <w:divBdr>
        <w:top w:val="none" w:sz="0" w:space="0" w:color="auto"/>
        <w:left w:val="none" w:sz="0" w:space="0" w:color="auto"/>
        <w:bottom w:val="none" w:sz="0" w:space="0" w:color="auto"/>
        <w:right w:val="none" w:sz="0" w:space="0" w:color="auto"/>
      </w:divBdr>
      <w:divsChild>
        <w:div w:id="380329915">
          <w:marLeft w:val="547"/>
          <w:marRight w:val="0"/>
          <w:marTop w:val="0"/>
          <w:marBottom w:val="0"/>
          <w:divBdr>
            <w:top w:val="none" w:sz="0" w:space="0" w:color="auto"/>
            <w:left w:val="none" w:sz="0" w:space="0" w:color="auto"/>
            <w:bottom w:val="none" w:sz="0" w:space="0" w:color="auto"/>
            <w:right w:val="none" w:sz="0" w:space="0" w:color="auto"/>
          </w:divBdr>
        </w:div>
      </w:divsChild>
    </w:div>
    <w:div w:id="380329889">
      <w:marLeft w:val="0"/>
      <w:marRight w:val="0"/>
      <w:marTop w:val="0"/>
      <w:marBottom w:val="0"/>
      <w:divBdr>
        <w:top w:val="none" w:sz="0" w:space="0" w:color="auto"/>
        <w:left w:val="none" w:sz="0" w:space="0" w:color="auto"/>
        <w:bottom w:val="none" w:sz="0" w:space="0" w:color="auto"/>
        <w:right w:val="none" w:sz="0" w:space="0" w:color="auto"/>
      </w:divBdr>
    </w:div>
    <w:div w:id="380329891">
      <w:marLeft w:val="0"/>
      <w:marRight w:val="0"/>
      <w:marTop w:val="0"/>
      <w:marBottom w:val="0"/>
      <w:divBdr>
        <w:top w:val="none" w:sz="0" w:space="0" w:color="auto"/>
        <w:left w:val="none" w:sz="0" w:space="0" w:color="auto"/>
        <w:bottom w:val="none" w:sz="0" w:space="0" w:color="auto"/>
        <w:right w:val="none" w:sz="0" w:space="0" w:color="auto"/>
      </w:divBdr>
    </w:div>
    <w:div w:id="380329892">
      <w:marLeft w:val="0"/>
      <w:marRight w:val="0"/>
      <w:marTop w:val="0"/>
      <w:marBottom w:val="0"/>
      <w:divBdr>
        <w:top w:val="none" w:sz="0" w:space="0" w:color="auto"/>
        <w:left w:val="none" w:sz="0" w:space="0" w:color="auto"/>
        <w:bottom w:val="none" w:sz="0" w:space="0" w:color="auto"/>
        <w:right w:val="none" w:sz="0" w:space="0" w:color="auto"/>
      </w:divBdr>
    </w:div>
    <w:div w:id="380329893">
      <w:marLeft w:val="0"/>
      <w:marRight w:val="0"/>
      <w:marTop w:val="0"/>
      <w:marBottom w:val="0"/>
      <w:divBdr>
        <w:top w:val="none" w:sz="0" w:space="0" w:color="auto"/>
        <w:left w:val="none" w:sz="0" w:space="0" w:color="auto"/>
        <w:bottom w:val="none" w:sz="0" w:space="0" w:color="auto"/>
        <w:right w:val="none" w:sz="0" w:space="0" w:color="auto"/>
      </w:divBdr>
    </w:div>
    <w:div w:id="380329894">
      <w:marLeft w:val="0"/>
      <w:marRight w:val="0"/>
      <w:marTop w:val="0"/>
      <w:marBottom w:val="0"/>
      <w:divBdr>
        <w:top w:val="none" w:sz="0" w:space="0" w:color="auto"/>
        <w:left w:val="none" w:sz="0" w:space="0" w:color="auto"/>
        <w:bottom w:val="none" w:sz="0" w:space="0" w:color="auto"/>
        <w:right w:val="none" w:sz="0" w:space="0" w:color="auto"/>
      </w:divBdr>
    </w:div>
    <w:div w:id="380329895">
      <w:marLeft w:val="0"/>
      <w:marRight w:val="0"/>
      <w:marTop w:val="0"/>
      <w:marBottom w:val="0"/>
      <w:divBdr>
        <w:top w:val="none" w:sz="0" w:space="0" w:color="auto"/>
        <w:left w:val="none" w:sz="0" w:space="0" w:color="auto"/>
        <w:bottom w:val="none" w:sz="0" w:space="0" w:color="auto"/>
        <w:right w:val="none" w:sz="0" w:space="0" w:color="auto"/>
      </w:divBdr>
    </w:div>
    <w:div w:id="380329896">
      <w:marLeft w:val="0"/>
      <w:marRight w:val="0"/>
      <w:marTop w:val="0"/>
      <w:marBottom w:val="0"/>
      <w:divBdr>
        <w:top w:val="none" w:sz="0" w:space="0" w:color="auto"/>
        <w:left w:val="none" w:sz="0" w:space="0" w:color="auto"/>
        <w:bottom w:val="none" w:sz="0" w:space="0" w:color="auto"/>
        <w:right w:val="none" w:sz="0" w:space="0" w:color="auto"/>
      </w:divBdr>
    </w:div>
    <w:div w:id="380329897">
      <w:marLeft w:val="0"/>
      <w:marRight w:val="0"/>
      <w:marTop w:val="0"/>
      <w:marBottom w:val="0"/>
      <w:divBdr>
        <w:top w:val="none" w:sz="0" w:space="0" w:color="auto"/>
        <w:left w:val="none" w:sz="0" w:space="0" w:color="auto"/>
        <w:bottom w:val="none" w:sz="0" w:space="0" w:color="auto"/>
        <w:right w:val="none" w:sz="0" w:space="0" w:color="auto"/>
      </w:divBdr>
    </w:div>
    <w:div w:id="380329899">
      <w:marLeft w:val="0"/>
      <w:marRight w:val="0"/>
      <w:marTop w:val="0"/>
      <w:marBottom w:val="0"/>
      <w:divBdr>
        <w:top w:val="none" w:sz="0" w:space="0" w:color="auto"/>
        <w:left w:val="none" w:sz="0" w:space="0" w:color="auto"/>
        <w:bottom w:val="none" w:sz="0" w:space="0" w:color="auto"/>
        <w:right w:val="none" w:sz="0" w:space="0" w:color="auto"/>
      </w:divBdr>
    </w:div>
    <w:div w:id="380329900">
      <w:marLeft w:val="0"/>
      <w:marRight w:val="0"/>
      <w:marTop w:val="0"/>
      <w:marBottom w:val="0"/>
      <w:divBdr>
        <w:top w:val="none" w:sz="0" w:space="0" w:color="auto"/>
        <w:left w:val="none" w:sz="0" w:space="0" w:color="auto"/>
        <w:bottom w:val="none" w:sz="0" w:space="0" w:color="auto"/>
        <w:right w:val="none" w:sz="0" w:space="0" w:color="auto"/>
      </w:divBdr>
    </w:div>
    <w:div w:id="380329901">
      <w:marLeft w:val="0"/>
      <w:marRight w:val="0"/>
      <w:marTop w:val="0"/>
      <w:marBottom w:val="0"/>
      <w:divBdr>
        <w:top w:val="none" w:sz="0" w:space="0" w:color="auto"/>
        <w:left w:val="none" w:sz="0" w:space="0" w:color="auto"/>
        <w:bottom w:val="none" w:sz="0" w:space="0" w:color="auto"/>
        <w:right w:val="none" w:sz="0" w:space="0" w:color="auto"/>
      </w:divBdr>
    </w:div>
    <w:div w:id="380329902">
      <w:marLeft w:val="0"/>
      <w:marRight w:val="0"/>
      <w:marTop w:val="0"/>
      <w:marBottom w:val="0"/>
      <w:divBdr>
        <w:top w:val="none" w:sz="0" w:space="0" w:color="auto"/>
        <w:left w:val="none" w:sz="0" w:space="0" w:color="auto"/>
        <w:bottom w:val="none" w:sz="0" w:space="0" w:color="auto"/>
        <w:right w:val="none" w:sz="0" w:space="0" w:color="auto"/>
      </w:divBdr>
    </w:div>
    <w:div w:id="380329903">
      <w:marLeft w:val="0"/>
      <w:marRight w:val="0"/>
      <w:marTop w:val="0"/>
      <w:marBottom w:val="0"/>
      <w:divBdr>
        <w:top w:val="none" w:sz="0" w:space="0" w:color="auto"/>
        <w:left w:val="none" w:sz="0" w:space="0" w:color="auto"/>
        <w:bottom w:val="none" w:sz="0" w:space="0" w:color="auto"/>
        <w:right w:val="none" w:sz="0" w:space="0" w:color="auto"/>
      </w:divBdr>
    </w:div>
    <w:div w:id="380329904">
      <w:marLeft w:val="0"/>
      <w:marRight w:val="0"/>
      <w:marTop w:val="0"/>
      <w:marBottom w:val="0"/>
      <w:divBdr>
        <w:top w:val="none" w:sz="0" w:space="0" w:color="auto"/>
        <w:left w:val="none" w:sz="0" w:space="0" w:color="auto"/>
        <w:bottom w:val="none" w:sz="0" w:space="0" w:color="auto"/>
        <w:right w:val="none" w:sz="0" w:space="0" w:color="auto"/>
      </w:divBdr>
    </w:div>
    <w:div w:id="380329905">
      <w:marLeft w:val="0"/>
      <w:marRight w:val="0"/>
      <w:marTop w:val="0"/>
      <w:marBottom w:val="0"/>
      <w:divBdr>
        <w:top w:val="none" w:sz="0" w:space="0" w:color="auto"/>
        <w:left w:val="none" w:sz="0" w:space="0" w:color="auto"/>
        <w:bottom w:val="none" w:sz="0" w:space="0" w:color="auto"/>
        <w:right w:val="none" w:sz="0" w:space="0" w:color="auto"/>
      </w:divBdr>
    </w:div>
    <w:div w:id="380329907">
      <w:marLeft w:val="0"/>
      <w:marRight w:val="0"/>
      <w:marTop w:val="0"/>
      <w:marBottom w:val="0"/>
      <w:divBdr>
        <w:top w:val="none" w:sz="0" w:space="0" w:color="auto"/>
        <w:left w:val="none" w:sz="0" w:space="0" w:color="auto"/>
        <w:bottom w:val="none" w:sz="0" w:space="0" w:color="auto"/>
        <w:right w:val="none" w:sz="0" w:space="0" w:color="auto"/>
      </w:divBdr>
    </w:div>
    <w:div w:id="380329908">
      <w:marLeft w:val="0"/>
      <w:marRight w:val="0"/>
      <w:marTop w:val="0"/>
      <w:marBottom w:val="0"/>
      <w:divBdr>
        <w:top w:val="none" w:sz="0" w:space="0" w:color="auto"/>
        <w:left w:val="none" w:sz="0" w:space="0" w:color="auto"/>
        <w:bottom w:val="none" w:sz="0" w:space="0" w:color="auto"/>
        <w:right w:val="none" w:sz="0" w:space="0" w:color="auto"/>
      </w:divBdr>
    </w:div>
    <w:div w:id="380329909">
      <w:marLeft w:val="0"/>
      <w:marRight w:val="0"/>
      <w:marTop w:val="0"/>
      <w:marBottom w:val="0"/>
      <w:divBdr>
        <w:top w:val="none" w:sz="0" w:space="0" w:color="auto"/>
        <w:left w:val="none" w:sz="0" w:space="0" w:color="auto"/>
        <w:bottom w:val="none" w:sz="0" w:space="0" w:color="auto"/>
        <w:right w:val="none" w:sz="0" w:space="0" w:color="auto"/>
      </w:divBdr>
    </w:div>
    <w:div w:id="380329910">
      <w:marLeft w:val="0"/>
      <w:marRight w:val="0"/>
      <w:marTop w:val="0"/>
      <w:marBottom w:val="0"/>
      <w:divBdr>
        <w:top w:val="none" w:sz="0" w:space="0" w:color="auto"/>
        <w:left w:val="none" w:sz="0" w:space="0" w:color="auto"/>
        <w:bottom w:val="none" w:sz="0" w:space="0" w:color="auto"/>
        <w:right w:val="none" w:sz="0" w:space="0" w:color="auto"/>
      </w:divBdr>
    </w:div>
    <w:div w:id="380329911">
      <w:marLeft w:val="0"/>
      <w:marRight w:val="0"/>
      <w:marTop w:val="0"/>
      <w:marBottom w:val="0"/>
      <w:divBdr>
        <w:top w:val="none" w:sz="0" w:space="0" w:color="auto"/>
        <w:left w:val="none" w:sz="0" w:space="0" w:color="auto"/>
        <w:bottom w:val="none" w:sz="0" w:space="0" w:color="auto"/>
        <w:right w:val="none" w:sz="0" w:space="0" w:color="auto"/>
      </w:divBdr>
    </w:div>
    <w:div w:id="380329912">
      <w:marLeft w:val="0"/>
      <w:marRight w:val="0"/>
      <w:marTop w:val="0"/>
      <w:marBottom w:val="0"/>
      <w:divBdr>
        <w:top w:val="none" w:sz="0" w:space="0" w:color="auto"/>
        <w:left w:val="none" w:sz="0" w:space="0" w:color="auto"/>
        <w:bottom w:val="none" w:sz="0" w:space="0" w:color="auto"/>
        <w:right w:val="none" w:sz="0" w:space="0" w:color="auto"/>
      </w:divBdr>
    </w:div>
    <w:div w:id="380329913">
      <w:marLeft w:val="0"/>
      <w:marRight w:val="0"/>
      <w:marTop w:val="0"/>
      <w:marBottom w:val="0"/>
      <w:divBdr>
        <w:top w:val="none" w:sz="0" w:space="0" w:color="auto"/>
        <w:left w:val="none" w:sz="0" w:space="0" w:color="auto"/>
        <w:bottom w:val="none" w:sz="0" w:space="0" w:color="auto"/>
        <w:right w:val="none" w:sz="0" w:space="0" w:color="auto"/>
      </w:divBdr>
    </w:div>
    <w:div w:id="380329914">
      <w:marLeft w:val="0"/>
      <w:marRight w:val="0"/>
      <w:marTop w:val="0"/>
      <w:marBottom w:val="0"/>
      <w:divBdr>
        <w:top w:val="none" w:sz="0" w:space="0" w:color="auto"/>
        <w:left w:val="none" w:sz="0" w:space="0" w:color="auto"/>
        <w:bottom w:val="none" w:sz="0" w:space="0" w:color="auto"/>
        <w:right w:val="none" w:sz="0" w:space="0" w:color="auto"/>
      </w:divBdr>
    </w:div>
    <w:div w:id="380329916">
      <w:marLeft w:val="0"/>
      <w:marRight w:val="0"/>
      <w:marTop w:val="0"/>
      <w:marBottom w:val="0"/>
      <w:divBdr>
        <w:top w:val="none" w:sz="0" w:space="0" w:color="auto"/>
        <w:left w:val="none" w:sz="0" w:space="0" w:color="auto"/>
        <w:bottom w:val="none" w:sz="0" w:space="0" w:color="auto"/>
        <w:right w:val="none" w:sz="0" w:space="0" w:color="auto"/>
      </w:divBdr>
      <w:divsChild>
        <w:div w:id="380329906">
          <w:marLeft w:val="547"/>
          <w:marRight w:val="0"/>
          <w:marTop w:val="0"/>
          <w:marBottom w:val="0"/>
          <w:divBdr>
            <w:top w:val="none" w:sz="0" w:space="0" w:color="auto"/>
            <w:left w:val="none" w:sz="0" w:space="0" w:color="auto"/>
            <w:bottom w:val="none" w:sz="0" w:space="0" w:color="auto"/>
            <w:right w:val="none" w:sz="0" w:space="0" w:color="auto"/>
          </w:divBdr>
        </w:div>
      </w:divsChild>
    </w:div>
    <w:div w:id="380329917">
      <w:marLeft w:val="0"/>
      <w:marRight w:val="0"/>
      <w:marTop w:val="0"/>
      <w:marBottom w:val="0"/>
      <w:divBdr>
        <w:top w:val="none" w:sz="0" w:space="0" w:color="auto"/>
        <w:left w:val="none" w:sz="0" w:space="0" w:color="auto"/>
        <w:bottom w:val="none" w:sz="0" w:space="0" w:color="auto"/>
        <w:right w:val="none" w:sz="0" w:space="0" w:color="auto"/>
      </w:divBdr>
    </w:div>
    <w:div w:id="380329918">
      <w:marLeft w:val="0"/>
      <w:marRight w:val="0"/>
      <w:marTop w:val="0"/>
      <w:marBottom w:val="0"/>
      <w:divBdr>
        <w:top w:val="none" w:sz="0" w:space="0" w:color="auto"/>
        <w:left w:val="none" w:sz="0" w:space="0" w:color="auto"/>
        <w:bottom w:val="none" w:sz="0" w:space="0" w:color="auto"/>
        <w:right w:val="none" w:sz="0" w:space="0" w:color="auto"/>
      </w:divBdr>
    </w:div>
    <w:div w:id="380329919">
      <w:marLeft w:val="0"/>
      <w:marRight w:val="0"/>
      <w:marTop w:val="0"/>
      <w:marBottom w:val="0"/>
      <w:divBdr>
        <w:top w:val="none" w:sz="0" w:space="0" w:color="auto"/>
        <w:left w:val="none" w:sz="0" w:space="0" w:color="auto"/>
        <w:bottom w:val="none" w:sz="0" w:space="0" w:color="auto"/>
        <w:right w:val="none" w:sz="0" w:space="0" w:color="auto"/>
      </w:divBdr>
    </w:div>
    <w:div w:id="380329920">
      <w:marLeft w:val="0"/>
      <w:marRight w:val="0"/>
      <w:marTop w:val="0"/>
      <w:marBottom w:val="0"/>
      <w:divBdr>
        <w:top w:val="none" w:sz="0" w:space="0" w:color="auto"/>
        <w:left w:val="none" w:sz="0" w:space="0" w:color="auto"/>
        <w:bottom w:val="none" w:sz="0" w:space="0" w:color="auto"/>
        <w:right w:val="none" w:sz="0" w:space="0" w:color="auto"/>
      </w:divBdr>
    </w:div>
    <w:div w:id="380329921">
      <w:marLeft w:val="0"/>
      <w:marRight w:val="0"/>
      <w:marTop w:val="0"/>
      <w:marBottom w:val="0"/>
      <w:divBdr>
        <w:top w:val="none" w:sz="0" w:space="0" w:color="auto"/>
        <w:left w:val="none" w:sz="0" w:space="0" w:color="auto"/>
        <w:bottom w:val="none" w:sz="0" w:space="0" w:color="auto"/>
        <w:right w:val="none" w:sz="0" w:space="0" w:color="auto"/>
      </w:divBdr>
    </w:div>
    <w:div w:id="380329922">
      <w:marLeft w:val="0"/>
      <w:marRight w:val="0"/>
      <w:marTop w:val="0"/>
      <w:marBottom w:val="0"/>
      <w:divBdr>
        <w:top w:val="none" w:sz="0" w:space="0" w:color="auto"/>
        <w:left w:val="none" w:sz="0" w:space="0" w:color="auto"/>
        <w:bottom w:val="none" w:sz="0" w:space="0" w:color="auto"/>
        <w:right w:val="none" w:sz="0" w:space="0" w:color="auto"/>
      </w:divBdr>
    </w:div>
    <w:div w:id="380329923">
      <w:marLeft w:val="0"/>
      <w:marRight w:val="0"/>
      <w:marTop w:val="0"/>
      <w:marBottom w:val="0"/>
      <w:divBdr>
        <w:top w:val="none" w:sz="0" w:space="0" w:color="auto"/>
        <w:left w:val="none" w:sz="0" w:space="0" w:color="auto"/>
        <w:bottom w:val="none" w:sz="0" w:space="0" w:color="auto"/>
        <w:right w:val="none" w:sz="0" w:space="0" w:color="auto"/>
      </w:divBdr>
    </w:div>
    <w:div w:id="380329924">
      <w:marLeft w:val="0"/>
      <w:marRight w:val="0"/>
      <w:marTop w:val="0"/>
      <w:marBottom w:val="0"/>
      <w:divBdr>
        <w:top w:val="none" w:sz="0" w:space="0" w:color="auto"/>
        <w:left w:val="none" w:sz="0" w:space="0" w:color="auto"/>
        <w:bottom w:val="none" w:sz="0" w:space="0" w:color="auto"/>
        <w:right w:val="none" w:sz="0" w:space="0" w:color="auto"/>
      </w:divBdr>
    </w:div>
    <w:div w:id="380329925">
      <w:marLeft w:val="0"/>
      <w:marRight w:val="0"/>
      <w:marTop w:val="0"/>
      <w:marBottom w:val="0"/>
      <w:divBdr>
        <w:top w:val="none" w:sz="0" w:space="0" w:color="auto"/>
        <w:left w:val="none" w:sz="0" w:space="0" w:color="auto"/>
        <w:bottom w:val="none" w:sz="0" w:space="0" w:color="auto"/>
        <w:right w:val="none" w:sz="0" w:space="0" w:color="auto"/>
      </w:divBdr>
      <w:divsChild>
        <w:div w:id="380329898">
          <w:marLeft w:val="547"/>
          <w:marRight w:val="0"/>
          <w:marTop w:val="0"/>
          <w:marBottom w:val="0"/>
          <w:divBdr>
            <w:top w:val="none" w:sz="0" w:space="0" w:color="auto"/>
            <w:left w:val="none" w:sz="0" w:space="0" w:color="auto"/>
            <w:bottom w:val="none" w:sz="0" w:space="0" w:color="auto"/>
            <w:right w:val="none" w:sz="0" w:space="0" w:color="auto"/>
          </w:divBdr>
        </w:div>
      </w:divsChild>
    </w:div>
    <w:div w:id="380329926">
      <w:marLeft w:val="0"/>
      <w:marRight w:val="0"/>
      <w:marTop w:val="0"/>
      <w:marBottom w:val="0"/>
      <w:divBdr>
        <w:top w:val="none" w:sz="0" w:space="0" w:color="auto"/>
        <w:left w:val="none" w:sz="0" w:space="0" w:color="auto"/>
        <w:bottom w:val="none" w:sz="0" w:space="0" w:color="auto"/>
        <w:right w:val="none" w:sz="0" w:space="0" w:color="auto"/>
      </w:divBdr>
    </w:div>
    <w:div w:id="380329927">
      <w:marLeft w:val="0"/>
      <w:marRight w:val="0"/>
      <w:marTop w:val="0"/>
      <w:marBottom w:val="0"/>
      <w:divBdr>
        <w:top w:val="none" w:sz="0" w:space="0" w:color="auto"/>
        <w:left w:val="none" w:sz="0" w:space="0" w:color="auto"/>
        <w:bottom w:val="none" w:sz="0" w:space="0" w:color="auto"/>
        <w:right w:val="none" w:sz="0" w:space="0" w:color="auto"/>
      </w:divBdr>
      <w:divsChild>
        <w:div w:id="380329878">
          <w:marLeft w:val="547"/>
          <w:marRight w:val="0"/>
          <w:marTop w:val="0"/>
          <w:marBottom w:val="0"/>
          <w:divBdr>
            <w:top w:val="none" w:sz="0" w:space="0" w:color="auto"/>
            <w:left w:val="none" w:sz="0" w:space="0" w:color="auto"/>
            <w:bottom w:val="none" w:sz="0" w:space="0" w:color="auto"/>
            <w:right w:val="none" w:sz="0" w:space="0" w:color="auto"/>
          </w:divBdr>
        </w:div>
      </w:divsChild>
    </w:div>
    <w:div w:id="380329928">
      <w:marLeft w:val="0"/>
      <w:marRight w:val="0"/>
      <w:marTop w:val="0"/>
      <w:marBottom w:val="0"/>
      <w:divBdr>
        <w:top w:val="none" w:sz="0" w:space="0" w:color="auto"/>
        <w:left w:val="none" w:sz="0" w:space="0" w:color="auto"/>
        <w:bottom w:val="none" w:sz="0" w:space="0" w:color="auto"/>
        <w:right w:val="none" w:sz="0" w:space="0" w:color="auto"/>
      </w:divBdr>
    </w:div>
    <w:div w:id="380329929">
      <w:marLeft w:val="0"/>
      <w:marRight w:val="0"/>
      <w:marTop w:val="0"/>
      <w:marBottom w:val="0"/>
      <w:divBdr>
        <w:top w:val="none" w:sz="0" w:space="0" w:color="auto"/>
        <w:left w:val="none" w:sz="0" w:space="0" w:color="auto"/>
        <w:bottom w:val="none" w:sz="0" w:space="0" w:color="auto"/>
        <w:right w:val="none" w:sz="0" w:space="0" w:color="auto"/>
      </w:divBdr>
    </w:div>
    <w:div w:id="380329930">
      <w:marLeft w:val="0"/>
      <w:marRight w:val="0"/>
      <w:marTop w:val="0"/>
      <w:marBottom w:val="0"/>
      <w:divBdr>
        <w:top w:val="none" w:sz="0" w:space="0" w:color="auto"/>
        <w:left w:val="none" w:sz="0" w:space="0" w:color="auto"/>
        <w:bottom w:val="none" w:sz="0" w:space="0" w:color="auto"/>
        <w:right w:val="none" w:sz="0" w:space="0" w:color="auto"/>
      </w:divBdr>
    </w:div>
    <w:div w:id="380329931">
      <w:marLeft w:val="0"/>
      <w:marRight w:val="0"/>
      <w:marTop w:val="0"/>
      <w:marBottom w:val="0"/>
      <w:divBdr>
        <w:top w:val="none" w:sz="0" w:space="0" w:color="auto"/>
        <w:left w:val="none" w:sz="0" w:space="0" w:color="auto"/>
        <w:bottom w:val="none" w:sz="0" w:space="0" w:color="auto"/>
        <w:right w:val="none" w:sz="0" w:space="0" w:color="auto"/>
      </w:divBdr>
    </w:div>
    <w:div w:id="380329932">
      <w:marLeft w:val="0"/>
      <w:marRight w:val="0"/>
      <w:marTop w:val="0"/>
      <w:marBottom w:val="0"/>
      <w:divBdr>
        <w:top w:val="none" w:sz="0" w:space="0" w:color="auto"/>
        <w:left w:val="none" w:sz="0" w:space="0" w:color="auto"/>
        <w:bottom w:val="none" w:sz="0" w:space="0" w:color="auto"/>
        <w:right w:val="none" w:sz="0" w:space="0" w:color="auto"/>
      </w:divBdr>
    </w:div>
    <w:div w:id="380329933">
      <w:marLeft w:val="0"/>
      <w:marRight w:val="0"/>
      <w:marTop w:val="0"/>
      <w:marBottom w:val="0"/>
      <w:divBdr>
        <w:top w:val="none" w:sz="0" w:space="0" w:color="auto"/>
        <w:left w:val="none" w:sz="0" w:space="0" w:color="auto"/>
        <w:bottom w:val="none" w:sz="0" w:space="0" w:color="auto"/>
        <w:right w:val="none" w:sz="0" w:space="0" w:color="auto"/>
      </w:divBdr>
    </w:div>
    <w:div w:id="380329935">
      <w:marLeft w:val="0"/>
      <w:marRight w:val="0"/>
      <w:marTop w:val="0"/>
      <w:marBottom w:val="0"/>
      <w:divBdr>
        <w:top w:val="none" w:sz="0" w:space="0" w:color="auto"/>
        <w:left w:val="none" w:sz="0" w:space="0" w:color="auto"/>
        <w:bottom w:val="none" w:sz="0" w:space="0" w:color="auto"/>
        <w:right w:val="none" w:sz="0" w:space="0" w:color="auto"/>
      </w:divBdr>
    </w:div>
    <w:div w:id="380329936">
      <w:marLeft w:val="0"/>
      <w:marRight w:val="0"/>
      <w:marTop w:val="0"/>
      <w:marBottom w:val="0"/>
      <w:divBdr>
        <w:top w:val="none" w:sz="0" w:space="0" w:color="auto"/>
        <w:left w:val="none" w:sz="0" w:space="0" w:color="auto"/>
        <w:bottom w:val="none" w:sz="0" w:space="0" w:color="auto"/>
        <w:right w:val="none" w:sz="0" w:space="0" w:color="auto"/>
      </w:divBdr>
    </w:div>
    <w:div w:id="380329937">
      <w:marLeft w:val="0"/>
      <w:marRight w:val="0"/>
      <w:marTop w:val="0"/>
      <w:marBottom w:val="0"/>
      <w:divBdr>
        <w:top w:val="none" w:sz="0" w:space="0" w:color="auto"/>
        <w:left w:val="none" w:sz="0" w:space="0" w:color="auto"/>
        <w:bottom w:val="none" w:sz="0" w:space="0" w:color="auto"/>
        <w:right w:val="none" w:sz="0" w:space="0" w:color="auto"/>
      </w:divBdr>
    </w:div>
    <w:div w:id="380329938">
      <w:marLeft w:val="0"/>
      <w:marRight w:val="0"/>
      <w:marTop w:val="0"/>
      <w:marBottom w:val="0"/>
      <w:divBdr>
        <w:top w:val="none" w:sz="0" w:space="0" w:color="auto"/>
        <w:left w:val="none" w:sz="0" w:space="0" w:color="auto"/>
        <w:bottom w:val="none" w:sz="0" w:space="0" w:color="auto"/>
        <w:right w:val="none" w:sz="0" w:space="0" w:color="auto"/>
      </w:divBdr>
    </w:div>
    <w:div w:id="380329939">
      <w:marLeft w:val="0"/>
      <w:marRight w:val="0"/>
      <w:marTop w:val="0"/>
      <w:marBottom w:val="0"/>
      <w:divBdr>
        <w:top w:val="none" w:sz="0" w:space="0" w:color="auto"/>
        <w:left w:val="none" w:sz="0" w:space="0" w:color="auto"/>
        <w:bottom w:val="none" w:sz="0" w:space="0" w:color="auto"/>
        <w:right w:val="none" w:sz="0" w:space="0" w:color="auto"/>
      </w:divBdr>
      <w:divsChild>
        <w:div w:id="380329934">
          <w:marLeft w:val="547"/>
          <w:marRight w:val="0"/>
          <w:marTop w:val="0"/>
          <w:marBottom w:val="0"/>
          <w:divBdr>
            <w:top w:val="none" w:sz="0" w:space="0" w:color="auto"/>
            <w:left w:val="none" w:sz="0" w:space="0" w:color="auto"/>
            <w:bottom w:val="none" w:sz="0" w:space="0" w:color="auto"/>
            <w:right w:val="none" w:sz="0" w:space="0" w:color="auto"/>
          </w:divBdr>
        </w:div>
      </w:divsChild>
    </w:div>
    <w:div w:id="380329940">
      <w:marLeft w:val="0"/>
      <w:marRight w:val="0"/>
      <w:marTop w:val="0"/>
      <w:marBottom w:val="0"/>
      <w:divBdr>
        <w:top w:val="none" w:sz="0" w:space="0" w:color="auto"/>
        <w:left w:val="none" w:sz="0" w:space="0" w:color="auto"/>
        <w:bottom w:val="none" w:sz="0" w:space="0" w:color="auto"/>
        <w:right w:val="none" w:sz="0" w:space="0" w:color="auto"/>
      </w:divBdr>
    </w:div>
    <w:div w:id="380329941">
      <w:marLeft w:val="0"/>
      <w:marRight w:val="0"/>
      <w:marTop w:val="0"/>
      <w:marBottom w:val="0"/>
      <w:divBdr>
        <w:top w:val="none" w:sz="0" w:space="0" w:color="auto"/>
        <w:left w:val="none" w:sz="0" w:space="0" w:color="auto"/>
        <w:bottom w:val="none" w:sz="0" w:space="0" w:color="auto"/>
        <w:right w:val="none" w:sz="0" w:space="0" w:color="auto"/>
      </w:divBdr>
    </w:div>
    <w:div w:id="380329942">
      <w:marLeft w:val="0"/>
      <w:marRight w:val="0"/>
      <w:marTop w:val="0"/>
      <w:marBottom w:val="0"/>
      <w:divBdr>
        <w:top w:val="none" w:sz="0" w:space="0" w:color="auto"/>
        <w:left w:val="none" w:sz="0" w:space="0" w:color="auto"/>
        <w:bottom w:val="none" w:sz="0" w:space="0" w:color="auto"/>
        <w:right w:val="none" w:sz="0" w:space="0" w:color="auto"/>
      </w:divBdr>
    </w:div>
    <w:div w:id="380329943">
      <w:marLeft w:val="0"/>
      <w:marRight w:val="0"/>
      <w:marTop w:val="0"/>
      <w:marBottom w:val="0"/>
      <w:divBdr>
        <w:top w:val="none" w:sz="0" w:space="0" w:color="auto"/>
        <w:left w:val="none" w:sz="0" w:space="0" w:color="auto"/>
        <w:bottom w:val="none" w:sz="0" w:space="0" w:color="auto"/>
        <w:right w:val="none" w:sz="0" w:space="0" w:color="auto"/>
      </w:divBdr>
    </w:div>
    <w:div w:id="380329944">
      <w:marLeft w:val="0"/>
      <w:marRight w:val="0"/>
      <w:marTop w:val="0"/>
      <w:marBottom w:val="0"/>
      <w:divBdr>
        <w:top w:val="none" w:sz="0" w:space="0" w:color="auto"/>
        <w:left w:val="none" w:sz="0" w:space="0" w:color="auto"/>
        <w:bottom w:val="none" w:sz="0" w:space="0" w:color="auto"/>
        <w:right w:val="none" w:sz="0" w:space="0" w:color="auto"/>
      </w:divBdr>
    </w:div>
    <w:div w:id="380329945">
      <w:marLeft w:val="0"/>
      <w:marRight w:val="0"/>
      <w:marTop w:val="0"/>
      <w:marBottom w:val="0"/>
      <w:divBdr>
        <w:top w:val="none" w:sz="0" w:space="0" w:color="auto"/>
        <w:left w:val="none" w:sz="0" w:space="0" w:color="auto"/>
        <w:bottom w:val="none" w:sz="0" w:space="0" w:color="auto"/>
        <w:right w:val="none" w:sz="0" w:space="0" w:color="auto"/>
      </w:divBdr>
    </w:div>
    <w:div w:id="1099370640">
      <w:bodyDiv w:val="1"/>
      <w:marLeft w:val="0"/>
      <w:marRight w:val="0"/>
      <w:marTop w:val="0"/>
      <w:marBottom w:val="0"/>
      <w:divBdr>
        <w:top w:val="none" w:sz="0" w:space="0" w:color="auto"/>
        <w:left w:val="none" w:sz="0" w:space="0" w:color="auto"/>
        <w:bottom w:val="none" w:sz="0" w:space="0" w:color="auto"/>
        <w:right w:val="none" w:sz="0" w:space="0" w:color="auto"/>
      </w:divBdr>
    </w:div>
    <w:div w:id="1829983121">
      <w:bodyDiv w:val="1"/>
      <w:marLeft w:val="0"/>
      <w:marRight w:val="0"/>
      <w:marTop w:val="0"/>
      <w:marBottom w:val="0"/>
      <w:divBdr>
        <w:top w:val="none" w:sz="0" w:space="0" w:color="auto"/>
        <w:left w:val="none" w:sz="0" w:space="0" w:color="auto"/>
        <w:bottom w:val="none" w:sz="0" w:space="0" w:color="auto"/>
        <w:right w:val="none" w:sz="0" w:space="0" w:color="auto"/>
      </w:divBdr>
    </w:div>
    <w:div w:id="20930420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Colors" Target="diagrams/colors13.xml"/><Relationship Id="rId21" Type="http://schemas.openxmlformats.org/officeDocument/2006/relationships/hyperlink" Target="http://www.partnerskadohoda.gov.sk" TargetMode="External"/><Relationship Id="rId42" Type="http://schemas.openxmlformats.org/officeDocument/2006/relationships/hyperlink" Target="http://www.dovera.sk/overenia/dlznici/zoznam-dlznikov" TargetMode="External"/><Relationship Id="rId63" Type="http://schemas.openxmlformats.org/officeDocument/2006/relationships/diagramLayout" Target="diagrams/layout4.xml"/><Relationship Id="rId84" Type="http://schemas.openxmlformats.org/officeDocument/2006/relationships/diagramQuickStyle" Target="diagrams/quickStyle7.xml"/><Relationship Id="rId138" Type="http://schemas.openxmlformats.org/officeDocument/2006/relationships/diagramQuickStyle" Target="diagrams/quickStyle17.xml"/><Relationship Id="rId159" Type="http://schemas.openxmlformats.org/officeDocument/2006/relationships/diagramColors" Target="diagrams/colors21.xml"/><Relationship Id="rId170" Type="http://schemas.microsoft.com/office/2007/relationships/diagramDrawing" Target="diagrams/drawing23.xml"/><Relationship Id="rId191" Type="http://schemas.microsoft.com/office/2007/relationships/diagramDrawing" Target="diagrams/drawing27.xml"/><Relationship Id="rId205" Type="http://schemas.openxmlformats.org/officeDocument/2006/relationships/hyperlink" Target="http://www.partnerskadohoda.gov.sk" TargetMode="External"/><Relationship Id="rId226" Type="http://schemas.openxmlformats.org/officeDocument/2006/relationships/hyperlink" Target="http://www.partnerskadohoda.gov.sk" TargetMode="External"/><Relationship Id="rId107" Type="http://schemas.openxmlformats.org/officeDocument/2006/relationships/diagramColors" Target="diagrams/colors11.xml"/><Relationship Id="rId11" Type="http://schemas.openxmlformats.org/officeDocument/2006/relationships/hyperlink" Target="http://www.partnerskadohoda.gov.sk" TargetMode="External"/><Relationship Id="rId32" Type="http://schemas.openxmlformats.org/officeDocument/2006/relationships/hyperlink" Target="mailto:organauditu@mfsr.sk" TargetMode="External"/><Relationship Id="rId53" Type="http://schemas.openxmlformats.org/officeDocument/2006/relationships/diagramLayout" Target="diagrams/layout2.xml"/><Relationship Id="rId74" Type="http://schemas.openxmlformats.org/officeDocument/2006/relationships/hyperlink" Target="mailto:vyzvy@vicepremier.gov.sk" TargetMode="External"/><Relationship Id="rId128" Type="http://schemas.openxmlformats.org/officeDocument/2006/relationships/diagramQuickStyle" Target="diagrams/quickStyle15.xml"/><Relationship Id="rId149" Type="http://schemas.openxmlformats.org/officeDocument/2006/relationships/diagramColors" Target="diagrams/colors19.xml"/><Relationship Id="rId5" Type="http://schemas.openxmlformats.org/officeDocument/2006/relationships/webSettings" Target="webSettings.xml"/><Relationship Id="rId95" Type="http://schemas.openxmlformats.org/officeDocument/2006/relationships/diagramLayout" Target="diagrams/layout9.xml"/><Relationship Id="rId160" Type="http://schemas.microsoft.com/office/2007/relationships/diagramDrawing" Target="diagrams/drawing21.xml"/><Relationship Id="rId181" Type="http://schemas.openxmlformats.org/officeDocument/2006/relationships/diagramData" Target="diagrams/data26.xml"/><Relationship Id="rId216" Type="http://schemas.openxmlformats.org/officeDocument/2006/relationships/hyperlink" Target="mailto:hodnotenie.cko@vicepremier.gov.sk" TargetMode="External"/><Relationship Id="rId22" Type="http://schemas.openxmlformats.org/officeDocument/2006/relationships/hyperlink" Target="mailto:" TargetMode="External"/><Relationship Id="rId43" Type="http://schemas.openxmlformats.org/officeDocument/2006/relationships/hyperlink" Target="https://www.union.sk/zoznam-dlznikov" TargetMode="External"/><Relationship Id="rId64" Type="http://schemas.openxmlformats.org/officeDocument/2006/relationships/diagramQuickStyle" Target="diagrams/quickStyle4.xml"/><Relationship Id="rId118" Type="http://schemas.microsoft.com/office/2007/relationships/diagramDrawing" Target="diagrams/drawing13.xml"/><Relationship Id="rId139" Type="http://schemas.openxmlformats.org/officeDocument/2006/relationships/diagramColors" Target="diagrams/colors17.xml"/><Relationship Id="rId85" Type="http://schemas.openxmlformats.org/officeDocument/2006/relationships/diagramColors" Target="diagrams/colors7.xml"/><Relationship Id="rId150" Type="http://schemas.microsoft.com/office/2007/relationships/diagramDrawing" Target="diagrams/drawing19.xml"/><Relationship Id="rId171" Type="http://schemas.openxmlformats.org/officeDocument/2006/relationships/diagramData" Target="diagrams/data24.xml"/><Relationship Id="rId192" Type="http://schemas.openxmlformats.org/officeDocument/2006/relationships/diagramData" Target="diagrams/data28.xml"/><Relationship Id="rId206" Type="http://schemas.openxmlformats.org/officeDocument/2006/relationships/hyperlink" Target="mailto:zakazkycko@vlada.gov.sk" TargetMode="External"/><Relationship Id="rId227" Type="http://schemas.openxmlformats.org/officeDocument/2006/relationships/hyperlink" Target="http://www.partnerskadohoda.gov.sk" TargetMode="External"/><Relationship Id="rId12" Type="http://schemas.openxmlformats.org/officeDocument/2006/relationships/hyperlink" Target="mailto:manualy@mfsr.sk" TargetMode="External"/><Relationship Id="rId33" Type="http://schemas.openxmlformats.org/officeDocument/2006/relationships/hyperlink" Target="mailto:monitorovanie.cko@vicepremier.gov.sk" TargetMode="External"/><Relationship Id="rId108" Type="http://schemas.microsoft.com/office/2007/relationships/diagramDrawing" Target="diagrams/drawing11.xml"/><Relationship Id="rId129" Type="http://schemas.openxmlformats.org/officeDocument/2006/relationships/diagramColors" Target="diagrams/colors15.xml"/><Relationship Id="rId54" Type="http://schemas.openxmlformats.org/officeDocument/2006/relationships/diagramQuickStyle" Target="diagrams/quickStyle2.xml"/><Relationship Id="rId75" Type="http://schemas.openxmlformats.org/officeDocument/2006/relationships/hyperlink" Target="mailto:metodika.cko@vicepremier.gov.sk" TargetMode="External"/><Relationship Id="rId96" Type="http://schemas.openxmlformats.org/officeDocument/2006/relationships/diagramQuickStyle" Target="diagrams/quickStyle9.xml"/><Relationship Id="rId140" Type="http://schemas.microsoft.com/office/2007/relationships/diagramDrawing" Target="diagrams/drawing17.xml"/><Relationship Id="rId161" Type="http://schemas.openxmlformats.org/officeDocument/2006/relationships/diagramData" Target="diagrams/data22.xml"/><Relationship Id="rId182" Type="http://schemas.openxmlformats.org/officeDocument/2006/relationships/diagramLayout" Target="diagrams/layout26.xml"/><Relationship Id="rId217" Type="http://schemas.openxmlformats.org/officeDocument/2006/relationships/hyperlink" Target="mailto:hodnotenie.cko@vicepremier.gov.sk" TargetMode="External"/><Relationship Id="rId6" Type="http://schemas.openxmlformats.org/officeDocument/2006/relationships/footnotes" Target="footnotes.xml"/><Relationship Id="rId23" Type="http://schemas.openxmlformats.org/officeDocument/2006/relationships/hyperlink" Target="mailto:monitorovanie.cko@vicepremier.gov.sk" TargetMode="External"/><Relationship Id="rId119" Type="http://schemas.openxmlformats.org/officeDocument/2006/relationships/hyperlink" Target="http://www.partnerskadohoda.gov.sk" TargetMode="External"/><Relationship Id="rId44" Type="http://schemas.openxmlformats.org/officeDocument/2006/relationships/hyperlink" Target="http://www.socpoist.sk/zoznam-dlznikov-emw/487s" TargetMode="External"/><Relationship Id="rId65" Type="http://schemas.openxmlformats.org/officeDocument/2006/relationships/diagramColors" Target="diagrams/colors4.xml"/><Relationship Id="rId86" Type="http://schemas.microsoft.com/office/2007/relationships/diagramDrawing" Target="diagrams/drawing7.xml"/><Relationship Id="rId130" Type="http://schemas.microsoft.com/office/2007/relationships/diagramDrawing" Target="diagrams/drawing15.xml"/><Relationship Id="rId151" Type="http://schemas.openxmlformats.org/officeDocument/2006/relationships/diagramData" Target="diagrams/data20.xml"/><Relationship Id="rId172" Type="http://schemas.openxmlformats.org/officeDocument/2006/relationships/diagramLayout" Target="diagrams/layout24.xml"/><Relationship Id="rId193" Type="http://schemas.openxmlformats.org/officeDocument/2006/relationships/diagramLayout" Target="diagrams/layout28.xml"/><Relationship Id="rId207" Type="http://schemas.openxmlformats.org/officeDocument/2006/relationships/hyperlink" Target="mailto:zamerynp@vicepremier.gov.sk" TargetMode="External"/><Relationship Id="rId228" Type="http://schemas.openxmlformats.org/officeDocument/2006/relationships/fontTable" Target="fontTable.xml"/><Relationship Id="rId13" Type="http://schemas.openxmlformats.org/officeDocument/2006/relationships/hyperlink" Target="mailto:monitorovanie.cko@vicepremier.gov.sk" TargetMode="External"/><Relationship Id="rId109" Type="http://schemas.openxmlformats.org/officeDocument/2006/relationships/diagramData" Target="diagrams/data12.xml"/><Relationship Id="rId34" Type="http://schemas.openxmlformats.org/officeDocument/2006/relationships/hyperlink" Target="mailto:nms@vicepremier.gov.sk" TargetMode="External"/><Relationship Id="rId55" Type="http://schemas.openxmlformats.org/officeDocument/2006/relationships/diagramColors" Target="diagrams/colors2.xml"/><Relationship Id="rId76" Type="http://schemas.openxmlformats.org/officeDocument/2006/relationships/hyperlink" Target="http://www.partnerskadohoda.gov.sk" TargetMode="External"/><Relationship Id="rId97" Type="http://schemas.openxmlformats.org/officeDocument/2006/relationships/diagramColors" Target="diagrams/colors9.xml"/><Relationship Id="rId120" Type="http://schemas.openxmlformats.org/officeDocument/2006/relationships/hyperlink" Target="http://www.itms2014.sk" TargetMode="External"/><Relationship Id="rId141" Type="http://schemas.openxmlformats.org/officeDocument/2006/relationships/diagramData" Target="diagrams/data18.xml"/><Relationship Id="rId7" Type="http://schemas.openxmlformats.org/officeDocument/2006/relationships/endnotes" Target="endnotes.xml"/><Relationship Id="rId162" Type="http://schemas.openxmlformats.org/officeDocument/2006/relationships/diagramLayout" Target="diagrams/layout22.xml"/><Relationship Id="rId183" Type="http://schemas.openxmlformats.org/officeDocument/2006/relationships/diagramQuickStyle" Target="diagrams/quickStyle26.xml"/><Relationship Id="rId218" Type="http://schemas.openxmlformats.org/officeDocument/2006/relationships/hyperlink" Target="http://www.partnerskadohoda.gov.sk/hodnotenie-esif/" TargetMode="External"/><Relationship Id="rId24" Type="http://schemas.openxmlformats.org/officeDocument/2006/relationships/hyperlink" Target="mailto:CO_manual@mfsr.sk" TargetMode="External"/><Relationship Id="rId45" Type="http://schemas.openxmlformats.org/officeDocument/2006/relationships/hyperlink" Target="https://esluzby.genpro.gov.sk/zoznam-odsudenych-pravnickych-osob" TargetMode="External"/><Relationship Id="rId66" Type="http://schemas.microsoft.com/office/2007/relationships/diagramDrawing" Target="diagrams/drawing4.xml"/><Relationship Id="rId87" Type="http://schemas.openxmlformats.org/officeDocument/2006/relationships/diagramData" Target="diagrams/data8.xml"/><Relationship Id="rId110" Type="http://schemas.openxmlformats.org/officeDocument/2006/relationships/diagramLayout" Target="diagrams/layout12.xml"/><Relationship Id="rId131" Type="http://schemas.openxmlformats.org/officeDocument/2006/relationships/diagramData" Target="diagrams/data16.xml"/><Relationship Id="rId152" Type="http://schemas.openxmlformats.org/officeDocument/2006/relationships/diagramLayout" Target="diagrams/layout20.xml"/><Relationship Id="rId173" Type="http://schemas.openxmlformats.org/officeDocument/2006/relationships/diagramQuickStyle" Target="diagrams/quickStyle24.xml"/><Relationship Id="rId194" Type="http://schemas.openxmlformats.org/officeDocument/2006/relationships/diagramQuickStyle" Target="diagrams/quickStyle28.xml"/><Relationship Id="rId208" Type="http://schemas.openxmlformats.org/officeDocument/2006/relationships/hyperlink" Target="http://www.partnerskadohoda.gov.sk" TargetMode="External"/><Relationship Id="rId229" Type="http://schemas.openxmlformats.org/officeDocument/2006/relationships/theme" Target="theme/theme1.xml"/><Relationship Id="rId14" Type="http://schemas.openxmlformats.org/officeDocument/2006/relationships/hyperlink" Target="mailto:CO_manual@mfsr.sk" TargetMode="External"/><Relationship Id="rId35" Type="http://schemas.openxmlformats.org/officeDocument/2006/relationships/hyperlink" Target="mailto:medializovanekauzy@mfsr.sk" TargetMode="External"/><Relationship Id="rId56" Type="http://schemas.microsoft.com/office/2007/relationships/diagramDrawing" Target="diagrams/drawing2.xml"/><Relationship Id="rId77" Type="http://schemas.openxmlformats.org/officeDocument/2006/relationships/diagramData" Target="diagrams/data6.xml"/><Relationship Id="rId100" Type="http://schemas.openxmlformats.org/officeDocument/2006/relationships/diagramLayout" Target="diagrams/layout10.xml"/><Relationship Id="rId8" Type="http://schemas.openxmlformats.org/officeDocument/2006/relationships/image" Target="media/image1.jpeg"/><Relationship Id="rId98" Type="http://schemas.microsoft.com/office/2007/relationships/diagramDrawing" Target="diagrams/drawing9.xml"/><Relationship Id="rId121" Type="http://schemas.openxmlformats.org/officeDocument/2006/relationships/diagramData" Target="diagrams/data14.xml"/><Relationship Id="rId142" Type="http://schemas.openxmlformats.org/officeDocument/2006/relationships/diagramLayout" Target="diagrams/layout18.xml"/><Relationship Id="rId163" Type="http://schemas.openxmlformats.org/officeDocument/2006/relationships/diagramQuickStyle" Target="diagrams/quickStyle22.xml"/><Relationship Id="rId184" Type="http://schemas.openxmlformats.org/officeDocument/2006/relationships/diagramColors" Target="diagrams/colors26.xml"/><Relationship Id="rId219" Type="http://schemas.openxmlformats.org/officeDocument/2006/relationships/hyperlink" Target="http://www.partnerskadohoda.gov.sk" TargetMode="External"/><Relationship Id="rId25" Type="http://schemas.openxmlformats.org/officeDocument/2006/relationships/hyperlink" Target="mailto:vzdelavanieakesif@vlada.gov.sk" TargetMode="External"/><Relationship Id="rId46" Type="http://schemas.openxmlformats.org/officeDocument/2006/relationships/hyperlink" Target="https://rpvs.gov.sk/rpvs/" TargetMode="External"/><Relationship Id="rId67" Type="http://schemas.openxmlformats.org/officeDocument/2006/relationships/diagramData" Target="diagrams/data5.xml"/><Relationship Id="rId116" Type="http://schemas.openxmlformats.org/officeDocument/2006/relationships/diagramQuickStyle" Target="diagrams/quickStyle13.xml"/><Relationship Id="rId137" Type="http://schemas.openxmlformats.org/officeDocument/2006/relationships/diagramLayout" Target="diagrams/layout17.xml"/><Relationship Id="rId158" Type="http://schemas.openxmlformats.org/officeDocument/2006/relationships/diagramQuickStyle" Target="diagrams/quickStyle21.xml"/><Relationship Id="rId20" Type="http://schemas.openxmlformats.org/officeDocument/2006/relationships/hyperlink" Target="http://www.partnerskadohoda.gov.sk" TargetMode="External"/><Relationship Id="rId41" Type="http://schemas.openxmlformats.org/officeDocument/2006/relationships/hyperlink" Target="https://www.vszp.sk/platitelia/platenie-poistneho/zoznam-dlznikov.html" TargetMode="External"/><Relationship Id="rId62" Type="http://schemas.openxmlformats.org/officeDocument/2006/relationships/diagramData" Target="diagrams/data4.xml"/><Relationship Id="rId83" Type="http://schemas.openxmlformats.org/officeDocument/2006/relationships/diagramLayout" Target="diagrams/layout7.xml"/><Relationship Id="rId88" Type="http://schemas.openxmlformats.org/officeDocument/2006/relationships/diagramLayout" Target="diagrams/layout8.xml"/><Relationship Id="rId111" Type="http://schemas.openxmlformats.org/officeDocument/2006/relationships/diagramQuickStyle" Target="diagrams/quickStyle12.xml"/><Relationship Id="rId132" Type="http://schemas.openxmlformats.org/officeDocument/2006/relationships/diagramLayout" Target="diagrams/layout16.xml"/><Relationship Id="rId153" Type="http://schemas.openxmlformats.org/officeDocument/2006/relationships/diagramQuickStyle" Target="diagrams/quickStyle20.xml"/><Relationship Id="rId174" Type="http://schemas.openxmlformats.org/officeDocument/2006/relationships/diagramColors" Target="diagrams/colors24.xml"/><Relationship Id="rId179" Type="http://schemas.openxmlformats.org/officeDocument/2006/relationships/diagramColors" Target="diagrams/colors25.xml"/><Relationship Id="rId195" Type="http://schemas.openxmlformats.org/officeDocument/2006/relationships/diagramColors" Target="diagrams/colors28.xml"/><Relationship Id="rId209" Type="http://schemas.openxmlformats.org/officeDocument/2006/relationships/hyperlink" Target="mailto:co@mfsr.sk" TargetMode="External"/><Relationship Id="rId190" Type="http://schemas.openxmlformats.org/officeDocument/2006/relationships/diagramColors" Target="diagrams/colors27.xml"/><Relationship Id="rId204" Type="http://schemas.openxmlformats.org/officeDocument/2006/relationships/hyperlink" Target="mailto:zakazkycko@vlada.gov.sk" TargetMode="External"/><Relationship Id="rId220" Type="http://schemas.openxmlformats.org/officeDocument/2006/relationships/hyperlink" Target="http://www.partnerskadohoda.gov.sk" TargetMode="External"/><Relationship Id="rId225" Type="http://schemas.openxmlformats.org/officeDocument/2006/relationships/hyperlink" Target="http://www.partnerskadohoda.gov.sk" TargetMode="External"/><Relationship Id="rId15" Type="http://schemas.openxmlformats.org/officeDocument/2006/relationships/hyperlink" Target="mailto:manualy@mfsr.sk" TargetMode="External"/><Relationship Id="rId36" Type="http://schemas.openxmlformats.org/officeDocument/2006/relationships/hyperlink" Target="mailto:nezrovnalosti@vlada.gov.sk" TargetMode="External"/><Relationship Id="rId57" Type="http://schemas.openxmlformats.org/officeDocument/2006/relationships/diagramData" Target="diagrams/data3.xml"/><Relationship Id="rId106" Type="http://schemas.openxmlformats.org/officeDocument/2006/relationships/diagramQuickStyle" Target="diagrams/quickStyle11.xml"/><Relationship Id="rId127" Type="http://schemas.openxmlformats.org/officeDocument/2006/relationships/diagramLayout" Target="diagrams/layout15.xml"/><Relationship Id="rId10" Type="http://schemas.openxmlformats.org/officeDocument/2006/relationships/hyperlink" Target="http://eur-lex.europa.eu/oj/direct-access.html?locale=sk" TargetMode="External"/><Relationship Id="rId31" Type="http://schemas.openxmlformats.org/officeDocument/2006/relationships/hyperlink" Target="mailto:monitorovanie.cko@vicepremier.gov.sk" TargetMode="External"/><Relationship Id="rId52" Type="http://schemas.openxmlformats.org/officeDocument/2006/relationships/diagramData" Target="diagrams/data2.xml"/><Relationship Id="rId73" Type="http://schemas.openxmlformats.org/officeDocument/2006/relationships/hyperlink" Target="http://www.partnerskadohoda.gov.sk" TargetMode="External"/><Relationship Id="rId78" Type="http://schemas.openxmlformats.org/officeDocument/2006/relationships/diagramLayout" Target="diagrams/layout6.xml"/><Relationship Id="rId94" Type="http://schemas.openxmlformats.org/officeDocument/2006/relationships/diagramData" Target="diagrams/data9.xml"/><Relationship Id="rId99" Type="http://schemas.openxmlformats.org/officeDocument/2006/relationships/diagramData" Target="diagrams/data10.xml"/><Relationship Id="rId101" Type="http://schemas.openxmlformats.org/officeDocument/2006/relationships/diagramQuickStyle" Target="diagrams/quickStyle10.xml"/><Relationship Id="rId122" Type="http://schemas.openxmlformats.org/officeDocument/2006/relationships/diagramLayout" Target="diagrams/layout14.xml"/><Relationship Id="rId143" Type="http://schemas.openxmlformats.org/officeDocument/2006/relationships/diagramQuickStyle" Target="diagrams/quickStyle18.xml"/><Relationship Id="rId148" Type="http://schemas.openxmlformats.org/officeDocument/2006/relationships/diagramQuickStyle" Target="diagrams/quickStyle19.xml"/><Relationship Id="rId164" Type="http://schemas.openxmlformats.org/officeDocument/2006/relationships/diagramColors" Target="diagrams/colors22.xml"/><Relationship Id="rId169" Type="http://schemas.openxmlformats.org/officeDocument/2006/relationships/diagramColors" Target="diagrams/colors23.xml"/><Relationship Id="rId185" Type="http://schemas.microsoft.com/office/2007/relationships/diagramDrawing" Target="diagrams/drawing26.xml"/><Relationship Id="rId4" Type="http://schemas.openxmlformats.org/officeDocument/2006/relationships/settings" Target="settings.xml"/><Relationship Id="rId9" Type="http://schemas.openxmlformats.org/officeDocument/2006/relationships/image" Target="media/image2.emf"/><Relationship Id="rId180" Type="http://schemas.microsoft.com/office/2007/relationships/diagramDrawing" Target="diagrams/drawing25.xml"/><Relationship Id="rId210" Type="http://schemas.openxmlformats.org/officeDocument/2006/relationships/hyperlink" Target="mailto:monitorovanie.cko@vicepremier.gov.sk" TargetMode="External"/><Relationship Id="rId215" Type="http://schemas.openxmlformats.org/officeDocument/2006/relationships/hyperlink" Target="http://www.partnerskadohoda.gov.sk" TargetMode="External"/><Relationship Id="rId26" Type="http://schemas.openxmlformats.org/officeDocument/2006/relationships/hyperlink" Target="mailto:manualy@mfsr.sk" TargetMode="External"/><Relationship Id="rId47" Type="http://schemas.openxmlformats.org/officeDocument/2006/relationships/diagramData" Target="diagrams/data1.xml"/><Relationship Id="rId68" Type="http://schemas.openxmlformats.org/officeDocument/2006/relationships/diagramLayout" Target="diagrams/layout5.xml"/><Relationship Id="rId89" Type="http://schemas.openxmlformats.org/officeDocument/2006/relationships/diagramQuickStyle" Target="diagrams/quickStyle8.xml"/><Relationship Id="rId112" Type="http://schemas.openxmlformats.org/officeDocument/2006/relationships/diagramColors" Target="diagrams/colors12.xml"/><Relationship Id="rId133" Type="http://schemas.openxmlformats.org/officeDocument/2006/relationships/diagramQuickStyle" Target="diagrams/quickStyle16.xml"/><Relationship Id="rId154" Type="http://schemas.openxmlformats.org/officeDocument/2006/relationships/diagramColors" Target="diagrams/colors20.xml"/><Relationship Id="rId175" Type="http://schemas.microsoft.com/office/2007/relationships/diagramDrawing" Target="diagrams/drawing24.xml"/><Relationship Id="rId196" Type="http://schemas.microsoft.com/office/2007/relationships/diagramDrawing" Target="diagrams/drawing28.xml"/><Relationship Id="rId200" Type="http://schemas.openxmlformats.org/officeDocument/2006/relationships/diagramColors" Target="diagrams/colors29.xml"/><Relationship Id="rId16" Type="http://schemas.openxmlformats.org/officeDocument/2006/relationships/hyperlink" Target="mailto:monitorovanie.cko@vicepremier.gov.sk" TargetMode="External"/><Relationship Id="rId221" Type="http://schemas.openxmlformats.org/officeDocument/2006/relationships/hyperlink" Target="http://www.partnerskadohoda.gov.sk" TargetMode="External"/><Relationship Id="rId37" Type="http://schemas.openxmlformats.org/officeDocument/2006/relationships/hyperlink" Target="mailto:nms@vicepremier.gov.sk" TargetMode="External"/><Relationship Id="rId58" Type="http://schemas.openxmlformats.org/officeDocument/2006/relationships/diagramLayout" Target="diagrams/layout3.xml"/><Relationship Id="rId79" Type="http://schemas.openxmlformats.org/officeDocument/2006/relationships/diagramQuickStyle" Target="diagrams/quickStyle6.xml"/><Relationship Id="rId102" Type="http://schemas.openxmlformats.org/officeDocument/2006/relationships/diagramColors" Target="diagrams/colors10.xml"/><Relationship Id="rId123" Type="http://schemas.openxmlformats.org/officeDocument/2006/relationships/diagramQuickStyle" Target="diagrams/quickStyle14.xml"/><Relationship Id="rId144" Type="http://schemas.openxmlformats.org/officeDocument/2006/relationships/diagramColors" Target="diagrams/colors18.xml"/><Relationship Id="rId90" Type="http://schemas.openxmlformats.org/officeDocument/2006/relationships/diagramColors" Target="diagrams/colors8.xml"/><Relationship Id="rId165" Type="http://schemas.microsoft.com/office/2007/relationships/diagramDrawing" Target="diagrams/drawing22.xml"/><Relationship Id="rId186" Type="http://schemas.openxmlformats.org/officeDocument/2006/relationships/image" Target="media/image4.png"/><Relationship Id="rId211" Type="http://schemas.openxmlformats.org/officeDocument/2006/relationships/hyperlink" Target="mailto:co@mfsr.sk" TargetMode="External"/><Relationship Id="rId27" Type="http://schemas.openxmlformats.org/officeDocument/2006/relationships/hyperlink" Target="mailto:CO_manual@mfsr.sk" TargetMode="External"/><Relationship Id="rId48" Type="http://schemas.openxmlformats.org/officeDocument/2006/relationships/diagramLayout" Target="diagrams/layout1.xml"/><Relationship Id="rId69" Type="http://schemas.openxmlformats.org/officeDocument/2006/relationships/diagramQuickStyle" Target="diagrams/quickStyle5.xml"/><Relationship Id="rId113" Type="http://schemas.microsoft.com/office/2007/relationships/diagramDrawing" Target="diagrams/drawing12.xml"/><Relationship Id="rId134" Type="http://schemas.openxmlformats.org/officeDocument/2006/relationships/diagramColors" Target="diagrams/colors16.xml"/><Relationship Id="rId80" Type="http://schemas.openxmlformats.org/officeDocument/2006/relationships/diagramColors" Target="diagrams/colors6.xml"/><Relationship Id="rId155" Type="http://schemas.microsoft.com/office/2007/relationships/diagramDrawing" Target="diagrams/drawing20.xml"/><Relationship Id="rId176" Type="http://schemas.openxmlformats.org/officeDocument/2006/relationships/diagramData" Target="diagrams/data25.xml"/><Relationship Id="rId197" Type="http://schemas.openxmlformats.org/officeDocument/2006/relationships/diagramData" Target="diagrams/data29.xml"/><Relationship Id="rId201" Type="http://schemas.microsoft.com/office/2007/relationships/diagramDrawing" Target="diagrams/drawing29.xml"/><Relationship Id="rId222" Type="http://schemas.openxmlformats.org/officeDocument/2006/relationships/hyperlink" Target="http://www.partnerskadohoda.gov.sk" TargetMode="External"/><Relationship Id="rId17" Type="http://schemas.openxmlformats.org/officeDocument/2006/relationships/hyperlink" Target="mailto:manualy@mfsr.sk" TargetMode="External"/><Relationship Id="rId38" Type="http://schemas.openxmlformats.org/officeDocument/2006/relationships/hyperlink" Target="mailto:organauditu@mfsr.sk" TargetMode="External"/><Relationship Id="rId59" Type="http://schemas.openxmlformats.org/officeDocument/2006/relationships/diagramQuickStyle" Target="diagrams/quickStyle3.xml"/><Relationship Id="rId103" Type="http://schemas.microsoft.com/office/2007/relationships/diagramDrawing" Target="diagrams/drawing10.xml"/><Relationship Id="rId124" Type="http://schemas.openxmlformats.org/officeDocument/2006/relationships/diagramColors" Target="diagrams/colors14.xml"/><Relationship Id="rId70" Type="http://schemas.openxmlformats.org/officeDocument/2006/relationships/diagramColors" Target="diagrams/colors5.xml"/><Relationship Id="rId91" Type="http://schemas.microsoft.com/office/2007/relationships/diagramDrawing" Target="diagrams/drawing8.xml"/><Relationship Id="rId145" Type="http://schemas.microsoft.com/office/2007/relationships/diagramDrawing" Target="diagrams/drawing18.xml"/><Relationship Id="rId166" Type="http://schemas.openxmlformats.org/officeDocument/2006/relationships/diagramData" Target="diagrams/data23.xml"/><Relationship Id="rId187" Type="http://schemas.openxmlformats.org/officeDocument/2006/relationships/diagramData" Target="diagrams/data27.xml"/><Relationship Id="rId1" Type="http://schemas.openxmlformats.org/officeDocument/2006/relationships/customXml" Target="../customXml/item1.xml"/><Relationship Id="rId212" Type="http://schemas.openxmlformats.org/officeDocument/2006/relationships/hyperlink" Target="http://www.partnerskadohoda.gov.sk" TargetMode="External"/><Relationship Id="rId28" Type="http://schemas.openxmlformats.org/officeDocument/2006/relationships/hyperlink" Target="mailto:manualy@mfsr.sk" TargetMode="External"/><Relationship Id="rId49" Type="http://schemas.openxmlformats.org/officeDocument/2006/relationships/diagramQuickStyle" Target="diagrams/quickStyle1.xml"/><Relationship Id="rId114" Type="http://schemas.openxmlformats.org/officeDocument/2006/relationships/diagramData" Target="diagrams/data13.xml"/><Relationship Id="rId60" Type="http://schemas.openxmlformats.org/officeDocument/2006/relationships/diagramColors" Target="diagrams/colors3.xml"/><Relationship Id="rId81" Type="http://schemas.microsoft.com/office/2007/relationships/diagramDrawing" Target="diagrams/drawing6.xml"/><Relationship Id="rId135" Type="http://schemas.microsoft.com/office/2007/relationships/diagramDrawing" Target="diagrams/drawing16.xml"/><Relationship Id="rId156" Type="http://schemas.openxmlformats.org/officeDocument/2006/relationships/diagramData" Target="diagrams/data21.xml"/><Relationship Id="rId177" Type="http://schemas.openxmlformats.org/officeDocument/2006/relationships/diagramLayout" Target="diagrams/layout25.xml"/><Relationship Id="rId198" Type="http://schemas.openxmlformats.org/officeDocument/2006/relationships/diagramLayout" Target="diagrams/layout29.xml"/><Relationship Id="rId202" Type="http://schemas.openxmlformats.org/officeDocument/2006/relationships/image" Target="media/image5.png"/><Relationship Id="rId223" Type="http://schemas.openxmlformats.org/officeDocument/2006/relationships/hyperlink" Target="http://www.partnerskadohoda.gov.sk" TargetMode="External"/><Relationship Id="rId18" Type="http://schemas.openxmlformats.org/officeDocument/2006/relationships/hyperlink" Target="mailto:monitorovanie.cko@vicepremier.gov.sk" TargetMode="External"/><Relationship Id="rId39" Type="http://schemas.openxmlformats.org/officeDocument/2006/relationships/header" Target="header1.xml"/><Relationship Id="rId50" Type="http://schemas.openxmlformats.org/officeDocument/2006/relationships/diagramColors" Target="diagrams/colors1.xml"/><Relationship Id="rId104" Type="http://schemas.openxmlformats.org/officeDocument/2006/relationships/diagramData" Target="diagrams/data11.xml"/><Relationship Id="rId125" Type="http://schemas.microsoft.com/office/2007/relationships/diagramDrawing" Target="diagrams/drawing14.xml"/><Relationship Id="rId146" Type="http://schemas.openxmlformats.org/officeDocument/2006/relationships/diagramData" Target="diagrams/data19.xml"/><Relationship Id="rId167" Type="http://schemas.openxmlformats.org/officeDocument/2006/relationships/diagramLayout" Target="diagrams/layout23.xml"/><Relationship Id="rId188" Type="http://schemas.openxmlformats.org/officeDocument/2006/relationships/diagramLayout" Target="diagrams/layout27.xml"/><Relationship Id="rId71" Type="http://schemas.microsoft.com/office/2007/relationships/diagramDrawing" Target="diagrams/drawing5.xml"/><Relationship Id="rId92" Type="http://schemas.openxmlformats.org/officeDocument/2006/relationships/hyperlink" Target="mailto:splnomocnenec_ros@minv.sk" TargetMode="External"/><Relationship Id="rId213" Type="http://schemas.openxmlformats.org/officeDocument/2006/relationships/image" Target="media/image7.jpeg"/><Relationship Id="rId2" Type="http://schemas.openxmlformats.org/officeDocument/2006/relationships/numbering" Target="numbering.xml"/><Relationship Id="rId29" Type="http://schemas.openxmlformats.org/officeDocument/2006/relationships/hyperlink" Target="mailto:monitorovanie.cko@vicepremier.gov.sk" TargetMode="External"/><Relationship Id="rId40" Type="http://schemas.openxmlformats.org/officeDocument/2006/relationships/footer" Target="footer1.xml"/><Relationship Id="rId115" Type="http://schemas.openxmlformats.org/officeDocument/2006/relationships/diagramLayout" Target="diagrams/layout13.xml"/><Relationship Id="rId136" Type="http://schemas.openxmlformats.org/officeDocument/2006/relationships/diagramData" Target="diagrams/data17.xml"/><Relationship Id="rId157" Type="http://schemas.openxmlformats.org/officeDocument/2006/relationships/diagramLayout" Target="diagrams/layout21.xml"/><Relationship Id="rId178" Type="http://schemas.openxmlformats.org/officeDocument/2006/relationships/diagramQuickStyle" Target="diagrams/quickStyle25.xml"/><Relationship Id="rId61" Type="http://schemas.microsoft.com/office/2007/relationships/diagramDrawing" Target="diagrams/drawing3.xml"/><Relationship Id="rId82" Type="http://schemas.openxmlformats.org/officeDocument/2006/relationships/diagramData" Target="diagrams/data7.xml"/><Relationship Id="rId199" Type="http://schemas.openxmlformats.org/officeDocument/2006/relationships/diagramQuickStyle" Target="diagrams/quickStyle29.xml"/><Relationship Id="rId203" Type="http://schemas.openxmlformats.org/officeDocument/2006/relationships/image" Target="media/image6.png"/><Relationship Id="rId19" Type="http://schemas.openxmlformats.org/officeDocument/2006/relationships/hyperlink" Target="http://www.partnerskadohoda.gov.sk" TargetMode="External"/><Relationship Id="rId224" Type="http://schemas.openxmlformats.org/officeDocument/2006/relationships/hyperlink" Target="http://www.partnerskadohoda.gov.sk" TargetMode="External"/><Relationship Id="rId30" Type="http://schemas.openxmlformats.org/officeDocument/2006/relationships/hyperlink" Target="mailto:organauditu@mfsr.sk" TargetMode="External"/><Relationship Id="rId105" Type="http://schemas.openxmlformats.org/officeDocument/2006/relationships/diagramLayout" Target="diagrams/layout11.xml"/><Relationship Id="rId126" Type="http://schemas.openxmlformats.org/officeDocument/2006/relationships/diagramData" Target="diagrams/data15.xml"/><Relationship Id="rId147" Type="http://schemas.openxmlformats.org/officeDocument/2006/relationships/diagramLayout" Target="diagrams/layout19.xml"/><Relationship Id="rId168" Type="http://schemas.openxmlformats.org/officeDocument/2006/relationships/diagramQuickStyle" Target="diagrams/quickStyle23.xml"/><Relationship Id="rId51" Type="http://schemas.microsoft.com/office/2007/relationships/diagramDrawing" Target="diagrams/drawing1.xml"/><Relationship Id="rId72" Type="http://schemas.openxmlformats.org/officeDocument/2006/relationships/hyperlink" Target="mailto:eufondy@vlada.gov.sk" TargetMode="External"/><Relationship Id="rId93" Type="http://schemas.openxmlformats.org/officeDocument/2006/relationships/hyperlink" Target="mailto:splnomocnenec_ros@minv.sk" TargetMode="External"/><Relationship Id="rId189" Type="http://schemas.openxmlformats.org/officeDocument/2006/relationships/diagramQuickStyle" Target="diagrams/quickStyle27.xml"/><Relationship Id="rId3" Type="http://schemas.openxmlformats.org/officeDocument/2006/relationships/styles" Target="styles.xml"/><Relationship Id="rId214" Type="http://schemas.openxmlformats.org/officeDocument/2006/relationships/image" Target="media/image8.jpeg"/></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www.issai.org/intosai-guidance-for-good-governance-(intosai-gov)/)" TargetMode="External"/></Relationships>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1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1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1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1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1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1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1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1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1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1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2#2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5.xml><?xml version="1.0" encoding="utf-8"?>
<dgm:colorsDef xmlns:dgm="http://schemas.openxmlformats.org/drawingml/2006/diagram" xmlns:a="http://schemas.openxmlformats.org/drawingml/2006/main" uniqueId="urn:microsoft.com/office/officeart/2005/8/colors/accent1_2#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6.xml><?xml version="1.0" encoding="utf-8"?>
<dgm:colorsDef xmlns:dgm="http://schemas.openxmlformats.org/drawingml/2006/diagram" xmlns:a="http://schemas.openxmlformats.org/drawingml/2006/main" uniqueId="urn:microsoft.com/office/officeart/2005/8/colors/accent1_2#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7.xml><?xml version="1.0" encoding="utf-8"?>
<dgm:colorsDef xmlns:dgm="http://schemas.openxmlformats.org/drawingml/2006/diagram" xmlns:a="http://schemas.openxmlformats.org/drawingml/2006/main" uniqueId="urn:microsoft.com/office/officeart/2005/8/colors/accent1_2#2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8.xml><?xml version="1.0" encoding="utf-8"?>
<dgm:colorsDef xmlns:dgm="http://schemas.openxmlformats.org/drawingml/2006/diagram" xmlns:a="http://schemas.openxmlformats.org/drawingml/2006/main" uniqueId="urn:microsoft.com/office/officeart/2005/8/colors/accent1_2#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9.xml><?xml version="1.0" encoding="utf-8"?>
<dgm:colorsDef xmlns:dgm="http://schemas.openxmlformats.org/drawingml/2006/diagram" xmlns:a="http://schemas.openxmlformats.org/drawingml/2006/main" uniqueId="urn:microsoft.com/office/officeart/2005/8/colors/accent1_2#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1"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A0497938-AC3A-4017-BDC3-63A4FCB50DED}" srcId="{76C277F0-9FFB-4B45-9074-0F323CAA5D3F}" destId="{58753318-5D69-4869-9C50-776DDC017A52}" srcOrd="0" destOrd="0" parTransId="{03803EBE-E249-4798-A667-50B79324A1EE}" sibTransId="{29C950B2-1123-4B5B-B8FE-C873769717E6}"/>
    <dgm:cxn modelId="{5C2423D1-A266-4866-AC94-B292A090AFA3}" type="presOf" srcId="{4C421DAB-F378-4E84-A076-6719CD3F090C}" destId="{E15DD13E-4644-4575-8E0E-83BAFE252B05}" srcOrd="0" destOrd="0" presId="urn:microsoft.com/office/officeart/2009/3/layout/HorizontalOrganizationChart"/>
    <dgm:cxn modelId="{3DC47FF8-8E7D-4940-A09A-861453F835DA}" type="presOf" srcId="{07106E46-CF10-4373-84DE-A080831F1C97}" destId="{89173A0E-C908-4987-ACB4-A6362387DD03}" srcOrd="1" destOrd="0" presId="urn:microsoft.com/office/officeart/2009/3/layout/HorizontalOrganizationChart"/>
    <dgm:cxn modelId="{6DAC3F94-480A-42F2-9AA5-0D63DAD41585}" type="presOf" srcId="{8C14836A-B23E-485B-8E02-C79757A9BCD5}" destId="{8FCB4014-7528-4015-9E3F-3D7D81EF8992}" srcOrd="0" destOrd="0" presId="urn:microsoft.com/office/officeart/2009/3/layout/HorizontalOrganizationChart"/>
    <dgm:cxn modelId="{2C13F777-9ED5-491B-A9B1-CF9F3D6DE807}" type="presOf" srcId="{44D41CEF-2B74-4AAC-B3D5-1A851ABAB93C}" destId="{47E79CE5-8FD2-4FA9-816E-8BE3C3CB8C1F}" srcOrd="0"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F5EE32B8-D24A-4E33-9B1C-06C5B6FEF694}" type="presOf" srcId="{3317D760-98A1-4400-A73C-D1825E236597}" destId="{2AB52EE8-E7F5-4BCA-A0C7-3AC7084008AA}" srcOrd="0" destOrd="0" presId="urn:microsoft.com/office/officeart/2009/3/layout/HorizontalOrganizationChart"/>
    <dgm:cxn modelId="{6216EA0A-6640-48CA-A3DE-6348B08896F5}" type="presOf" srcId="{A0D405CF-0C28-49DC-A2A5-4A10A46E8A99}" destId="{61E2F740-6DC3-49BE-989F-9D3FA3A39854}" srcOrd="0" destOrd="0" presId="urn:microsoft.com/office/officeart/2009/3/layout/HorizontalOrganizationChart"/>
    <dgm:cxn modelId="{D67F9DA9-CE31-431A-B1FF-8F3DB86823D3}" type="presOf" srcId="{07106E46-CF10-4373-84DE-A080831F1C97}" destId="{861E9A1B-B583-4000-AC89-A0FC7900D647}" srcOrd="0" destOrd="0" presId="urn:microsoft.com/office/officeart/2009/3/layout/HorizontalOrganizationChart"/>
    <dgm:cxn modelId="{50481AEB-16F2-431E-BE5E-D5F4BE0E6255}" type="presOf" srcId="{44D41CEF-2B74-4AAC-B3D5-1A851ABAB93C}" destId="{782B4C27-3B83-40C7-9673-529FF38A42BC}" srcOrd="1" destOrd="0" presId="urn:microsoft.com/office/officeart/2009/3/layout/HorizontalOrganizationChart"/>
    <dgm:cxn modelId="{A3B950D6-0A08-4798-99C5-F5E82A339614}" type="presOf" srcId="{4C421DAB-F378-4E84-A076-6719CD3F090C}" destId="{E3A6A88A-FB48-48F2-9C16-B099F9B497E8}" srcOrd="1" destOrd="0" presId="urn:microsoft.com/office/officeart/2009/3/layout/HorizontalOrganizationChart"/>
    <dgm:cxn modelId="{145240B9-652B-486F-A2F4-EF540E8F0B4B}" type="presOf" srcId="{B24A35B9-F7DF-4D95-872E-C088587111D7}" destId="{F1775511-82A1-436A-8D11-F223D96BCF7E}" srcOrd="0" destOrd="0" presId="urn:microsoft.com/office/officeart/2009/3/layout/HorizontalOrganizationChart"/>
    <dgm:cxn modelId="{1AA68234-D0AF-44AB-9779-7DED57DCE3C0}" type="presOf" srcId="{CBEBA214-EC9D-4ED0-8B0E-4B3A82CB434C}" destId="{A03EF697-6B68-4587-B7F0-C9F50D5A4E46}" srcOrd="0" destOrd="0" presId="urn:microsoft.com/office/officeart/2009/3/layout/HorizontalOrganizationChart"/>
    <dgm:cxn modelId="{E71D241E-2EA4-454E-B396-5DED517BDB48}" type="presOf" srcId="{10881493-DFA3-4B4B-A16B-40270F323202}" destId="{368B2D5E-FEF2-437A-8A3A-2F30118FDEB0}" srcOrd="0" destOrd="0" presId="urn:microsoft.com/office/officeart/2009/3/layout/HorizontalOrganizationChart"/>
    <dgm:cxn modelId="{9AAAC871-B3B7-42E2-B350-1F3ACF58F6CF}" type="presOf" srcId="{58753318-5D69-4869-9C50-776DDC017A52}" destId="{E8D16A6E-EF19-41A7-91CA-B17A8164C79C}" srcOrd="1" destOrd="0" presId="urn:microsoft.com/office/officeart/2009/3/layout/HorizontalOrganizationChart"/>
    <dgm:cxn modelId="{39EA2C4D-44AF-42D4-9B61-B9B53D343BCE}" type="presOf" srcId="{76C277F0-9FFB-4B45-9074-0F323CAA5D3F}" destId="{572C67A3-4BA5-4255-8333-6341B9DA8DF5}" srcOrd="1" destOrd="0" presId="urn:microsoft.com/office/officeart/2009/3/layout/HorizontalOrganizationChart"/>
    <dgm:cxn modelId="{715254F4-65C8-4B89-95D7-C6604789AD89}" type="presOf" srcId="{52730742-B27D-4064-9995-450D13D8A1F1}" destId="{1B219043-7F54-4BD6-ABA2-CB85048D7527}" srcOrd="0" destOrd="0" presId="urn:microsoft.com/office/officeart/2009/3/layout/HorizontalOrganizationChart"/>
    <dgm:cxn modelId="{96807F4C-1137-4193-83FE-32CC9E0A621E}" type="presOf" srcId="{7F824BFE-F7AB-444E-AE61-4814248D9C4C}" destId="{8A3BC063-3891-40C5-A74A-8252DC9B96D6}" srcOrd="1" destOrd="0" presId="urn:microsoft.com/office/officeart/2009/3/layout/HorizontalOrganizationChart"/>
    <dgm:cxn modelId="{0D20A1C7-2E7A-46AC-AF83-96C554E2F994}" type="presOf" srcId="{BBB45C6A-8EC1-4E09-A0C7-8BA64B0958F8}" destId="{3F40B936-6DD5-467B-8576-138A7AB3E434}" srcOrd="1"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6F4553D5-EA7A-4AB7-9B1C-CAB67BD57312}" type="presOf" srcId="{52730742-B27D-4064-9995-450D13D8A1F1}" destId="{9138A551-D724-49E0-822F-AB139F10F391}" srcOrd="1" destOrd="0" presId="urn:microsoft.com/office/officeart/2009/3/layout/HorizontalOrganizationChart"/>
    <dgm:cxn modelId="{2D80A6D2-C970-4242-89CA-C43BEA53EB8B}" type="presOf" srcId="{76C277F0-9FFB-4B45-9074-0F323CAA5D3F}" destId="{2C291429-B4A2-48CB-B4CE-C7AA9CC450E2}" srcOrd="0" destOrd="0" presId="urn:microsoft.com/office/officeart/2009/3/layout/HorizontalOrganizationChart"/>
    <dgm:cxn modelId="{971E0DC1-DC88-4E57-BD46-AFC1D071626E}" type="presOf" srcId="{7F824BFE-F7AB-444E-AE61-4814248D9C4C}" destId="{EB7370D6-F505-475E-BF85-916BA7A221FC}" srcOrd="0" destOrd="0" presId="urn:microsoft.com/office/officeart/2009/3/layout/HorizontalOrganizationChart"/>
    <dgm:cxn modelId="{5B698AA9-DE51-4F08-97AF-259CADA221B8}" type="presOf" srcId="{BBB45C6A-8EC1-4E09-A0C7-8BA64B0958F8}" destId="{92B9F478-A273-44B2-95C3-B871E0AA16E3}" srcOrd="0"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1C7FBC86-A204-4B07-8AC4-192E3D28AD74}" srcId="{07106E46-CF10-4373-84DE-A080831F1C97}" destId="{76C277F0-9FFB-4B45-9074-0F323CAA5D3F}" srcOrd="1" destOrd="0" parTransId="{10881493-DFA3-4B4B-A16B-40270F323202}" sibTransId="{7F90EDCC-5AE0-483A-8CF5-B57ECE10B27A}"/>
    <dgm:cxn modelId="{CA0602EC-B242-403A-8E05-180E1902DAFA}" srcId="{7F824BFE-F7AB-444E-AE61-4814248D9C4C}" destId="{44D41CEF-2B74-4AAC-B3D5-1A851ABAB93C}" srcOrd="0" destOrd="0" parTransId="{8C14836A-B23E-485B-8E02-C79757A9BCD5}" sibTransId="{CC8FEF96-E957-4407-97E9-2EFBAD418739}"/>
    <dgm:cxn modelId="{FBF8BB44-D2C3-4C4E-8199-1E4B0AEF4D17}" srcId="{07106E46-CF10-4373-84DE-A080831F1C97}" destId="{BBB45C6A-8EC1-4E09-A0C7-8BA64B0958F8}" srcOrd="2" destOrd="0" parTransId="{A0D405CF-0C28-49DC-A2A5-4A10A46E8A99}" sibTransId="{8B1DE66D-5EE0-4102-8C11-B59A8E9D8E9B}"/>
    <dgm:cxn modelId="{1B692457-3DAC-4AF4-B79D-F4D0538EE033}" srcId="{BBB45C6A-8EC1-4E09-A0C7-8BA64B0958F8}" destId="{4C421DAB-F378-4E84-A076-6719CD3F090C}" srcOrd="0" destOrd="0" parTransId="{B24A35B9-F7DF-4D95-872E-C088587111D7}" sibTransId="{5D11D4F5-BB56-462A-AA27-B49935B48561}"/>
    <dgm:cxn modelId="{46B77BEE-D5F2-4434-9EC3-5C9D4EFBB5F5}" type="presOf" srcId="{58753318-5D69-4869-9C50-776DDC017A52}" destId="{518E6223-63A9-47A0-B1D7-ADA4E46FABCE}" srcOrd="0" destOrd="0" presId="urn:microsoft.com/office/officeart/2009/3/layout/HorizontalOrganizationChart"/>
    <dgm:cxn modelId="{2D7E7E56-1ECB-4B56-A5B7-2065484A3192}" type="presOf" srcId="{03803EBE-E249-4798-A667-50B79324A1EE}" destId="{C48ED990-2A7E-495A-B5CA-18D7E533B122}" srcOrd="0" destOrd="0" presId="urn:microsoft.com/office/officeart/2009/3/layout/HorizontalOrganizationChart"/>
    <dgm:cxn modelId="{7D866B79-FC28-492F-9644-6FCC811309DA}" type="presOf" srcId="{F56800B9-6548-4225-8BE9-72CEF90D3020}" destId="{96D5BFB3-3227-4B81-BDA8-167C9538E091}" srcOrd="0" destOrd="0" presId="urn:microsoft.com/office/officeart/2009/3/layout/HorizontalOrganizationChart"/>
    <dgm:cxn modelId="{ECCD831B-8F43-4871-AB7B-E98138105607}" type="presParOf" srcId="{96D5BFB3-3227-4B81-BDA8-167C9538E091}" destId="{9F3836F3-24E3-4F04-BBC1-920D6EAAFCE5}" srcOrd="0" destOrd="0" presId="urn:microsoft.com/office/officeart/2009/3/layout/HorizontalOrganizationChart"/>
    <dgm:cxn modelId="{51DCE12B-7715-46B7-94D4-137F1FB6C3B6}" type="presParOf" srcId="{9F3836F3-24E3-4F04-BBC1-920D6EAAFCE5}" destId="{61743F89-CA42-4B6F-B3DE-340F5E1A524B}" srcOrd="0" destOrd="0" presId="urn:microsoft.com/office/officeart/2009/3/layout/HorizontalOrganizationChart"/>
    <dgm:cxn modelId="{EE1F4DC6-601D-4559-8B0D-41FBC49806D2}" type="presParOf" srcId="{61743F89-CA42-4B6F-B3DE-340F5E1A524B}" destId="{861E9A1B-B583-4000-AC89-A0FC7900D647}" srcOrd="0" destOrd="0" presId="urn:microsoft.com/office/officeart/2009/3/layout/HorizontalOrganizationChart"/>
    <dgm:cxn modelId="{AC1A38DB-B034-4E6B-9488-FDFBFD8F0FFF}" type="presParOf" srcId="{61743F89-CA42-4B6F-B3DE-340F5E1A524B}" destId="{89173A0E-C908-4987-ACB4-A6362387DD03}" srcOrd="1" destOrd="0" presId="urn:microsoft.com/office/officeart/2009/3/layout/HorizontalOrganizationChart"/>
    <dgm:cxn modelId="{A6BEA045-36B5-45EC-A8DF-87642E481A77}" type="presParOf" srcId="{9F3836F3-24E3-4F04-BBC1-920D6EAAFCE5}" destId="{B9016346-7D65-4D72-AEDE-154CB5E57985}" srcOrd="1" destOrd="0" presId="urn:microsoft.com/office/officeart/2009/3/layout/HorizontalOrganizationChart"/>
    <dgm:cxn modelId="{41BC40FD-2416-4C76-ABD6-7CD2D3A1F757}" type="presParOf" srcId="{B9016346-7D65-4D72-AEDE-154CB5E57985}" destId="{368B2D5E-FEF2-437A-8A3A-2F30118FDEB0}" srcOrd="0" destOrd="0" presId="urn:microsoft.com/office/officeart/2009/3/layout/HorizontalOrganizationChart"/>
    <dgm:cxn modelId="{3888783A-1018-4409-9AB5-16F2A2F8A947}" type="presParOf" srcId="{B9016346-7D65-4D72-AEDE-154CB5E57985}" destId="{A4E87D52-F7A1-4074-99AD-04A1E1D0EFF0}" srcOrd="1" destOrd="0" presId="urn:microsoft.com/office/officeart/2009/3/layout/HorizontalOrganizationChart"/>
    <dgm:cxn modelId="{A47880C2-34CD-424A-87AE-BACA1D80031B}" type="presParOf" srcId="{A4E87D52-F7A1-4074-99AD-04A1E1D0EFF0}" destId="{F928EB51-D1F5-401F-A6A6-AF452F36FEC7}" srcOrd="0" destOrd="0" presId="urn:microsoft.com/office/officeart/2009/3/layout/HorizontalOrganizationChart"/>
    <dgm:cxn modelId="{E6414967-B4A4-4EFF-9FC4-FC3249286F63}" type="presParOf" srcId="{F928EB51-D1F5-401F-A6A6-AF452F36FEC7}" destId="{2C291429-B4A2-48CB-B4CE-C7AA9CC450E2}" srcOrd="0" destOrd="0" presId="urn:microsoft.com/office/officeart/2009/3/layout/HorizontalOrganizationChart"/>
    <dgm:cxn modelId="{23355963-AB44-4073-B8FD-A83AC85E1751}" type="presParOf" srcId="{F928EB51-D1F5-401F-A6A6-AF452F36FEC7}" destId="{572C67A3-4BA5-4255-8333-6341B9DA8DF5}" srcOrd="1" destOrd="0" presId="urn:microsoft.com/office/officeart/2009/3/layout/HorizontalOrganizationChart"/>
    <dgm:cxn modelId="{B9C594C9-4DF3-4AA3-8A3C-967C6C20A01F}" type="presParOf" srcId="{A4E87D52-F7A1-4074-99AD-04A1E1D0EFF0}" destId="{43D60AB4-061F-4ABE-B055-FCEDE4FA33A1}" srcOrd="1" destOrd="0" presId="urn:microsoft.com/office/officeart/2009/3/layout/HorizontalOrganizationChart"/>
    <dgm:cxn modelId="{DF61B72E-E54B-4971-8F17-D856DA0F1C8A}" type="presParOf" srcId="{A4E87D52-F7A1-4074-99AD-04A1E1D0EFF0}" destId="{5EA4B4F8-6F77-4E0E-9CD1-FF2A76E1FBF4}" srcOrd="2" destOrd="0" presId="urn:microsoft.com/office/officeart/2009/3/layout/HorizontalOrganizationChart"/>
    <dgm:cxn modelId="{3BCCE1DA-54F5-4700-BC9D-14182B4F6ACC}" type="presParOf" srcId="{5EA4B4F8-6F77-4E0E-9CD1-FF2A76E1FBF4}" destId="{C48ED990-2A7E-495A-B5CA-18D7E533B122}" srcOrd="0" destOrd="0" presId="urn:microsoft.com/office/officeart/2009/3/layout/HorizontalOrganizationChart"/>
    <dgm:cxn modelId="{2657E7AD-06B4-4C11-AB78-F76E8BB97C98}" type="presParOf" srcId="{5EA4B4F8-6F77-4E0E-9CD1-FF2A76E1FBF4}" destId="{0BF1B152-CF7A-48CD-876B-314E8664DDD8}" srcOrd="1" destOrd="0" presId="urn:microsoft.com/office/officeart/2009/3/layout/HorizontalOrganizationChart"/>
    <dgm:cxn modelId="{D9DEFACE-C3AC-4278-B682-607240E443B1}" type="presParOf" srcId="{0BF1B152-CF7A-48CD-876B-314E8664DDD8}" destId="{40813B67-13B9-43C5-83C2-F72386A26860}" srcOrd="0" destOrd="0" presId="urn:microsoft.com/office/officeart/2009/3/layout/HorizontalOrganizationChart"/>
    <dgm:cxn modelId="{E53E10B6-F18F-4555-B06B-A59DB6EB8F99}" type="presParOf" srcId="{40813B67-13B9-43C5-83C2-F72386A26860}" destId="{518E6223-63A9-47A0-B1D7-ADA4E46FABCE}" srcOrd="0" destOrd="0" presId="urn:microsoft.com/office/officeart/2009/3/layout/HorizontalOrganizationChart"/>
    <dgm:cxn modelId="{F45D9C34-B10C-47DF-8D85-B5FAED992D8F}" type="presParOf" srcId="{40813B67-13B9-43C5-83C2-F72386A26860}" destId="{E8D16A6E-EF19-41A7-91CA-B17A8164C79C}" srcOrd="1" destOrd="0" presId="urn:microsoft.com/office/officeart/2009/3/layout/HorizontalOrganizationChart"/>
    <dgm:cxn modelId="{BFE35D4A-A5E0-4399-9138-5469D5669BED}" type="presParOf" srcId="{0BF1B152-CF7A-48CD-876B-314E8664DDD8}" destId="{0AE474D5-CF09-4493-9ABD-3A4AA874A2AC}" srcOrd="1" destOrd="0" presId="urn:microsoft.com/office/officeart/2009/3/layout/HorizontalOrganizationChart"/>
    <dgm:cxn modelId="{6A662682-A56E-4FD8-8792-A68406C74E9D}" type="presParOf" srcId="{0BF1B152-CF7A-48CD-876B-314E8664DDD8}" destId="{B42BA6A2-6FF3-4262-8C7B-285FBE5C7248}" srcOrd="2" destOrd="0" presId="urn:microsoft.com/office/officeart/2009/3/layout/HorizontalOrganizationChart"/>
    <dgm:cxn modelId="{FAB543C4-8509-472D-97B9-CD41098C4985}" type="presParOf" srcId="{B9016346-7D65-4D72-AEDE-154CB5E57985}" destId="{61E2F740-6DC3-49BE-989F-9D3FA3A39854}" srcOrd="2" destOrd="0" presId="urn:microsoft.com/office/officeart/2009/3/layout/HorizontalOrganizationChart"/>
    <dgm:cxn modelId="{EBB6FA8F-0C10-44CE-A2A6-60CE81C62F58}" type="presParOf" srcId="{B9016346-7D65-4D72-AEDE-154CB5E57985}" destId="{F31114F1-5CEC-4FB7-BA67-2BE01781753F}" srcOrd="3" destOrd="0" presId="urn:microsoft.com/office/officeart/2009/3/layout/HorizontalOrganizationChart"/>
    <dgm:cxn modelId="{3FD0ADAF-8DA3-41A7-A8F8-52B2603535FA}" type="presParOf" srcId="{F31114F1-5CEC-4FB7-BA67-2BE01781753F}" destId="{6E0BB13F-7693-46D1-ABA0-29D9287E2527}" srcOrd="0" destOrd="0" presId="urn:microsoft.com/office/officeart/2009/3/layout/HorizontalOrganizationChart"/>
    <dgm:cxn modelId="{98C59BE1-8548-4EC1-84F2-9E51E91424CC}" type="presParOf" srcId="{6E0BB13F-7693-46D1-ABA0-29D9287E2527}" destId="{92B9F478-A273-44B2-95C3-B871E0AA16E3}" srcOrd="0" destOrd="0" presId="urn:microsoft.com/office/officeart/2009/3/layout/HorizontalOrganizationChart"/>
    <dgm:cxn modelId="{A3193041-DB4F-4DEA-A380-94ACB8DEA8D2}" type="presParOf" srcId="{6E0BB13F-7693-46D1-ABA0-29D9287E2527}" destId="{3F40B936-6DD5-467B-8576-138A7AB3E434}" srcOrd="1" destOrd="0" presId="urn:microsoft.com/office/officeart/2009/3/layout/HorizontalOrganizationChart"/>
    <dgm:cxn modelId="{5B6E61C1-DE8D-4A8E-8C81-18B9BCED683F}" type="presParOf" srcId="{F31114F1-5CEC-4FB7-BA67-2BE01781753F}" destId="{84E21AAA-54A2-4C2C-A9C2-516DD802FF3D}" srcOrd="1" destOrd="0" presId="urn:microsoft.com/office/officeart/2009/3/layout/HorizontalOrganizationChart"/>
    <dgm:cxn modelId="{751239C8-DC53-483A-BCF7-A6A6B757ECD0}" type="presParOf" srcId="{F31114F1-5CEC-4FB7-BA67-2BE01781753F}" destId="{2A3B1471-2477-4968-B14C-A57CF236EDB3}" srcOrd="2" destOrd="0" presId="urn:microsoft.com/office/officeart/2009/3/layout/HorizontalOrganizationChart"/>
    <dgm:cxn modelId="{844D201A-141A-4FDA-A91E-7F565D0026C3}" type="presParOf" srcId="{2A3B1471-2477-4968-B14C-A57CF236EDB3}" destId="{F1775511-82A1-436A-8D11-F223D96BCF7E}" srcOrd="0" destOrd="0" presId="urn:microsoft.com/office/officeart/2009/3/layout/HorizontalOrganizationChart"/>
    <dgm:cxn modelId="{4A2FFDEC-A8E6-47F0-A529-32D9B4A74EFE}" type="presParOf" srcId="{2A3B1471-2477-4968-B14C-A57CF236EDB3}" destId="{C2CC4E8A-A86F-4816-9998-740E4C2B5DC4}" srcOrd="1" destOrd="0" presId="urn:microsoft.com/office/officeart/2009/3/layout/HorizontalOrganizationChart"/>
    <dgm:cxn modelId="{1A2545CF-130B-4026-95E1-AC6ED77BE7E9}" type="presParOf" srcId="{C2CC4E8A-A86F-4816-9998-740E4C2B5DC4}" destId="{C1CD301C-B4BE-4D65-9CC6-F44AF165235C}" srcOrd="0" destOrd="0" presId="urn:microsoft.com/office/officeart/2009/3/layout/HorizontalOrganizationChart"/>
    <dgm:cxn modelId="{368C4395-1922-4FF9-9477-4EB467BD37E6}" type="presParOf" srcId="{C1CD301C-B4BE-4D65-9CC6-F44AF165235C}" destId="{E15DD13E-4644-4575-8E0E-83BAFE252B05}" srcOrd="0" destOrd="0" presId="urn:microsoft.com/office/officeart/2009/3/layout/HorizontalOrganizationChart"/>
    <dgm:cxn modelId="{5FA1CA72-E71B-4AB2-9845-05FACACB32A8}" type="presParOf" srcId="{C1CD301C-B4BE-4D65-9CC6-F44AF165235C}" destId="{E3A6A88A-FB48-48F2-9C16-B099F9B497E8}" srcOrd="1" destOrd="0" presId="urn:microsoft.com/office/officeart/2009/3/layout/HorizontalOrganizationChart"/>
    <dgm:cxn modelId="{7E8241B7-F99A-4832-8CF2-F51205BA5EDA}" type="presParOf" srcId="{C2CC4E8A-A86F-4816-9998-740E4C2B5DC4}" destId="{823EB332-6EB8-4DD6-AF7D-678DC040B1ED}" srcOrd="1" destOrd="0" presId="urn:microsoft.com/office/officeart/2009/3/layout/HorizontalOrganizationChart"/>
    <dgm:cxn modelId="{C8C9A9DD-E2C4-4EB7-9289-4A842ADD0BCA}" type="presParOf" srcId="{C2CC4E8A-A86F-4816-9998-740E4C2B5DC4}" destId="{C8A3A8D0-D004-49D3-B0E2-4CF897B92989}" srcOrd="2" destOrd="0" presId="urn:microsoft.com/office/officeart/2009/3/layout/HorizontalOrganizationChart"/>
    <dgm:cxn modelId="{06024A1E-AE70-4564-AAEC-53BD9F3D605E}" type="presParOf" srcId="{B9016346-7D65-4D72-AEDE-154CB5E57985}" destId="{A03EF697-6B68-4587-B7F0-C9F50D5A4E46}" srcOrd="4" destOrd="0" presId="urn:microsoft.com/office/officeart/2009/3/layout/HorizontalOrganizationChart"/>
    <dgm:cxn modelId="{5BB5CC74-6566-40B6-A1A5-4DE698B25F28}" type="presParOf" srcId="{B9016346-7D65-4D72-AEDE-154CB5E57985}" destId="{574317F6-A793-49B3-8A72-FC4CCCE087A4}" srcOrd="5" destOrd="0" presId="urn:microsoft.com/office/officeart/2009/3/layout/HorizontalOrganizationChart"/>
    <dgm:cxn modelId="{1AE9F570-DD62-4B64-A6FD-E6D93BA85239}" type="presParOf" srcId="{574317F6-A793-49B3-8A72-FC4CCCE087A4}" destId="{B6F0084A-5816-4B5F-9091-5DF1BB242A2D}" srcOrd="0" destOrd="0" presId="urn:microsoft.com/office/officeart/2009/3/layout/HorizontalOrganizationChart"/>
    <dgm:cxn modelId="{DFD46462-A8C5-41C9-BC7E-2FEDC8E9B761}" type="presParOf" srcId="{B6F0084A-5816-4B5F-9091-5DF1BB242A2D}" destId="{EB7370D6-F505-475E-BF85-916BA7A221FC}" srcOrd="0" destOrd="0" presId="urn:microsoft.com/office/officeart/2009/3/layout/HorizontalOrganizationChart"/>
    <dgm:cxn modelId="{6547BE75-F60C-4B54-8E40-54D9D4E7E0A4}" type="presParOf" srcId="{B6F0084A-5816-4B5F-9091-5DF1BB242A2D}" destId="{8A3BC063-3891-40C5-A74A-8252DC9B96D6}" srcOrd="1" destOrd="0" presId="urn:microsoft.com/office/officeart/2009/3/layout/HorizontalOrganizationChart"/>
    <dgm:cxn modelId="{2F0E09E9-73D6-4B75-965F-1DD63CDEAB9A}" type="presParOf" srcId="{574317F6-A793-49B3-8A72-FC4CCCE087A4}" destId="{814F2E7F-5C37-4EBB-ACD0-0C1E0789DB80}" srcOrd="1" destOrd="0" presId="urn:microsoft.com/office/officeart/2009/3/layout/HorizontalOrganizationChart"/>
    <dgm:cxn modelId="{06F36D0B-1B35-4304-8F5E-B2AD3F7BDC42}" type="presParOf" srcId="{574317F6-A793-49B3-8A72-FC4CCCE087A4}" destId="{4F327694-395D-4990-9275-547BC5CEAFDF}" srcOrd="2" destOrd="0" presId="urn:microsoft.com/office/officeart/2009/3/layout/HorizontalOrganizationChart"/>
    <dgm:cxn modelId="{6E40BB4C-7BCE-4E20-A8BB-A30D1BBC9F16}" type="presParOf" srcId="{4F327694-395D-4990-9275-547BC5CEAFDF}" destId="{8FCB4014-7528-4015-9E3F-3D7D81EF8992}" srcOrd="0" destOrd="0" presId="urn:microsoft.com/office/officeart/2009/3/layout/HorizontalOrganizationChart"/>
    <dgm:cxn modelId="{7AC0C282-3F7D-43D6-AA9C-A872E8D6C3B7}" type="presParOf" srcId="{4F327694-395D-4990-9275-547BC5CEAFDF}" destId="{427F4C63-85D0-4FA5-963C-7A2039A4D5F5}" srcOrd="1" destOrd="0" presId="urn:microsoft.com/office/officeart/2009/3/layout/HorizontalOrganizationChart"/>
    <dgm:cxn modelId="{4A227CB7-70C4-4BEC-B153-2AF652B394F7}" type="presParOf" srcId="{427F4C63-85D0-4FA5-963C-7A2039A4D5F5}" destId="{10BF0147-18AD-4E77-9C48-0F1AAE179761}" srcOrd="0" destOrd="0" presId="urn:microsoft.com/office/officeart/2009/3/layout/HorizontalOrganizationChart"/>
    <dgm:cxn modelId="{90724F43-9844-4FD3-A332-34427692E1D7}" type="presParOf" srcId="{10BF0147-18AD-4E77-9C48-0F1AAE179761}" destId="{47E79CE5-8FD2-4FA9-816E-8BE3C3CB8C1F}" srcOrd="0" destOrd="0" presId="urn:microsoft.com/office/officeart/2009/3/layout/HorizontalOrganizationChart"/>
    <dgm:cxn modelId="{785275DF-5E28-43C1-BCEF-28AF3447E43C}" type="presParOf" srcId="{10BF0147-18AD-4E77-9C48-0F1AAE179761}" destId="{782B4C27-3B83-40C7-9673-529FF38A42BC}" srcOrd="1" destOrd="0" presId="urn:microsoft.com/office/officeart/2009/3/layout/HorizontalOrganizationChart"/>
    <dgm:cxn modelId="{011CE26F-13FE-4989-9420-2B024B7B89CE}" type="presParOf" srcId="{427F4C63-85D0-4FA5-963C-7A2039A4D5F5}" destId="{5F8B0BB3-7BEC-4B78-863B-7B815626F4B6}" srcOrd="1" destOrd="0" presId="urn:microsoft.com/office/officeart/2009/3/layout/HorizontalOrganizationChart"/>
    <dgm:cxn modelId="{10A22D83-0E9C-437F-87E2-F3EE2E4FC018}" type="presParOf" srcId="{427F4C63-85D0-4FA5-963C-7A2039A4D5F5}" destId="{E83E5EEF-C56F-4B8D-8461-49B4770741D4}" srcOrd="2" destOrd="0" presId="urn:microsoft.com/office/officeart/2009/3/layout/HorizontalOrganizationChart"/>
    <dgm:cxn modelId="{117F0822-ACE5-46B2-A975-19AC6A983C3E}" type="presParOf" srcId="{9F3836F3-24E3-4F04-BBC1-920D6EAAFCE5}" destId="{3C6C28F0-7D04-43A8-BC4C-AAD01DF58E2D}" srcOrd="2" destOrd="0" presId="urn:microsoft.com/office/officeart/2009/3/layout/HorizontalOrganizationChart"/>
    <dgm:cxn modelId="{9998478C-7B94-4AE3-96B5-31085364110E}" type="presParOf" srcId="{3C6C28F0-7D04-43A8-BC4C-AAD01DF58E2D}" destId="{2AB52EE8-E7F5-4BCA-A0C7-3AC7084008AA}" srcOrd="0" destOrd="0" presId="urn:microsoft.com/office/officeart/2009/3/layout/HorizontalOrganizationChart"/>
    <dgm:cxn modelId="{18C110F2-C7C8-408E-A05A-42E2079ABD75}" type="presParOf" srcId="{3C6C28F0-7D04-43A8-BC4C-AAD01DF58E2D}" destId="{4AB5E972-125E-4E29-A6FF-C44BCB761875}" srcOrd="1" destOrd="0" presId="urn:microsoft.com/office/officeart/2009/3/layout/HorizontalOrganizationChart"/>
    <dgm:cxn modelId="{700DA14B-12D7-4202-B284-58666860AD78}" type="presParOf" srcId="{4AB5E972-125E-4E29-A6FF-C44BCB761875}" destId="{C8B0A8E4-8E27-4F22-B594-C3200E781C00}" srcOrd="0" destOrd="0" presId="urn:microsoft.com/office/officeart/2009/3/layout/HorizontalOrganizationChart"/>
    <dgm:cxn modelId="{5F75D63E-849C-4063-905D-5D0FB5995308}" type="presParOf" srcId="{C8B0A8E4-8E27-4F22-B594-C3200E781C00}" destId="{1B219043-7F54-4BD6-ABA2-CB85048D7527}" srcOrd="0" destOrd="0" presId="urn:microsoft.com/office/officeart/2009/3/layout/HorizontalOrganizationChart"/>
    <dgm:cxn modelId="{3703AA93-AE5F-4AEC-931C-426496352FD5}" type="presParOf" srcId="{C8B0A8E4-8E27-4F22-B594-C3200E781C00}" destId="{9138A551-D724-49E0-822F-AB139F10F391}" srcOrd="1" destOrd="0" presId="urn:microsoft.com/office/officeart/2009/3/layout/HorizontalOrganizationChart"/>
    <dgm:cxn modelId="{A916F207-4ADC-461C-8673-93720EBF37F5}" type="presParOf" srcId="{4AB5E972-125E-4E29-A6FF-C44BCB761875}" destId="{F6CCBAB7-720F-4918-967E-E9A45EDE2F7D}" srcOrd="1" destOrd="0" presId="urn:microsoft.com/office/officeart/2009/3/layout/HorizontalOrganizationChart"/>
    <dgm:cxn modelId="{4DC60C90-1492-42D1-BF44-DB4782B13658}"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5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6BC67ACA-9C7D-4E2E-A3B7-8682E0ACEC5A}" srcId="{7BDB8F31-6C7F-4493-BBB4-478C8A125762}" destId="{802A51D4-12D7-4316-ACF2-B14C90BE226E}" srcOrd="0" destOrd="0" parTransId="{4F111263-FD73-435E-AE59-5D402187AB5D}" sibTransId="{75D6792A-C525-4F02-A49F-7B5D7308DB37}"/>
    <dgm:cxn modelId="{6FAA0EF0-C261-4810-9338-B7E4315E9506}" type="presOf" srcId="{582157BE-668A-43AA-906C-E8A6CB0AD300}" destId="{086A8BE0-365B-4D55-8C59-80AC4A1A9303}" srcOrd="0" destOrd="0" presId="urn:microsoft.com/office/officeart/2005/8/layout/hierarchy3"/>
    <dgm:cxn modelId="{D5FF70A4-810A-4BF7-8AEF-822CD87528CB}" srcId="{7FE7FC7A-89ED-4D20-BDED-B2FB496A6326}" destId="{61FBD959-CAD2-4A73-AD5D-3CAA4CDABF82}" srcOrd="2" destOrd="0" parTransId="{E47FBC83-AE89-4EA6-8353-9DD6A3D1AA12}" sibTransId="{3BEDC14D-F925-4FFF-BEEE-E581B4DAB8C6}"/>
    <dgm:cxn modelId="{834E7664-DC40-4039-861F-1B5A0FFF914E}" type="presOf" srcId="{5C8680CA-E82A-4B08-8C65-7207A27666D9}" destId="{248FEE5A-6D9E-4A45-816E-DBA573970611}" srcOrd="0" destOrd="0" presId="urn:microsoft.com/office/officeart/2005/8/layout/hierarchy3"/>
    <dgm:cxn modelId="{42B53009-CBED-4FBC-B74F-14F4491C2C06}" type="presOf" srcId="{B80926DC-B062-46B1-93B3-4E855FF3CE05}" destId="{5EFE6065-3099-4831-BD2D-2976C4FFB49D}" srcOrd="0" destOrd="0" presId="urn:microsoft.com/office/officeart/2005/8/layout/hierarchy3"/>
    <dgm:cxn modelId="{2DAAB5CA-AE82-4B0C-936C-E780DDA95DE7}" type="presOf" srcId="{84C95532-69D6-4A2D-8855-54F24F3525F3}" destId="{9A0F5FF0-47F4-44B5-B6BB-F946BA61FD23}" srcOrd="1" destOrd="0" presId="urn:microsoft.com/office/officeart/2005/8/layout/hierarchy3"/>
    <dgm:cxn modelId="{8C266092-477F-4BE3-8E8D-68BAA2DB0C68}" type="presOf" srcId="{97EFB66F-2315-44D1-A0A3-6D5E2D44539B}" destId="{013C1FE1-5D2F-4766-9B4D-003DB15D668D}" srcOrd="0" destOrd="0" presId="urn:microsoft.com/office/officeart/2005/8/layout/hierarchy3"/>
    <dgm:cxn modelId="{091DC995-96BE-4602-956D-70917FFDAE82}" type="presOf" srcId="{4F111263-FD73-435E-AE59-5D402187AB5D}" destId="{9C5243F3-3BD2-448D-9FEC-175D5DE5FB95}" srcOrd="0"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13663A68-682E-4EEB-A9A1-EF286D3F733D}" type="presOf" srcId="{9F2371EA-FF0C-4146-A4F0-1A1776295E6B}" destId="{20853827-3E97-4848-A643-5850B4B5AC8E}" srcOrd="0" destOrd="0" presId="urn:microsoft.com/office/officeart/2005/8/layout/hierarchy3"/>
    <dgm:cxn modelId="{7EE25867-274A-403B-9BD1-A430BB5E41B2}" type="presOf" srcId="{7BDB8F31-6C7F-4493-BBB4-478C8A125762}" destId="{C706CA6A-6667-41F6-A8B1-D37E58DB24A2}" srcOrd="1" destOrd="0" presId="urn:microsoft.com/office/officeart/2005/8/layout/hierarchy3"/>
    <dgm:cxn modelId="{5F00203B-AD80-4C32-B2DB-40D2277C50E5}" type="presOf" srcId="{61FBD959-CAD2-4A73-AD5D-3CAA4CDABF82}" destId="{D63AEAA9-2D7C-47C1-8810-CBACF93C645A}" srcOrd="0" destOrd="0" presId="urn:microsoft.com/office/officeart/2005/8/layout/hierarchy3"/>
    <dgm:cxn modelId="{B2624DE9-85AE-4125-86C8-3F44FDC987CD}" type="presOf" srcId="{84C95532-69D6-4A2D-8855-54F24F3525F3}" destId="{82587C02-6832-4C41-8E13-1B5F26233958}"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A71800D1-E39F-414B-B1E0-EC85BFB1FFD0}" type="presOf" srcId="{B6237906-3FD9-4A13-BBEC-44997128ED83}" destId="{9EC2E1A0-16D1-4F52-918C-99C35BC8F566}" srcOrd="0" destOrd="0" presId="urn:microsoft.com/office/officeart/2005/8/layout/hierarchy3"/>
    <dgm:cxn modelId="{750359C0-7DCD-43FC-824B-BBEC3F3A27FB}" srcId="{7FE7FC7A-89ED-4D20-BDED-B2FB496A6326}" destId="{CEB97AF8-66E8-4BE9-8715-EEB0A187A476}" srcOrd="1" destOrd="0" parTransId="{4DD621C1-FC4F-47D9-9187-18B951A29705}" sibTransId="{CCBD3ACB-4BC9-41E8-8202-B5CA3324CF4C}"/>
    <dgm:cxn modelId="{BCE3E917-73B6-4950-8469-279C626F5A9F}" srcId="{CEB97AF8-66E8-4BE9-8715-EEB0A187A476}" destId="{9D6801FA-8EB4-4669-ABAA-E8BA31EF577C}" srcOrd="1" destOrd="0" parTransId="{F0FE5F01-9E88-4AE4-A77B-4A85F6C5EB60}" sibTransId="{53D58E7D-6A62-401D-B384-0F1B59F9DAD8}"/>
    <dgm:cxn modelId="{C8E6548E-54E0-4F08-9602-0D0F81A8DA99}" srcId="{61FBD959-CAD2-4A73-AD5D-3CAA4CDABF82}" destId="{B80926DC-B062-46B1-93B3-4E855FF3CE05}" srcOrd="0" destOrd="0" parTransId="{E879125A-7A3F-4677-8F0C-68076362C0F7}" sibTransId="{B47948B1-EC90-4775-9CB4-26A9C9C7F8DF}"/>
    <dgm:cxn modelId="{94B989C0-9204-4928-9DBC-BF9331385329}" srcId="{7FE7FC7A-89ED-4D20-BDED-B2FB496A6326}" destId="{7BDB8F31-6C7F-4493-BBB4-478C8A125762}" srcOrd="0" destOrd="0" parTransId="{50F6F717-F319-4630-B615-4D498FFC008E}" sibTransId="{53D5FA09-11D6-47B6-9C7B-D7A2A6D69A31}"/>
    <dgm:cxn modelId="{73A7BA5E-9A72-4441-BB12-51ECFECDE3D8}" type="presOf" srcId="{7FE7FC7A-89ED-4D20-BDED-B2FB496A6326}" destId="{1F1F9640-C288-46AD-9AB7-84A8E4A8E01C}" srcOrd="0" destOrd="0" presId="urn:microsoft.com/office/officeart/2005/8/layout/hierarchy3"/>
    <dgm:cxn modelId="{BB062A70-675A-4C35-84C8-B9EF4CFD71FD}" type="presOf" srcId="{7BDB8F31-6C7F-4493-BBB4-478C8A125762}" destId="{EFC86F11-4236-4CC8-9521-3CD024E443A0}"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E9747FFE-F36A-4F96-A600-79C85ECBC03F}" srcId="{61FBD959-CAD2-4A73-AD5D-3CAA4CDABF82}" destId="{B8801D38-5646-4247-B061-45E0F33A7A21}" srcOrd="1" destOrd="0" parTransId="{9F2371EA-FF0C-4146-A4F0-1A1776295E6B}" sibTransId="{134E4385-4288-475A-9717-6E10E5983584}"/>
    <dgm:cxn modelId="{DCED0985-01D2-4727-9819-183B79E61E7E}" type="presOf" srcId="{C3D1F7DF-4736-4450-8337-C9045E34D776}" destId="{ABB312BA-252B-4E73-AB6E-0AD0CDF209CF}" srcOrd="0" destOrd="0" presId="urn:microsoft.com/office/officeart/2005/8/layout/hierarchy3"/>
    <dgm:cxn modelId="{8B2D604F-0B13-4CA8-A6F8-F3ACDABC3B8F}" type="presOf" srcId="{65B50D11-5178-4AE6-A1FA-AD2FFC2340AF}" destId="{EDCDB10A-4565-462C-9838-2CED1D6D0FB7}" srcOrd="0" destOrd="0" presId="urn:microsoft.com/office/officeart/2005/8/layout/hierarchy3"/>
    <dgm:cxn modelId="{6AFAE961-09C0-4FC2-8988-543A7947227B}" type="presOf" srcId="{8DD36C0E-4E16-42C3-8054-4E24B0906126}" destId="{534C199A-9BD0-41D2-A21A-01D939A132C7}" srcOrd="0"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E3376627-2546-4AE3-9D23-5829FDF87FCA}" type="presOf" srcId="{9D6801FA-8EB4-4669-ABAA-E8BA31EF577C}" destId="{4AD6A3DE-1EBE-4ACC-8682-2AF4BA21AA66}" srcOrd="0" destOrd="0" presId="urn:microsoft.com/office/officeart/2005/8/layout/hierarchy3"/>
    <dgm:cxn modelId="{ACE36267-D012-49B7-93F7-6EEB38823843}" type="presOf" srcId="{F0FE5F01-9E88-4AE4-A77B-4A85F6C5EB60}" destId="{1AF3619D-B9CC-44DB-AD4A-1AF22F1C9DBA}"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2289F76C-2CD7-4930-BF9C-EF5F8F9F1062}" type="presOf" srcId="{CEB97AF8-66E8-4BE9-8715-EEB0A187A476}" destId="{0F43FBEE-DF29-447C-B990-CDA7C4C2CE5C}" srcOrd="0" destOrd="0" presId="urn:microsoft.com/office/officeart/2005/8/layout/hierarchy3"/>
    <dgm:cxn modelId="{33489862-B266-4675-AED3-F452216A0145}" srcId="{7BDB8F31-6C7F-4493-BBB4-478C8A125762}" destId="{582157BE-668A-43AA-906C-E8A6CB0AD300}" srcOrd="1" destOrd="0" parTransId="{88BD5544-9EF1-4775-BCD3-0141C363A02B}" sibTransId="{E0BD6F96-6B51-4FCC-B4B9-D00718FF20BF}"/>
    <dgm:cxn modelId="{7B29078D-6CA2-4233-8340-DC5BD8E20F3A}" type="presOf" srcId="{802A51D4-12D7-4316-ACF2-B14C90BE226E}" destId="{73BEBEE1-3007-426B-A81F-3E1BB697C744}" srcOrd="0" destOrd="0" presId="urn:microsoft.com/office/officeart/2005/8/layout/hierarchy3"/>
    <dgm:cxn modelId="{973B91CF-8726-4163-A121-3F3BA4A0E068}" type="presOf" srcId="{D84BFDD4-1CBA-4E20-AC79-B5662FC036D1}" destId="{1FB6BB08-6487-4CF7-B3E8-A75B98E7697C}" srcOrd="0" destOrd="0" presId="urn:microsoft.com/office/officeart/2005/8/layout/hierarchy3"/>
    <dgm:cxn modelId="{6B5F83D9-4BBA-4219-88CB-977C63A24331}" type="presOf" srcId="{61FBD959-CAD2-4A73-AD5D-3CAA4CDABF82}" destId="{F67979DE-6972-4E37-8932-A844CF7F3C55}" srcOrd="1" destOrd="0" presId="urn:microsoft.com/office/officeart/2005/8/layout/hierarchy3"/>
    <dgm:cxn modelId="{9677D964-511A-4C36-8848-E68DF188F06E}" type="presOf" srcId="{CEB97AF8-66E8-4BE9-8715-EEB0A187A476}" destId="{B9F4341E-C377-47F4-9028-4C9EFAE29280}" srcOrd="1" destOrd="0" presId="urn:microsoft.com/office/officeart/2005/8/layout/hierarchy3"/>
    <dgm:cxn modelId="{FD2F0DB3-C97E-43A1-A72C-835A17D2660A}" type="presOf" srcId="{2DE50B64-9F2C-4280-8801-D0CCEA02D2EE}" destId="{F3B29933-49F7-429E-93CC-A20D864E0016}" srcOrd="0" destOrd="0" presId="urn:microsoft.com/office/officeart/2005/8/layout/hierarchy3"/>
    <dgm:cxn modelId="{01E6E907-3248-40A7-B407-1AD0A8FE2D4A}" type="presOf" srcId="{C74CE005-05EB-46D3-921E-E90F8A2942AB}" destId="{3E1472E8-62E9-496E-B5AC-C0C1D452FA1A}"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B3C7AABB-6B98-4A95-9D25-CD393399CDDC}" type="presOf" srcId="{88BD5544-9EF1-4775-BCD3-0141C363A02B}" destId="{73A58F98-06D7-4D0A-8A39-E6F92FBE09DF}" srcOrd="0" destOrd="0" presId="urn:microsoft.com/office/officeart/2005/8/layout/hierarchy3"/>
    <dgm:cxn modelId="{B0AAFE7A-6498-4E81-8625-C873DE83481E}" type="presOf" srcId="{3C3AA8D2-3FB7-4716-8633-1392E92001CE}" destId="{C5AFFBBF-0CB9-41D0-ABA1-84FF0A573FE6}" srcOrd="0" destOrd="0" presId="urn:microsoft.com/office/officeart/2005/8/layout/hierarchy3"/>
    <dgm:cxn modelId="{8BFC794F-2A55-4EC9-8A5F-44AF07D9C67E}" type="presOf" srcId="{E879125A-7A3F-4677-8F0C-68076362C0F7}" destId="{07E12C06-DF4C-4847-A365-0DA62AF9B97B}" srcOrd="0" destOrd="0" presId="urn:microsoft.com/office/officeart/2005/8/layout/hierarchy3"/>
    <dgm:cxn modelId="{A85AD886-4C38-4CDC-AF76-B9F05B07C13E}" type="presOf" srcId="{B8801D38-5646-4247-B061-45E0F33A7A21}" destId="{13293D94-2C5F-4870-89BA-6D439479D129}" srcOrd="0" destOrd="0" presId="urn:microsoft.com/office/officeart/2005/8/layout/hierarchy3"/>
    <dgm:cxn modelId="{2BD240DD-90F6-43D4-A27F-3AF9E9EE041C}" type="presOf" srcId="{6CEABCE2-66C3-4EC3-87D6-F24EBC7C1007}" destId="{8F61EBD2-8666-4FC4-AE18-91E80494F1DB}" srcOrd="0" destOrd="0" presId="urn:microsoft.com/office/officeart/2005/8/layout/hierarchy3"/>
    <dgm:cxn modelId="{1A0FAE47-2074-46E9-8517-163489F23F6C}" type="presOf" srcId="{93F07968-519C-4B51-8FEC-88C3B49937AB}" destId="{012E967A-B44C-451A-B08E-577AD1FC2056}" srcOrd="0" destOrd="0" presId="urn:microsoft.com/office/officeart/2005/8/layout/hierarchy3"/>
    <dgm:cxn modelId="{4BFF225A-F99C-479C-89D4-15A58774AE64}" srcId="{61FBD959-CAD2-4A73-AD5D-3CAA4CDABF82}" destId="{6CEABCE2-66C3-4EC3-87D6-F24EBC7C1007}" srcOrd="2" destOrd="0" parTransId="{65B50D11-5178-4AE6-A1FA-AD2FFC2340AF}" sibTransId="{8A81EAE5-C69E-4913-A72B-868171905D17}"/>
    <dgm:cxn modelId="{5D793140-4B32-4468-A165-52E98E41ED53}" type="presParOf" srcId="{1F1F9640-C288-46AD-9AB7-84A8E4A8E01C}" destId="{434F5CFD-E1ED-40D0-99C9-46FA6A27793B}" srcOrd="0" destOrd="0" presId="urn:microsoft.com/office/officeart/2005/8/layout/hierarchy3"/>
    <dgm:cxn modelId="{B0A57F9E-CCE2-4BCC-8069-E2585146BE1C}" type="presParOf" srcId="{434F5CFD-E1ED-40D0-99C9-46FA6A27793B}" destId="{0CDFBBBD-A206-48C1-B392-A4DA0AA8E00B}" srcOrd="0" destOrd="0" presId="urn:microsoft.com/office/officeart/2005/8/layout/hierarchy3"/>
    <dgm:cxn modelId="{3D72E8BC-4C41-47D9-914F-8C6AA7D22DC9}" type="presParOf" srcId="{0CDFBBBD-A206-48C1-B392-A4DA0AA8E00B}" destId="{EFC86F11-4236-4CC8-9521-3CD024E443A0}" srcOrd="0" destOrd="0" presId="urn:microsoft.com/office/officeart/2005/8/layout/hierarchy3"/>
    <dgm:cxn modelId="{7138E571-497E-44E1-B2FD-383CF8CAD461}" type="presParOf" srcId="{0CDFBBBD-A206-48C1-B392-A4DA0AA8E00B}" destId="{C706CA6A-6667-41F6-A8B1-D37E58DB24A2}" srcOrd="1" destOrd="0" presId="urn:microsoft.com/office/officeart/2005/8/layout/hierarchy3"/>
    <dgm:cxn modelId="{0645EC15-11E1-4D78-98A1-B7D879722903}" type="presParOf" srcId="{434F5CFD-E1ED-40D0-99C9-46FA6A27793B}" destId="{783B0924-51AA-42EC-B317-0710F8AE6B5E}" srcOrd="1" destOrd="0" presId="urn:microsoft.com/office/officeart/2005/8/layout/hierarchy3"/>
    <dgm:cxn modelId="{8DFB0326-92F0-4AF4-98FC-683AD8EE2F1C}" type="presParOf" srcId="{783B0924-51AA-42EC-B317-0710F8AE6B5E}" destId="{9C5243F3-3BD2-448D-9FEC-175D5DE5FB95}" srcOrd="0" destOrd="0" presId="urn:microsoft.com/office/officeart/2005/8/layout/hierarchy3"/>
    <dgm:cxn modelId="{79BBCE6A-2E80-489A-8374-EE662E98B3E6}" type="presParOf" srcId="{783B0924-51AA-42EC-B317-0710F8AE6B5E}" destId="{73BEBEE1-3007-426B-A81F-3E1BB697C744}" srcOrd="1" destOrd="0" presId="urn:microsoft.com/office/officeart/2005/8/layout/hierarchy3"/>
    <dgm:cxn modelId="{982D7B6D-8568-4A8B-8F26-F5534459BCF2}" type="presParOf" srcId="{783B0924-51AA-42EC-B317-0710F8AE6B5E}" destId="{73A58F98-06D7-4D0A-8A39-E6F92FBE09DF}" srcOrd="2" destOrd="0" presId="urn:microsoft.com/office/officeart/2005/8/layout/hierarchy3"/>
    <dgm:cxn modelId="{6829A50A-BED0-4B77-9E6D-CFEF030D2DA8}" type="presParOf" srcId="{783B0924-51AA-42EC-B317-0710F8AE6B5E}" destId="{086A8BE0-365B-4D55-8C59-80AC4A1A9303}" srcOrd="3" destOrd="0" presId="urn:microsoft.com/office/officeart/2005/8/layout/hierarchy3"/>
    <dgm:cxn modelId="{980C389F-E997-4F03-9F61-27D856C63A16}" type="presParOf" srcId="{1F1F9640-C288-46AD-9AB7-84A8E4A8E01C}" destId="{257C2CC6-73C8-46CC-96CE-255A3AB79225}" srcOrd="1" destOrd="0" presId="urn:microsoft.com/office/officeart/2005/8/layout/hierarchy3"/>
    <dgm:cxn modelId="{69969BD2-7B38-411B-A65C-8514819AE94F}" type="presParOf" srcId="{257C2CC6-73C8-46CC-96CE-255A3AB79225}" destId="{B2593030-59CD-422A-ABFF-AAC05B038F64}" srcOrd="0" destOrd="0" presId="urn:microsoft.com/office/officeart/2005/8/layout/hierarchy3"/>
    <dgm:cxn modelId="{EC6AA296-590F-4A1C-A879-B2CF96EAD4CA}" type="presParOf" srcId="{B2593030-59CD-422A-ABFF-AAC05B038F64}" destId="{0F43FBEE-DF29-447C-B990-CDA7C4C2CE5C}" srcOrd="0" destOrd="0" presId="urn:microsoft.com/office/officeart/2005/8/layout/hierarchy3"/>
    <dgm:cxn modelId="{E3196A99-AEC4-4063-9EB3-A44657192C2E}" type="presParOf" srcId="{B2593030-59CD-422A-ABFF-AAC05B038F64}" destId="{B9F4341E-C377-47F4-9028-4C9EFAE29280}" srcOrd="1" destOrd="0" presId="urn:microsoft.com/office/officeart/2005/8/layout/hierarchy3"/>
    <dgm:cxn modelId="{37BB6F6E-4395-4CF1-92C3-5A6F270FA232}" type="presParOf" srcId="{257C2CC6-73C8-46CC-96CE-255A3AB79225}" destId="{6BE5DE6B-0747-43A1-9A7B-E2BF96E9AA38}" srcOrd="1" destOrd="0" presId="urn:microsoft.com/office/officeart/2005/8/layout/hierarchy3"/>
    <dgm:cxn modelId="{2AA6A896-2BC0-4EBF-8366-D22331EEA0DE}" type="presParOf" srcId="{6BE5DE6B-0747-43A1-9A7B-E2BF96E9AA38}" destId="{9EC2E1A0-16D1-4F52-918C-99C35BC8F566}" srcOrd="0" destOrd="0" presId="urn:microsoft.com/office/officeart/2005/8/layout/hierarchy3"/>
    <dgm:cxn modelId="{8830E705-E3F0-47E0-A159-0D5D5A02D06A}" type="presParOf" srcId="{6BE5DE6B-0747-43A1-9A7B-E2BF96E9AA38}" destId="{C5AFFBBF-0CB9-41D0-ABA1-84FF0A573FE6}" srcOrd="1" destOrd="0" presId="urn:microsoft.com/office/officeart/2005/8/layout/hierarchy3"/>
    <dgm:cxn modelId="{2C91AD70-5264-45EA-8C20-76280732E673}" type="presParOf" srcId="{6BE5DE6B-0747-43A1-9A7B-E2BF96E9AA38}" destId="{1AF3619D-B9CC-44DB-AD4A-1AF22F1C9DBA}" srcOrd="2" destOrd="0" presId="urn:microsoft.com/office/officeart/2005/8/layout/hierarchy3"/>
    <dgm:cxn modelId="{ED27A7FC-691E-42F9-8FD9-3780FC57EA6C}" type="presParOf" srcId="{6BE5DE6B-0747-43A1-9A7B-E2BF96E9AA38}" destId="{4AD6A3DE-1EBE-4ACC-8682-2AF4BA21AA66}" srcOrd="3" destOrd="0" presId="urn:microsoft.com/office/officeart/2005/8/layout/hierarchy3"/>
    <dgm:cxn modelId="{081F4A91-6EF0-4485-9B8E-59749A1D7908}" type="presParOf" srcId="{1F1F9640-C288-46AD-9AB7-84A8E4A8E01C}" destId="{E78E1CE7-FB50-46FA-9BC4-B344BE370A69}" srcOrd="2" destOrd="0" presId="urn:microsoft.com/office/officeart/2005/8/layout/hierarchy3"/>
    <dgm:cxn modelId="{E2777B18-F921-4C32-8195-89868F817685}" type="presParOf" srcId="{E78E1CE7-FB50-46FA-9BC4-B344BE370A69}" destId="{0DC9B99A-2326-4933-B023-82BCF158B079}" srcOrd="0" destOrd="0" presId="urn:microsoft.com/office/officeart/2005/8/layout/hierarchy3"/>
    <dgm:cxn modelId="{A3429C52-6A15-4DCA-A37E-0076A17C2591}" type="presParOf" srcId="{0DC9B99A-2326-4933-B023-82BCF158B079}" destId="{D63AEAA9-2D7C-47C1-8810-CBACF93C645A}" srcOrd="0" destOrd="0" presId="urn:microsoft.com/office/officeart/2005/8/layout/hierarchy3"/>
    <dgm:cxn modelId="{68BDF7D4-A689-4045-9818-AACBBBA7626C}" type="presParOf" srcId="{0DC9B99A-2326-4933-B023-82BCF158B079}" destId="{F67979DE-6972-4E37-8932-A844CF7F3C55}" srcOrd="1" destOrd="0" presId="urn:microsoft.com/office/officeart/2005/8/layout/hierarchy3"/>
    <dgm:cxn modelId="{5BCADB43-3653-46E4-A2C8-26A7B3290FC3}" type="presParOf" srcId="{E78E1CE7-FB50-46FA-9BC4-B344BE370A69}" destId="{66E3EF2C-69E4-48E9-BCC2-BBC3822F559B}" srcOrd="1" destOrd="0" presId="urn:microsoft.com/office/officeart/2005/8/layout/hierarchy3"/>
    <dgm:cxn modelId="{BB693256-4594-4D79-8158-536459F08B1D}" type="presParOf" srcId="{66E3EF2C-69E4-48E9-BCC2-BBC3822F559B}" destId="{07E12C06-DF4C-4847-A365-0DA62AF9B97B}" srcOrd="0" destOrd="0" presId="urn:microsoft.com/office/officeart/2005/8/layout/hierarchy3"/>
    <dgm:cxn modelId="{D9E31FC4-1062-4ADC-B75C-674CB2546767}" type="presParOf" srcId="{66E3EF2C-69E4-48E9-BCC2-BBC3822F559B}" destId="{5EFE6065-3099-4831-BD2D-2976C4FFB49D}" srcOrd="1" destOrd="0" presId="urn:microsoft.com/office/officeart/2005/8/layout/hierarchy3"/>
    <dgm:cxn modelId="{ADDB9E06-667C-405A-A431-514B1FB937F7}" type="presParOf" srcId="{66E3EF2C-69E4-48E9-BCC2-BBC3822F559B}" destId="{20853827-3E97-4848-A643-5850B4B5AC8E}" srcOrd="2" destOrd="0" presId="urn:microsoft.com/office/officeart/2005/8/layout/hierarchy3"/>
    <dgm:cxn modelId="{AAB2EF2F-56E9-40C7-8BCB-E42C014D4F39}" type="presParOf" srcId="{66E3EF2C-69E4-48E9-BCC2-BBC3822F559B}" destId="{13293D94-2C5F-4870-89BA-6D439479D129}" srcOrd="3" destOrd="0" presId="urn:microsoft.com/office/officeart/2005/8/layout/hierarchy3"/>
    <dgm:cxn modelId="{12102363-FC41-4607-A149-75777B578813}" type="presParOf" srcId="{66E3EF2C-69E4-48E9-BCC2-BBC3822F559B}" destId="{EDCDB10A-4565-462C-9838-2CED1D6D0FB7}" srcOrd="4" destOrd="0" presId="urn:microsoft.com/office/officeart/2005/8/layout/hierarchy3"/>
    <dgm:cxn modelId="{8DCFDBF3-37F4-4F06-9582-8596F6AA864F}" type="presParOf" srcId="{66E3EF2C-69E4-48E9-BCC2-BBC3822F559B}" destId="{8F61EBD2-8666-4FC4-AE18-91E80494F1DB}" srcOrd="5" destOrd="0" presId="urn:microsoft.com/office/officeart/2005/8/layout/hierarchy3"/>
    <dgm:cxn modelId="{91882C9C-89F0-4212-807B-EBAF0A837EFF}" type="presParOf" srcId="{1F1F9640-C288-46AD-9AB7-84A8E4A8E01C}" destId="{57807743-2E0C-42FB-8983-C782CD354118}" srcOrd="3" destOrd="0" presId="urn:microsoft.com/office/officeart/2005/8/layout/hierarchy3"/>
    <dgm:cxn modelId="{3E6D2636-5FEE-4D5E-8B9E-1C9287DD6E18}" type="presParOf" srcId="{57807743-2E0C-42FB-8983-C782CD354118}" destId="{97C25846-8D84-4276-A835-C93DB438A06D}" srcOrd="0" destOrd="0" presId="urn:microsoft.com/office/officeart/2005/8/layout/hierarchy3"/>
    <dgm:cxn modelId="{46028D4B-A3C9-4742-9BB0-CBA163B1FC07}" type="presParOf" srcId="{97C25846-8D84-4276-A835-C93DB438A06D}" destId="{82587C02-6832-4C41-8E13-1B5F26233958}" srcOrd="0" destOrd="0" presId="urn:microsoft.com/office/officeart/2005/8/layout/hierarchy3"/>
    <dgm:cxn modelId="{2BF5250C-A108-478B-83F1-CA298330B280}" type="presParOf" srcId="{97C25846-8D84-4276-A835-C93DB438A06D}" destId="{9A0F5FF0-47F4-44B5-B6BB-F946BA61FD23}" srcOrd="1" destOrd="0" presId="urn:microsoft.com/office/officeart/2005/8/layout/hierarchy3"/>
    <dgm:cxn modelId="{04627C67-5D53-41E7-8107-DABB0CF7D05D}" type="presParOf" srcId="{57807743-2E0C-42FB-8983-C782CD354118}" destId="{0A496140-CF1B-410C-856E-B41A8F42924B}" srcOrd="1" destOrd="0" presId="urn:microsoft.com/office/officeart/2005/8/layout/hierarchy3"/>
    <dgm:cxn modelId="{24FE2860-99D6-4888-A019-13412F781164}" type="presParOf" srcId="{0A496140-CF1B-410C-856E-B41A8F42924B}" destId="{F3B29933-49F7-429E-93CC-A20D864E0016}" srcOrd="0" destOrd="0" presId="urn:microsoft.com/office/officeart/2005/8/layout/hierarchy3"/>
    <dgm:cxn modelId="{1C8A94B9-CB0E-4F42-96B2-F3B088BC9C69}" type="presParOf" srcId="{0A496140-CF1B-410C-856E-B41A8F42924B}" destId="{1FB6BB08-6487-4CF7-B3E8-A75B98E7697C}" srcOrd="1" destOrd="0" presId="urn:microsoft.com/office/officeart/2005/8/layout/hierarchy3"/>
    <dgm:cxn modelId="{E461C860-049E-4EED-B8AC-98019EE03DB6}" type="presParOf" srcId="{0A496140-CF1B-410C-856E-B41A8F42924B}" destId="{534C199A-9BD0-41D2-A21A-01D939A132C7}" srcOrd="2" destOrd="0" presId="urn:microsoft.com/office/officeart/2005/8/layout/hierarchy3"/>
    <dgm:cxn modelId="{D8AD7CBD-E33E-4441-9973-D19A63572EEE}" type="presParOf" srcId="{0A496140-CF1B-410C-856E-B41A8F42924B}" destId="{248FEE5A-6D9E-4A45-816E-DBA573970611}" srcOrd="3" destOrd="0" presId="urn:microsoft.com/office/officeart/2005/8/layout/hierarchy3"/>
    <dgm:cxn modelId="{46AD82EB-0EA7-4CBD-9BB6-8DE4BBBA801E}" type="presParOf" srcId="{0A496140-CF1B-410C-856E-B41A8F42924B}" destId="{013C1FE1-5D2F-4766-9B4D-003DB15D668D}" srcOrd="4" destOrd="0" presId="urn:microsoft.com/office/officeart/2005/8/layout/hierarchy3"/>
    <dgm:cxn modelId="{7D5A3446-F6A8-4F4A-A238-D9D056866CB5}" type="presParOf" srcId="{0A496140-CF1B-410C-856E-B41A8F42924B}" destId="{012E967A-B44C-451A-B08E-577AD1FC2056}" srcOrd="5" destOrd="0" presId="urn:microsoft.com/office/officeart/2005/8/layout/hierarchy3"/>
    <dgm:cxn modelId="{E43A62CC-F5B8-4DE3-A553-B8946FF023F8}" type="presParOf" srcId="{0A496140-CF1B-410C-856E-B41A8F42924B}" destId="{3E1472E8-62E9-496E-B5AC-C0C1D452FA1A}" srcOrd="6" destOrd="0" presId="urn:microsoft.com/office/officeart/2005/8/layout/hierarchy3"/>
    <dgm:cxn modelId="{159A39D0-BD7B-487C-9F01-0E9860322F4D}"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56"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3"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62E9F021-DEE4-4C47-ADBB-0490D167A6FB}" type="presOf" srcId="{08917DD6-E6D8-4F93-96F9-9AE413661FD7}" destId="{7CB6EEEF-072D-4BCD-8E3A-2EB6E6D4691F}" srcOrd="0" destOrd="0" presId="urn:microsoft.com/office/officeart/2005/8/layout/process3"/>
    <dgm:cxn modelId="{EA971F3B-6A3C-4794-81C2-43AF5640A3E6}" type="presOf" srcId="{9C7FDB9A-1E28-448B-AD23-842638D51EE4}" destId="{9E6325A9-7FB6-4466-AD48-288AA80CA171}" srcOrd="1"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0864665A-B17D-4DA3-9462-E0A682FA1D65}" type="presOf" srcId="{184F09D6-0496-4068-8E0A-1A22834C1860}" destId="{0077D386-3F91-492F-8B92-E690E55F931F}" srcOrd="0" destOrd="0" presId="urn:microsoft.com/office/officeart/2005/8/layout/process3"/>
    <dgm:cxn modelId="{E46A46A7-8917-4833-9561-3217EF8E039A}" type="presOf" srcId="{3A882F0C-8D42-4404-BBD8-F43011F54072}" destId="{8AAA3FFE-6A3E-4DD0-9B15-91C4590BB3FD}" srcOrd="0" destOrd="0" presId="urn:microsoft.com/office/officeart/2005/8/layout/process3"/>
    <dgm:cxn modelId="{092916A2-EDF9-457D-8FC4-9F55C6BD9669}" srcId="{B1AA30DA-B575-475B-9584-71F46A06E0D5}" destId="{7900E81C-B946-47AE-A29A-EAA5DA786190}" srcOrd="0" destOrd="0" parTransId="{9AB265E9-E3CE-4908-A806-9D81CFD1A0A0}" sibTransId="{29DC9F0D-3E69-4595-82FE-D52D35322124}"/>
    <dgm:cxn modelId="{DE4EF88C-69D3-4622-92AA-2E1DF31ECC8E}" type="presOf" srcId="{184F09D6-0496-4068-8E0A-1A22834C1860}" destId="{CA65D3F0-64F5-4795-A8B1-9D585B795797}" srcOrd="1" destOrd="0" presId="urn:microsoft.com/office/officeart/2005/8/layout/process3"/>
    <dgm:cxn modelId="{39BB1609-4F1E-4186-8302-FB8BE6479B9F}" type="presOf" srcId="{9C7FDB9A-1E28-448B-AD23-842638D51EE4}" destId="{D91BD819-EF8E-4DDB-9993-0CF5FF377748}" srcOrd="0" destOrd="0" presId="urn:microsoft.com/office/officeart/2005/8/layout/process3"/>
    <dgm:cxn modelId="{180A4846-BFE9-4E4D-BBDE-631182601221}" type="presOf" srcId="{7900E81C-B946-47AE-A29A-EAA5DA786190}" destId="{828CEDD8-7329-480E-ADB5-18EA15ED4738}" srcOrd="0" destOrd="0" presId="urn:microsoft.com/office/officeart/2005/8/layout/process3"/>
    <dgm:cxn modelId="{799264BC-0F4A-4BE0-9997-27176EE2CCBD}" type="presOf" srcId="{B1AA30DA-B575-475B-9584-71F46A06E0D5}" destId="{DA1D2D95-4152-4B68-896F-CF810C074CEB}" srcOrd="1" destOrd="0" presId="urn:microsoft.com/office/officeart/2005/8/layout/process3"/>
    <dgm:cxn modelId="{928CB68A-B53B-41D2-B3A2-05B45EB9ECB4}" type="presOf" srcId="{B1AA30DA-B575-475B-9584-71F46A06E0D5}" destId="{BE078540-DCD3-46BA-B94E-4A90B2F85583}" srcOrd="0" destOrd="0" presId="urn:microsoft.com/office/officeart/2005/8/layout/process3"/>
    <dgm:cxn modelId="{9DF9EBBD-6351-4B24-99E0-E4BDADBA282D}" type="presOf" srcId="{9C477078-0138-42F6-BE21-EFD7C1B87A35}" destId="{253417DA-3C7A-4D4F-9CF9-E37F3AB03025}" srcOrd="0" destOrd="0" presId="urn:microsoft.com/office/officeart/2005/8/layout/process3"/>
    <dgm:cxn modelId="{0EEDC7CF-77EA-40B1-AAE7-4925CB6F1703}" srcId="{9C477078-0138-42F6-BE21-EFD7C1B87A35}" destId="{08917DD6-E6D8-4F93-96F9-9AE413661FD7}" srcOrd="2" destOrd="0" parTransId="{A9976769-4CCB-4CB2-9B09-537436028571}" sibTransId="{344B4B18-9861-4A77-9A92-568F28A6AA70}"/>
    <dgm:cxn modelId="{995D0E83-0B5F-40BB-8AFF-45822E413E4F}" type="presOf" srcId="{23A55E8E-81BD-4339-881B-CC2AD2DF884B}" destId="{A5BEFED6-71A8-4926-9601-615BAC8BE6C0}" srcOrd="1" destOrd="0" presId="urn:microsoft.com/office/officeart/2005/8/layout/process3"/>
    <dgm:cxn modelId="{FB8690CD-B7CD-4CA0-918C-F85538176F70}" type="presOf" srcId="{36FA7172-B048-498F-A7A0-D3056176B173}" destId="{50DB9389-E207-420B-9DAF-30877430ED6F}" srcOrd="0" destOrd="0" presId="urn:microsoft.com/office/officeart/2005/8/layout/process3"/>
    <dgm:cxn modelId="{E7AD1759-C3B1-4928-BCB7-2ED8FD56071A}" srcId="{9C477078-0138-42F6-BE21-EFD7C1B87A35}" destId="{B1AA30DA-B575-475B-9584-71F46A06E0D5}" srcOrd="1" destOrd="0" parTransId="{073ACCCC-3417-417F-A883-662ECF51E8FD}" sibTransId="{9C7FDB9A-1E28-448B-AD23-842638D51EE4}"/>
    <dgm:cxn modelId="{AD8B7350-2931-4925-85E0-C781E62FEA5B}" type="presOf" srcId="{08917DD6-E6D8-4F93-96F9-9AE413661FD7}" destId="{DB1879AD-4DF1-46FD-8EF2-4BE33E3B2E9B}" srcOrd="1" destOrd="0" presId="urn:microsoft.com/office/officeart/2005/8/layout/process3"/>
    <dgm:cxn modelId="{CE750906-974E-4C89-9A20-73F64E5A4783}" type="presOf" srcId="{23A55E8E-81BD-4339-881B-CC2AD2DF884B}" destId="{8319DD56-F110-48CA-AB8C-5EE2E73B3CF2}" srcOrd="0" destOrd="0" presId="urn:microsoft.com/office/officeart/2005/8/layout/process3"/>
    <dgm:cxn modelId="{43F3F9B6-4062-45ED-9F0C-97B4B4B16A1B}" srcId="{184F09D6-0496-4068-8E0A-1A22834C1860}" destId="{3A882F0C-8D42-4404-BBD8-F43011F54072}" srcOrd="0" destOrd="0" parTransId="{17CF2FFF-056B-4F77-9979-2029ECD76DB5}" sibTransId="{10E0B7AF-5192-41A8-8090-2E2B4C68EC84}"/>
    <dgm:cxn modelId="{26AA9079-E1CF-492D-A066-FD5EC10528D0}" srcId="{9C477078-0138-42F6-BE21-EFD7C1B87A35}" destId="{184F09D6-0496-4068-8E0A-1A22834C1860}" srcOrd="0" destOrd="0" parTransId="{35C52963-8CC5-4F58-9C7A-DF236345E5DE}" sibTransId="{23A55E8E-81BD-4339-881B-CC2AD2DF884B}"/>
    <dgm:cxn modelId="{B48365BE-5B35-4D25-83E4-FEE94CE1A5F5}" type="presParOf" srcId="{253417DA-3C7A-4D4F-9CF9-E37F3AB03025}" destId="{FED73002-9A2E-4467-9464-CAA238FD0868}" srcOrd="0" destOrd="0" presId="urn:microsoft.com/office/officeart/2005/8/layout/process3"/>
    <dgm:cxn modelId="{AC7ADD75-06FC-471A-AE7D-1E611E49CDB0}" type="presParOf" srcId="{FED73002-9A2E-4467-9464-CAA238FD0868}" destId="{0077D386-3F91-492F-8B92-E690E55F931F}" srcOrd="0" destOrd="0" presId="urn:microsoft.com/office/officeart/2005/8/layout/process3"/>
    <dgm:cxn modelId="{41FC656A-4F5D-4443-82C7-0874AE0CF52B}" type="presParOf" srcId="{FED73002-9A2E-4467-9464-CAA238FD0868}" destId="{CA65D3F0-64F5-4795-A8B1-9D585B795797}" srcOrd="1" destOrd="0" presId="urn:microsoft.com/office/officeart/2005/8/layout/process3"/>
    <dgm:cxn modelId="{09E39057-79D9-45E5-AE49-67EC518103B6}" type="presParOf" srcId="{FED73002-9A2E-4467-9464-CAA238FD0868}" destId="{8AAA3FFE-6A3E-4DD0-9B15-91C4590BB3FD}" srcOrd="2" destOrd="0" presId="urn:microsoft.com/office/officeart/2005/8/layout/process3"/>
    <dgm:cxn modelId="{4E127B4E-2301-406D-9F63-5F554CAB9C77}" type="presParOf" srcId="{253417DA-3C7A-4D4F-9CF9-E37F3AB03025}" destId="{8319DD56-F110-48CA-AB8C-5EE2E73B3CF2}" srcOrd="1" destOrd="0" presId="urn:microsoft.com/office/officeart/2005/8/layout/process3"/>
    <dgm:cxn modelId="{D28CB57F-0D95-4F20-AFE5-4D55C49FF4E9}" type="presParOf" srcId="{8319DD56-F110-48CA-AB8C-5EE2E73B3CF2}" destId="{A5BEFED6-71A8-4926-9601-615BAC8BE6C0}" srcOrd="0" destOrd="0" presId="urn:microsoft.com/office/officeart/2005/8/layout/process3"/>
    <dgm:cxn modelId="{A142E9C6-1018-4766-A2B0-5FF7762069AA}" type="presParOf" srcId="{253417DA-3C7A-4D4F-9CF9-E37F3AB03025}" destId="{9676B65C-D24F-4B18-8BEF-CC71E24C3908}" srcOrd="2" destOrd="0" presId="urn:microsoft.com/office/officeart/2005/8/layout/process3"/>
    <dgm:cxn modelId="{A80CDB56-642C-4C2F-9980-2E8D02EFB675}" type="presParOf" srcId="{9676B65C-D24F-4B18-8BEF-CC71E24C3908}" destId="{BE078540-DCD3-46BA-B94E-4A90B2F85583}" srcOrd="0" destOrd="0" presId="urn:microsoft.com/office/officeart/2005/8/layout/process3"/>
    <dgm:cxn modelId="{C2A7A095-CD15-4861-81AB-32267068C823}" type="presParOf" srcId="{9676B65C-D24F-4B18-8BEF-CC71E24C3908}" destId="{DA1D2D95-4152-4B68-896F-CF810C074CEB}" srcOrd="1" destOrd="0" presId="urn:microsoft.com/office/officeart/2005/8/layout/process3"/>
    <dgm:cxn modelId="{91B678DE-4396-4F8D-B386-9A9F476F2AB8}" type="presParOf" srcId="{9676B65C-D24F-4B18-8BEF-CC71E24C3908}" destId="{828CEDD8-7329-480E-ADB5-18EA15ED4738}" srcOrd="2" destOrd="0" presId="urn:microsoft.com/office/officeart/2005/8/layout/process3"/>
    <dgm:cxn modelId="{ED14A73A-DB97-4370-A453-58F41013C0B2}" type="presParOf" srcId="{253417DA-3C7A-4D4F-9CF9-E37F3AB03025}" destId="{D91BD819-EF8E-4DDB-9993-0CF5FF377748}" srcOrd="3" destOrd="0" presId="urn:microsoft.com/office/officeart/2005/8/layout/process3"/>
    <dgm:cxn modelId="{39F0D9FA-63AE-4A98-A496-E62791F9F4AD}" type="presParOf" srcId="{D91BD819-EF8E-4DDB-9993-0CF5FF377748}" destId="{9E6325A9-7FB6-4466-AD48-288AA80CA171}" srcOrd="0" destOrd="0" presId="urn:microsoft.com/office/officeart/2005/8/layout/process3"/>
    <dgm:cxn modelId="{30E4A3B8-F66A-4DE6-87F6-E40DF6AFA8BD}" type="presParOf" srcId="{253417DA-3C7A-4D4F-9CF9-E37F3AB03025}" destId="{95690EB1-E01A-42F9-8C82-0F2AD4A630B0}" srcOrd="4" destOrd="0" presId="urn:microsoft.com/office/officeart/2005/8/layout/process3"/>
    <dgm:cxn modelId="{E60317E5-1D63-4E29-82F3-7CAF0BF2A384}" type="presParOf" srcId="{95690EB1-E01A-42F9-8C82-0F2AD4A630B0}" destId="{7CB6EEEF-072D-4BCD-8E3A-2EB6E6D4691F}" srcOrd="0" destOrd="0" presId="urn:microsoft.com/office/officeart/2005/8/layout/process3"/>
    <dgm:cxn modelId="{30D2C1F5-753A-4140-89D3-F1E4B774EBE9}" type="presParOf" srcId="{95690EB1-E01A-42F9-8C82-0F2AD4A630B0}" destId="{DB1879AD-4DF1-46FD-8EF2-4BE33E3B2E9B}" srcOrd="1" destOrd="0" presId="urn:microsoft.com/office/officeart/2005/8/layout/process3"/>
    <dgm:cxn modelId="{7F36548F-AC51-4C41-92A2-ADB38343880E}"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61"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4"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9B070D0F-FF84-4728-9285-5CED526E6322}" type="presOf" srcId="{B687F9D2-60C4-4FDD-BFAB-DE3D4CF4B288}" destId="{CC611393-C414-41EF-BBB4-2815096F4DC5}" srcOrd="0" destOrd="0" presId="urn:microsoft.com/office/officeart/2005/8/layout/hierarchy5"/>
    <dgm:cxn modelId="{57A55218-2469-4239-84D2-B5C3E70B9C87}" type="presOf" srcId="{DA8F9260-771F-482C-AB4C-D9E10BED41DD}" destId="{1E2F6ECE-D6E0-43C5-99E8-8B883DA64F12}" srcOrd="0" destOrd="0" presId="urn:microsoft.com/office/officeart/2005/8/layout/hierarchy5"/>
    <dgm:cxn modelId="{D9AA4848-1B67-4E7B-ABA6-2BD0368936DA}" type="presOf" srcId="{6F00C8B3-053B-475A-9149-FC2CE33EEAD9}" destId="{7291108B-17AD-4842-956F-151D0BB3BB1A}" srcOrd="0" destOrd="0" presId="urn:microsoft.com/office/officeart/2005/8/layout/hierarchy5"/>
    <dgm:cxn modelId="{CAA250C8-8D7F-4420-8E0A-54D49121D3B4}" type="presOf" srcId="{24AB0021-31A2-4340-97B8-6A7A3DDFAAB0}" destId="{3B771773-CCED-471A-9B23-0FC6B9C88217}" srcOrd="1" destOrd="0" presId="urn:microsoft.com/office/officeart/2005/8/layout/hierarchy5"/>
    <dgm:cxn modelId="{99F5A0CD-DF5D-4233-9A74-34874924A842}" type="presOf" srcId="{CF7688FF-755F-436B-AAEE-8F6EA1A38009}" destId="{EB67461C-16A3-460D-B8D2-B2498DA118E9}" srcOrd="0" destOrd="0" presId="urn:microsoft.com/office/officeart/2005/8/layout/hierarchy5"/>
    <dgm:cxn modelId="{F1E59403-9940-4F65-B74D-B50AF4763268}" type="presOf" srcId="{E7A3F93D-4582-4ACB-9A57-37BDD2E7174D}" destId="{5A43C87B-5509-4BD7-B5D7-1045E3FAA765}" srcOrd="1" destOrd="0" presId="urn:microsoft.com/office/officeart/2005/8/layout/hierarchy5"/>
    <dgm:cxn modelId="{0DEBD606-D8DA-484D-9D9D-6DA746F2E454}" type="presOf" srcId="{807D3367-48AA-4245-8A4C-FDEB6E0E0273}" destId="{26E4C35B-98AC-4722-86BB-18B5B7911F81}" srcOrd="1" destOrd="0" presId="urn:microsoft.com/office/officeart/2005/8/layout/hierarchy5"/>
    <dgm:cxn modelId="{6A96819B-50C0-46FC-BACC-AC16F6C8F6C3}" type="presOf" srcId="{807D3367-48AA-4245-8A4C-FDEB6E0E0273}" destId="{4038A261-4552-438D-80AB-045F8AC73A15}" srcOrd="0" destOrd="0" presId="urn:microsoft.com/office/officeart/2005/8/layout/hierarchy5"/>
    <dgm:cxn modelId="{E3F1722E-AD70-426B-94EA-7853304FF828}" type="presOf" srcId="{DEB7761E-ADED-471D-AF1C-099A3FFC1A15}" destId="{844C18A6-F391-4BF3-BAD3-BBC6F4906C6E}" srcOrd="1" destOrd="0" presId="urn:microsoft.com/office/officeart/2005/8/layout/hierarchy5"/>
    <dgm:cxn modelId="{C730524B-F7F4-4E45-B602-81DDD64FFC50}" type="presOf" srcId="{D6ACDCA1-4497-48F5-B031-F9CB8613EA0E}" destId="{320F455B-F22B-4E48-8DAB-9262AFE75F55}" srcOrd="0" destOrd="0" presId="urn:microsoft.com/office/officeart/2005/8/layout/hierarchy5"/>
    <dgm:cxn modelId="{D9F8DE50-F46C-4BA0-8270-BDEB3AE3D5E5}" type="presOf" srcId="{90895CC1-B185-4193-835C-776717C9F9AE}" destId="{38B31B77-6D4C-40D8-8A23-B7AFF19537D3}" srcOrd="0"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51D6F1E7-4A08-40EB-9A42-9EEB6A20906C}" type="presOf" srcId="{DEB7761E-ADED-471D-AF1C-099A3FFC1A15}" destId="{6FCECECF-2349-4B8A-BBC6-20648F9AD1FD}" srcOrd="0" destOrd="0" presId="urn:microsoft.com/office/officeart/2005/8/layout/hierarchy5"/>
    <dgm:cxn modelId="{203468DD-450B-44D0-99F6-139EBA15B187}" type="presOf" srcId="{737056D5-12B2-4C9C-ACD0-9B5451957F82}" destId="{E87576AB-3BCB-442B-9841-BB3D7257150A}" srcOrd="0" destOrd="0" presId="urn:microsoft.com/office/officeart/2005/8/layout/hierarchy5"/>
    <dgm:cxn modelId="{B4491FFC-E336-466A-B05F-8E6ECB0157F9}" srcId="{D6ACDCA1-4497-48F5-B031-F9CB8613EA0E}" destId="{B687F9D2-60C4-4FDD-BFAB-DE3D4CF4B288}" srcOrd="1" destOrd="0" parTransId="{CF7688FF-755F-436B-AAEE-8F6EA1A38009}" sibTransId="{30619E51-7189-43A1-9003-0964EF24AB2F}"/>
    <dgm:cxn modelId="{66488529-D2A5-47F1-8039-BAD410840536}" srcId="{737056D5-12B2-4C9C-ACD0-9B5451957F82}" destId="{90895CC1-B185-4193-835C-776717C9F9AE}" srcOrd="3" destOrd="0" parTransId="{35BBCEE6-E5BA-4E38-BA35-45483F17571B}" sibTransId="{1AA15834-7095-46CC-A25E-D4BD780ED1D7}"/>
    <dgm:cxn modelId="{304D5416-6E71-4ABB-95AE-AECD2B8F4E93}" srcId="{DA8F9260-771F-482C-AB4C-D9E10BED41DD}" destId="{D6ACDCA1-4497-48F5-B031-F9CB8613EA0E}" srcOrd="0" destOrd="0" parTransId="{DEB7761E-ADED-471D-AF1C-099A3FFC1A15}" sibTransId="{04E00C70-1245-4236-B7A6-3E852FFCB368}"/>
    <dgm:cxn modelId="{C47BE45A-6F2A-42B2-8AFB-658DC0B4D550}" type="presOf" srcId="{E7A3F93D-4582-4ACB-9A57-37BDD2E7174D}" destId="{0FAF4E42-4691-4A18-A119-5FA71AE2A68F}" srcOrd="0" destOrd="0" presId="urn:microsoft.com/office/officeart/2005/8/layout/hierarchy5"/>
    <dgm:cxn modelId="{AFF6E1DF-C9C0-4B70-8684-1434E65CE99E}" type="presOf" srcId="{90895CC1-B185-4193-835C-776717C9F9AE}" destId="{10C8763F-686A-4F00-920E-938AC0500574}" srcOrd="1"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A053500F-D5EA-44EF-B704-09EF24D09202}" srcId="{737056D5-12B2-4C9C-ACD0-9B5451957F82}" destId="{807D3367-48AA-4245-8A4C-FDEB6E0E0273}" srcOrd="1" destOrd="0" parTransId="{F9432177-FD1D-4204-B066-65C34672A6E1}" sibTransId="{45A5AD75-F52D-4561-84F1-8631F3414C0A}"/>
    <dgm:cxn modelId="{86F5A597-1F5D-491C-992F-701898A5E8BF}" srcId="{737056D5-12B2-4C9C-ACD0-9B5451957F82}" destId="{DA8F9260-771F-482C-AB4C-D9E10BED41DD}" srcOrd="0" destOrd="0" parTransId="{D0EA3CFB-D204-416D-88DF-B51C38A80EB4}" sibTransId="{182E229A-50C8-44DA-84C1-D08FF9EC3C51}"/>
    <dgm:cxn modelId="{B42B030E-1BA5-4D08-BAEE-F6EC4214DAC5}" type="presOf" srcId="{CF7688FF-755F-436B-AAEE-8F6EA1A38009}" destId="{4751C373-5312-4309-B226-DF3863D0C7EB}" srcOrd="1" destOrd="0" presId="urn:microsoft.com/office/officeart/2005/8/layout/hierarchy5"/>
    <dgm:cxn modelId="{01E658DE-FC94-4089-BB7A-CF0A3E44CA88}" type="presOf" srcId="{24AB0021-31A2-4340-97B8-6A7A3DDFAAB0}" destId="{4CAEADFC-44EB-4657-B2E2-8FAA4345DBC6}" srcOrd="0" destOrd="0" presId="urn:microsoft.com/office/officeart/2005/8/layout/hierarchy5"/>
    <dgm:cxn modelId="{DA25433B-64CC-4F48-AF25-14648C19B488}" type="presParOf" srcId="{E87576AB-3BCB-442B-9841-BB3D7257150A}" destId="{4AA82B94-2C66-4011-A81B-35EB7B577BFE}" srcOrd="0" destOrd="0" presId="urn:microsoft.com/office/officeart/2005/8/layout/hierarchy5"/>
    <dgm:cxn modelId="{9204106F-64DC-4425-ADE6-47E163DAA99F}" type="presParOf" srcId="{4AA82B94-2C66-4011-A81B-35EB7B577BFE}" destId="{75022553-FCF5-4907-BA7B-79356311313C}" srcOrd="0" destOrd="0" presId="urn:microsoft.com/office/officeart/2005/8/layout/hierarchy5"/>
    <dgm:cxn modelId="{B511A5B1-2C17-4779-B1A1-8172EB09177A}" type="presParOf" srcId="{4AA82B94-2C66-4011-A81B-35EB7B577BFE}" destId="{5DE87D43-2CA8-4397-B4BC-8336EAED8779}" srcOrd="1" destOrd="0" presId="urn:microsoft.com/office/officeart/2005/8/layout/hierarchy5"/>
    <dgm:cxn modelId="{BCA0A4F2-E109-4C1E-9A49-7A66B880C507}" type="presParOf" srcId="{5DE87D43-2CA8-4397-B4BC-8336EAED8779}" destId="{966EBD11-182E-47B9-B683-475DADB7D264}" srcOrd="0" destOrd="0" presId="urn:microsoft.com/office/officeart/2005/8/layout/hierarchy5"/>
    <dgm:cxn modelId="{FA0B8531-FD5A-4E01-A923-5800013068A5}" type="presParOf" srcId="{966EBD11-182E-47B9-B683-475DADB7D264}" destId="{1E2F6ECE-D6E0-43C5-99E8-8B883DA64F12}" srcOrd="0" destOrd="0" presId="urn:microsoft.com/office/officeart/2005/8/layout/hierarchy5"/>
    <dgm:cxn modelId="{F2BB3289-8A9C-408C-947A-4C8CF69591D7}" type="presParOf" srcId="{966EBD11-182E-47B9-B683-475DADB7D264}" destId="{0F9FCA66-0A27-49BF-9ABF-D6F795CD5669}" srcOrd="1" destOrd="0" presId="urn:microsoft.com/office/officeart/2005/8/layout/hierarchy5"/>
    <dgm:cxn modelId="{6437C31B-DF64-460C-82E4-C83C299D7F89}" type="presParOf" srcId="{0F9FCA66-0A27-49BF-9ABF-D6F795CD5669}" destId="{6FCECECF-2349-4B8A-BBC6-20648F9AD1FD}" srcOrd="0" destOrd="0" presId="urn:microsoft.com/office/officeart/2005/8/layout/hierarchy5"/>
    <dgm:cxn modelId="{1A2287A4-7395-4E06-8450-045CD098B0D8}" type="presParOf" srcId="{6FCECECF-2349-4B8A-BBC6-20648F9AD1FD}" destId="{844C18A6-F391-4BF3-BAD3-BBC6F4906C6E}" srcOrd="0" destOrd="0" presId="urn:microsoft.com/office/officeart/2005/8/layout/hierarchy5"/>
    <dgm:cxn modelId="{07D52C75-D2A7-4320-B961-DA9D6266287C}" type="presParOf" srcId="{0F9FCA66-0A27-49BF-9ABF-D6F795CD5669}" destId="{9A4C3116-5915-4A3F-A068-38C88AE12402}" srcOrd="1" destOrd="0" presId="urn:microsoft.com/office/officeart/2005/8/layout/hierarchy5"/>
    <dgm:cxn modelId="{10E26D5F-0BF3-41BB-B252-1999A0724306}" type="presParOf" srcId="{9A4C3116-5915-4A3F-A068-38C88AE12402}" destId="{320F455B-F22B-4E48-8DAB-9262AFE75F55}" srcOrd="0" destOrd="0" presId="urn:microsoft.com/office/officeart/2005/8/layout/hierarchy5"/>
    <dgm:cxn modelId="{AB0AD69D-1A02-41A0-BB7B-5546853604B8}" type="presParOf" srcId="{9A4C3116-5915-4A3F-A068-38C88AE12402}" destId="{435B1597-6C00-47B2-A98D-E11DBD095715}" srcOrd="1" destOrd="0" presId="urn:microsoft.com/office/officeart/2005/8/layout/hierarchy5"/>
    <dgm:cxn modelId="{8635DD01-5947-499F-BDB8-78B1FAF97FE3}" type="presParOf" srcId="{435B1597-6C00-47B2-A98D-E11DBD095715}" destId="{4CAEADFC-44EB-4657-B2E2-8FAA4345DBC6}" srcOrd="0" destOrd="0" presId="urn:microsoft.com/office/officeart/2005/8/layout/hierarchy5"/>
    <dgm:cxn modelId="{CA43BAB3-34CC-4AEF-8413-03BB01B8D36B}" type="presParOf" srcId="{4CAEADFC-44EB-4657-B2E2-8FAA4345DBC6}" destId="{3B771773-CCED-471A-9B23-0FC6B9C88217}" srcOrd="0" destOrd="0" presId="urn:microsoft.com/office/officeart/2005/8/layout/hierarchy5"/>
    <dgm:cxn modelId="{2FCDABA7-71A0-421C-8C74-325774E088F6}" type="presParOf" srcId="{435B1597-6C00-47B2-A98D-E11DBD095715}" destId="{9A492DAE-9C44-4C23-B1F3-552330803BE7}" srcOrd="1" destOrd="0" presId="urn:microsoft.com/office/officeart/2005/8/layout/hierarchy5"/>
    <dgm:cxn modelId="{E4F3B4C7-F9E7-428E-9C06-B60536DC20C9}" type="presParOf" srcId="{9A492DAE-9C44-4C23-B1F3-552330803BE7}" destId="{7291108B-17AD-4842-956F-151D0BB3BB1A}" srcOrd="0" destOrd="0" presId="urn:microsoft.com/office/officeart/2005/8/layout/hierarchy5"/>
    <dgm:cxn modelId="{040EB25A-52A4-4F61-B3F1-5048B0CFD50E}" type="presParOf" srcId="{9A492DAE-9C44-4C23-B1F3-552330803BE7}" destId="{B59CA529-B665-42F7-ACF4-50A3567A2E01}" srcOrd="1" destOrd="0" presId="urn:microsoft.com/office/officeart/2005/8/layout/hierarchy5"/>
    <dgm:cxn modelId="{286B6C4F-B69C-46DC-9325-FD2C88A5C216}" type="presParOf" srcId="{435B1597-6C00-47B2-A98D-E11DBD095715}" destId="{EB67461C-16A3-460D-B8D2-B2498DA118E9}" srcOrd="2" destOrd="0" presId="urn:microsoft.com/office/officeart/2005/8/layout/hierarchy5"/>
    <dgm:cxn modelId="{8C82941B-9E1C-46C4-B612-DFDE28C18F7B}" type="presParOf" srcId="{EB67461C-16A3-460D-B8D2-B2498DA118E9}" destId="{4751C373-5312-4309-B226-DF3863D0C7EB}" srcOrd="0" destOrd="0" presId="urn:microsoft.com/office/officeart/2005/8/layout/hierarchy5"/>
    <dgm:cxn modelId="{51C5F8F3-6AEF-491E-97C3-9FDFE937B0FA}" type="presParOf" srcId="{435B1597-6C00-47B2-A98D-E11DBD095715}" destId="{CDEFA32C-F6CD-433C-B5B1-567452EA0E6F}" srcOrd="3" destOrd="0" presId="urn:microsoft.com/office/officeart/2005/8/layout/hierarchy5"/>
    <dgm:cxn modelId="{7861CBF7-F41B-42CA-B36D-8387182B7F9A}" type="presParOf" srcId="{CDEFA32C-F6CD-433C-B5B1-567452EA0E6F}" destId="{CC611393-C414-41EF-BBB4-2815096F4DC5}" srcOrd="0" destOrd="0" presId="urn:microsoft.com/office/officeart/2005/8/layout/hierarchy5"/>
    <dgm:cxn modelId="{AEDC7547-4DB4-4632-AD48-DF88301D3B76}" type="presParOf" srcId="{CDEFA32C-F6CD-433C-B5B1-567452EA0E6F}" destId="{33616961-73B9-48ED-99C7-46E482278553}" srcOrd="1" destOrd="0" presId="urn:microsoft.com/office/officeart/2005/8/layout/hierarchy5"/>
    <dgm:cxn modelId="{D133D79C-D586-46E8-B949-C9D95B1B80B9}" type="presParOf" srcId="{E87576AB-3BCB-442B-9841-BB3D7257150A}" destId="{0CADABC5-A522-47AE-815F-C15C5DAAC8F0}" srcOrd="1" destOrd="0" presId="urn:microsoft.com/office/officeart/2005/8/layout/hierarchy5"/>
    <dgm:cxn modelId="{51308DBA-77D0-4FC5-9A0D-676C373F628A}" type="presParOf" srcId="{0CADABC5-A522-47AE-815F-C15C5DAAC8F0}" destId="{192D684F-3731-48F3-872E-AD9DF40EF75E}" srcOrd="0" destOrd="0" presId="urn:microsoft.com/office/officeart/2005/8/layout/hierarchy5"/>
    <dgm:cxn modelId="{E0B94A7A-7ECF-4A5A-B9DC-D53F962538F7}" type="presParOf" srcId="{192D684F-3731-48F3-872E-AD9DF40EF75E}" destId="{4038A261-4552-438D-80AB-045F8AC73A15}" srcOrd="0" destOrd="0" presId="urn:microsoft.com/office/officeart/2005/8/layout/hierarchy5"/>
    <dgm:cxn modelId="{58EA0975-9569-488B-B075-288E05110933}" type="presParOf" srcId="{192D684F-3731-48F3-872E-AD9DF40EF75E}" destId="{26E4C35B-98AC-4722-86BB-18B5B7911F81}" srcOrd="1" destOrd="0" presId="urn:microsoft.com/office/officeart/2005/8/layout/hierarchy5"/>
    <dgm:cxn modelId="{8BAD7CE4-D357-462E-B327-2A9BCFD7F233}" type="presParOf" srcId="{0CADABC5-A522-47AE-815F-C15C5DAAC8F0}" destId="{8D6D22F3-BB5C-4FCB-8AFC-37C32A814FEF}" srcOrd="1" destOrd="0" presId="urn:microsoft.com/office/officeart/2005/8/layout/hierarchy5"/>
    <dgm:cxn modelId="{A3810907-F40B-4AAA-ACD7-1F6D6E5C4AE5}" type="presParOf" srcId="{8D6D22F3-BB5C-4FCB-8AFC-37C32A814FEF}" destId="{AB6D2CF8-30A0-4631-A021-2E1B5DC7D34C}" srcOrd="0" destOrd="0" presId="urn:microsoft.com/office/officeart/2005/8/layout/hierarchy5"/>
    <dgm:cxn modelId="{B815213A-7117-4E9C-9ED3-CCCBD792429D}" type="presParOf" srcId="{0CADABC5-A522-47AE-815F-C15C5DAAC8F0}" destId="{E5557B1E-8C47-47FF-BDC7-EFAF4C355872}" srcOrd="2" destOrd="0" presId="urn:microsoft.com/office/officeart/2005/8/layout/hierarchy5"/>
    <dgm:cxn modelId="{CAAA47EF-CE91-4F24-BC49-2B9DCB91B3A3}" type="presParOf" srcId="{E5557B1E-8C47-47FF-BDC7-EFAF4C355872}" destId="{0FAF4E42-4691-4A18-A119-5FA71AE2A68F}" srcOrd="0" destOrd="0" presId="urn:microsoft.com/office/officeart/2005/8/layout/hierarchy5"/>
    <dgm:cxn modelId="{CBCD6969-6745-484F-AB00-5ABFACD526BD}" type="presParOf" srcId="{E5557B1E-8C47-47FF-BDC7-EFAF4C355872}" destId="{5A43C87B-5509-4BD7-B5D7-1045E3FAA765}" srcOrd="1" destOrd="0" presId="urn:microsoft.com/office/officeart/2005/8/layout/hierarchy5"/>
    <dgm:cxn modelId="{17B4901F-BA6C-4009-88C8-E20820A70C2B}" type="presParOf" srcId="{0CADABC5-A522-47AE-815F-C15C5DAAC8F0}" destId="{DC594982-8336-433E-821E-8D50DD45AF90}" srcOrd="3" destOrd="0" presId="urn:microsoft.com/office/officeart/2005/8/layout/hierarchy5"/>
    <dgm:cxn modelId="{35E769B0-7F22-4FDD-A2CB-8B6B641862A4}" type="presParOf" srcId="{DC594982-8336-433E-821E-8D50DD45AF90}" destId="{E28F4F56-663F-49A9-9407-854D2D4310E2}" srcOrd="0" destOrd="0" presId="urn:microsoft.com/office/officeart/2005/8/layout/hierarchy5"/>
    <dgm:cxn modelId="{8637B37A-C87D-4213-9891-1A6E3E1DD65C}" type="presParOf" srcId="{0CADABC5-A522-47AE-815F-C15C5DAAC8F0}" destId="{0823E4F5-83FF-49F4-8806-C2BBB69175BC}" srcOrd="4" destOrd="0" presId="urn:microsoft.com/office/officeart/2005/8/layout/hierarchy5"/>
    <dgm:cxn modelId="{D3AA14DC-4EDD-47DE-85BB-11BCFD45E596}" type="presParOf" srcId="{0823E4F5-83FF-49F4-8806-C2BBB69175BC}" destId="{38B31B77-6D4C-40D8-8A23-B7AFF19537D3}" srcOrd="0" destOrd="0" presId="urn:microsoft.com/office/officeart/2005/8/layout/hierarchy5"/>
    <dgm:cxn modelId="{A3C50F87-2B0F-4EBA-8192-BF3EAF7DCECD}"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66"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5"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877BE803-B7A2-4A37-AECE-94318ED61204}" srcId="{336FA3FA-03E1-44A0-8D6B-6EC4478580AE}" destId="{2ED7A402-C3B0-4A08-8E2D-3FE366596360}" srcOrd="2" destOrd="0" parTransId="{87D300A9-F32A-4750-82D8-FBE0632A26E1}" sibTransId="{4EBE54AC-776C-4308-874C-04BB120E07F6}"/>
    <dgm:cxn modelId="{5DA401AD-FF60-47B2-BDF2-D0283E1AEABD}" type="presOf" srcId="{1B216959-69EA-4C9C-A374-87115743EDAD}" destId="{57F073C6-DDAB-47AF-AFB5-5A85C8EFF66A}" srcOrd="0" destOrd="0" presId="urn:microsoft.com/office/officeart/2005/8/layout/funnel1"/>
    <dgm:cxn modelId="{FBD5EFE3-F214-4E3B-B683-7651F61A3F57}" srcId="{336FA3FA-03E1-44A0-8D6B-6EC4478580AE}" destId="{0AE6A0CA-F45F-43EB-B1F8-E353D316A847}" srcOrd="1" destOrd="0" parTransId="{786DDBA4-B253-46DC-BAAF-82E5B5E09CD7}" sibTransId="{AB32432A-2864-4A74-A534-04E73885E90C}"/>
    <dgm:cxn modelId="{D0DDDC64-BD1F-4963-8A05-97B9E9FC5D76}" type="presOf" srcId="{2ED7A402-C3B0-4A08-8E2D-3FE366596360}" destId="{CBAB4B21-DEEB-4483-9CD0-2ABC75742AB2}" srcOrd="0" destOrd="0" presId="urn:microsoft.com/office/officeart/2005/8/layout/funnel1"/>
    <dgm:cxn modelId="{F6E2743F-CFAD-47EC-9D83-228A9413FDD9}" type="presOf" srcId="{0AE6A0CA-F45F-43EB-B1F8-E353D316A847}" destId="{41E4966F-8BEA-4D32-849B-27885D5CFF05}" srcOrd="0" destOrd="0" presId="urn:microsoft.com/office/officeart/2005/8/layout/funnel1"/>
    <dgm:cxn modelId="{D5B9E4C6-0EDE-4839-85D6-08238B5129C4}" type="presOf" srcId="{336FA3FA-03E1-44A0-8D6B-6EC4478580AE}" destId="{23B94970-2C73-42A6-9323-FB6936B11E72}"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2C5B3C3D-A0F3-46C2-BA7C-5A9615B6DC36}" type="presParOf" srcId="{23B94970-2C73-42A6-9323-FB6936B11E72}" destId="{0B3C16AE-EF35-4E2F-84CA-09F99FBE34C4}" srcOrd="0" destOrd="0" presId="urn:microsoft.com/office/officeart/2005/8/layout/funnel1"/>
    <dgm:cxn modelId="{10D5C1B2-5FA1-4330-821B-619D1CEAB008}" type="presParOf" srcId="{23B94970-2C73-42A6-9323-FB6936B11E72}" destId="{3A35614E-BF55-4EFE-81E9-9BFAE23A59F6}" srcOrd="1" destOrd="0" presId="urn:microsoft.com/office/officeart/2005/8/layout/funnel1"/>
    <dgm:cxn modelId="{D0BC8352-50F7-4103-9384-940CD9E747AE}" type="presParOf" srcId="{23B94970-2C73-42A6-9323-FB6936B11E72}" destId="{CBAB4B21-DEEB-4483-9CD0-2ABC75742AB2}" srcOrd="2" destOrd="0" presId="urn:microsoft.com/office/officeart/2005/8/layout/funnel1"/>
    <dgm:cxn modelId="{BFEC39FD-7623-40F0-8933-6E14C2B4E023}" type="presParOf" srcId="{23B94970-2C73-42A6-9323-FB6936B11E72}" destId="{41E4966F-8BEA-4D32-849B-27885D5CFF05}" srcOrd="3" destOrd="0" presId="urn:microsoft.com/office/officeart/2005/8/layout/funnel1"/>
    <dgm:cxn modelId="{DF23C413-A5A6-4C0F-80FF-503D1B6E4EEE}" type="presParOf" srcId="{23B94970-2C73-42A6-9323-FB6936B11E72}" destId="{57F073C6-DDAB-47AF-AFB5-5A85C8EFF66A}" srcOrd="4" destOrd="0" presId="urn:microsoft.com/office/officeart/2005/8/layout/funnel1"/>
    <dgm:cxn modelId="{4AD2C46D-6446-4F27-A279-AB0322D78274}"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71"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1" qsCatId="simple" csTypeId="urn:microsoft.com/office/officeart/2005/8/colors/accent1_2#6"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F8F2C526-1DC5-4921-8371-08BF926CCCDC}" type="presOf" srcId="{DCE39AB7-C496-48A8-8682-FC12035DFCCD}" destId="{B67E1932-F360-4B0D-81E2-B1EF6C3554B3}" srcOrd="0" destOrd="0" presId="urn:microsoft.com/office/officeart/2005/8/layout/hChevron3"/>
    <dgm:cxn modelId="{7FC15AA1-65D3-43EC-A1BE-D670BA218D8B}" type="presOf" srcId="{D1C6AC21-5971-408D-AD5A-2B08FE855EE7}" destId="{3793961A-9F15-4F30-8A9F-7F31DAE3CE1D}" srcOrd="0" destOrd="0" presId="urn:microsoft.com/office/officeart/2005/8/layout/hChevron3"/>
    <dgm:cxn modelId="{141FCD19-32BF-4444-BD55-0277F927F49F}" srcId="{D1C6AC21-5971-408D-AD5A-2B08FE855EE7}" destId="{94A38A07-FA8A-4E04-BA83-DEC6755D5A71}" srcOrd="2" destOrd="0" parTransId="{07E790B4-B545-4672-94A3-ECBDBB2F599B}" sibTransId="{9ADEA58A-2669-44B8-B31C-1894033DF6FB}"/>
    <dgm:cxn modelId="{A742BA24-3530-482C-8CF2-D5B0F10BFA66}" srcId="{D1C6AC21-5971-408D-AD5A-2B08FE855EE7}" destId="{AA28C24F-6F62-4D62-A319-C07269758961}" srcOrd="1" destOrd="0" parTransId="{496B66A4-9CF2-4EF5-8509-23E85CC12505}" sibTransId="{9B7C0AF5-C132-465F-9D89-B91A299959FA}"/>
    <dgm:cxn modelId="{103028FE-0727-41E8-BDE6-264E4831A8F2}" type="presOf" srcId="{94A38A07-FA8A-4E04-BA83-DEC6755D5A71}" destId="{0402E29A-96C8-4E1F-90FC-726FFA2C37A7}" srcOrd="0" destOrd="0" presId="urn:microsoft.com/office/officeart/2005/8/layout/hChevron3"/>
    <dgm:cxn modelId="{CF1C6044-5943-4913-83B7-3AAD1205FBEE}" srcId="{D1C6AC21-5971-408D-AD5A-2B08FE855EE7}" destId="{DCE39AB7-C496-48A8-8682-FC12035DFCCD}" srcOrd="0" destOrd="0" parTransId="{BB4D75C1-AE26-4668-B71E-D022417ABF64}" sibTransId="{55CC02F1-77D1-4BAE-BB58-1DCD06A99930}"/>
    <dgm:cxn modelId="{50690740-594A-43BD-A53E-9277D71514A7}" type="presOf" srcId="{AA28C24F-6F62-4D62-A319-C07269758961}" destId="{C02368D3-3D2F-4216-8700-A8A716D08BA9}" srcOrd="0" destOrd="0" presId="urn:microsoft.com/office/officeart/2005/8/layout/hChevron3"/>
    <dgm:cxn modelId="{053DF1FD-B13E-4EFB-9D57-B85287F220AA}" type="presParOf" srcId="{3793961A-9F15-4F30-8A9F-7F31DAE3CE1D}" destId="{B67E1932-F360-4B0D-81E2-B1EF6C3554B3}" srcOrd="0" destOrd="0" presId="urn:microsoft.com/office/officeart/2005/8/layout/hChevron3"/>
    <dgm:cxn modelId="{417D5CF5-B1C5-4EB3-B175-81FD1D8E8210}" type="presParOf" srcId="{3793961A-9F15-4F30-8A9F-7F31DAE3CE1D}" destId="{91CF2F43-5EC9-430D-AC88-C2A133E95324}" srcOrd="1" destOrd="0" presId="urn:microsoft.com/office/officeart/2005/8/layout/hChevron3"/>
    <dgm:cxn modelId="{B6CA5B9B-7D4D-4E79-8E19-2D06248B3FE0}" type="presParOf" srcId="{3793961A-9F15-4F30-8A9F-7F31DAE3CE1D}" destId="{C02368D3-3D2F-4216-8700-A8A716D08BA9}" srcOrd="2" destOrd="0" presId="urn:microsoft.com/office/officeart/2005/8/layout/hChevron3"/>
    <dgm:cxn modelId="{DCE6021A-0725-427B-9518-D19D3EED88B1}" type="presParOf" srcId="{3793961A-9F15-4F30-8A9F-7F31DAE3CE1D}" destId="{EE7BC35C-3C61-4A60-B814-5B686CF945F4}" srcOrd="3" destOrd="0" presId="urn:microsoft.com/office/officeart/2005/8/layout/hChevron3"/>
    <dgm:cxn modelId="{445A1A64-F886-4C34-A04F-635197D699D0}"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81"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3d2" qsCatId="3D" csTypeId="urn:microsoft.com/office/officeart/2005/8/colors/accent1_2#7" csCatId="accent1" phldr="1"/>
      <dgm:spPr/>
      <dgm:t>
        <a:bodyPr/>
        <a:lstStyle/>
        <a:p>
          <a:endParaRPr lang="sk-SK"/>
        </a:p>
      </dgm:t>
    </dgm:pt>
    <dgm:pt modelId="{944F26D9-7F96-4DB4-B04A-78AEF668FBF1}">
      <dgm:prSet phldrT="[Text]"/>
      <dgm:spPr>
        <a:xfrm>
          <a:off x="2701" y="123960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Doručenie ŽoNFP na RO</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022016"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doručená riadne, včas a vo forme určenej RO</a:t>
          </a:r>
        </a:p>
      </dgm:t>
    </dgm:pt>
    <dgm:pt modelId="{E6F583D6-BFCD-4309-BC3D-AB025072092D}" type="parTrans" cxnId="{61C8D132-C156-4030-94FA-1377A80BD870}">
      <dgm:prSet/>
      <dgm:spPr>
        <a:xfrm rot="19457599">
          <a:off x="1378286" y="1372578"/>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4041330"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Registrácia doručenej ŽoNFP</a:t>
          </a:r>
        </a:p>
      </dgm:t>
    </dgm:pt>
    <dgm:pt modelId="{ED473CB6-6C03-4FC1-8247-2DF0DE310D2B}" type="parTrans" cxnId="{DE748A73-7419-439B-851B-FD04F9BB4270}">
      <dgm:prSet/>
      <dgm:spPr>
        <a:xfrm>
          <a:off x="3464383" y="1165238"/>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4041330"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Rozhodnutie o zastavení konania</a:t>
          </a:r>
        </a:p>
      </dgm:t>
    </dgm:pt>
    <dgm:pt modelId="{9145A07A-811F-45C6-B050-199CE61FC63A}" type="parTrans" cxnId="{3F2E756C-B7A2-4123-A5B8-B2A34DAB5360}">
      <dgm:prSet/>
      <dgm:spPr>
        <a:xfrm>
          <a:off x="3464383" y="1994599"/>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022016"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nie je doručená riadne a/alebo včas a /alebo vo forme určenej RO</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2142401">
          <a:off x="1378286" y="1787259"/>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2"/>
      <dgm:spPr>
        <a:custGeom>
          <a:avLst/>
          <a:gdLst/>
          <a:ahLst/>
          <a:cxnLst/>
          <a:rect l="0" t="0" r="0" b="0"/>
          <a:pathLst>
            <a:path>
              <a:moveTo>
                <a:pt x="0" y="20280"/>
              </a:moveTo>
              <a:lnTo>
                <a:pt x="710512" y="20280"/>
              </a:lnTo>
            </a:path>
          </a:pathLst>
        </a:custGeom>
      </dgm:spPr>
      <dgm:t>
        <a:bodyPr/>
        <a:lstStyle/>
        <a:p>
          <a:endParaRPr lang="sk-SK"/>
        </a:p>
      </dgm:t>
    </dgm:pt>
    <dgm:pt modelId="{12563E7A-00DB-4F31-AAF3-149D17702F39}" type="pres">
      <dgm:prSet presAssocID="{E6F583D6-BFCD-4309-BC3D-AB025072092D}" presName="connTx" presStyleLbl="parChTrans1D2" presStyleIdx="0" presStyleCnt="2"/>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2"/>
      <dgm:spPr>
        <a:custGeom>
          <a:avLst/>
          <a:gdLst/>
          <a:ahLst/>
          <a:cxnLst/>
          <a:rect l="0" t="0" r="0" b="0"/>
          <a:pathLst>
            <a:path>
              <a:moveTo>
                <a:pt x="0" y="20280"/>
              </a:moveTo>
              <a:lnTo>
                <a:pt x="576947" y="20280"/>
              </a:lnTo>
            </a:path>
          </a:pathLst>
        </a:custGeom>
      </dgm:spPr>
      <dgm:t>
        <a:bodyPr/>
        <a:lstStyle/>
        <a:p>
          <a:endParaRPr lang="sk-SK"/>
        </a:p>
      </dgm:t>
    </dgm:pt>
    <dgm:pt modelId="{59218CF9-3552-428F-8741-4650099ABC2A}" type="pres">
      <dgm:prSet presAssocID="{ED473CB6-6C03-4FC1-8247-2DF0DE310D2B}" presName="connTx" presStyleLbl="parChTrans1D3" presStyleIdx="0" presStyleCnt="2"/>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2">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2"/>
      <dgm:spPr>
        <a:custGeom>
          <a:avLst/>
          <a:gdLst/>
          <a:ahLst/>
          <a:cxnLst/>
          <a:rect l="0" t="0" r="0" b="0"/>
          <a:pathLst>
            <a:path>
              <a:moveTo>
                <a:pt x="0" y="20280"/>
              </a:moveTo>
              <a:lnTo>
                <a:pt x="710512" y="20280"/>
              </a:lnTo>
            </a:path>
          </a:pathLst>
        </a:custGeom>
      </dgm:spPr>
      <dgm:t>
        <a:bodyPr/>
        <a:lstStyle/>
        <a:p>
          <a:endParaRPr lang="sk-SK"/>
        </a:p>
      </dgm:t>
    </dgm:pt>
    <dgm:pt modelId="{83EEA1C7-16B8-4E1E-BAEC-63AF42807367}" type="pres">
      <dgm:prSet presAssocID="{A50926C5-B053-4609-8A13-791A81FEF030}" presName="connTx" presStyleLbl="parChTrans1D2" presStyleIdx="1" presStyleCnt="2"/>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2"/>
      <dgm:spPr>
        <a:custGeom>
          <a:avLst/>
          <a:gdLst/>
          <a:ahLst/>
          <a:cxnLst/>
          <a:rect l="0" t="0" r="0" b="0"/>
          <a:pathLst>
            <a:path>
              <a:moveTo>
                <a:pt x="0" y="20280"/>
              </a:moveTo>
              <a:lnTo>
                <a:pt x="576947" y="20280"/>
              </a:lnTo>
            </a:path>
          </a:pathLst>
        </a:custGeom>
      </dgm:spPr>
      <dgm:t>
        <a:bodyPr/>
        <a:lstStyle/>
        <a:p>
          <a:endParaRPr lang="sk-SK"/>
        </a:p>
      </dgm:t>
    </dgm:pt>
    <dgm:pt modelId="{C68D7FD7-A0C2-46F9-A596-669DD0E67FB8}" type="pres">
      <dgm:prSet presAssocID="{9145A07A-811F-45C6-B050-199CE61FC63A}" presName="connTx" presStyleLbl="parChTrans1D3" presStyleIdx="1" presStyleCnt="2"/>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2">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Lst>
  <dgm:cxnLst>
    <dgm:cxn modelId="{C5A5101E-9615-47AA-9611-CA9B9B780FB1}" type="presOf" srcId="{ED473CB6-6C03-4FC1-8247-2DF0DE310D2B}" destId="{CBA1ED5A-2759-433B-93A9-1BF9D50BA01A}" srcOrd="0" destOrd="0" presId="urn:microsoft.com/office/officeart/2005/8/layout/hierarchy2"/>
    <dgm:cxn modelId="{2E9DDB9C-8324-4610-B8BB-A02096E86029}" type="presOf" srcId="{A50926C5-B053-4609-8A13-791A81FEF030}" destId="{2D7347FF-F8E2-485E-B0C2-A750C56F748E}" srcOrd="0" destOrd="0" presId="urn:microsoft.com/office/officeart/2005/8/layout/hierarchy2"/>
    <dgm:cxn modelId="{3779FA2B-10AA-4C70-AC78-8E0A4EB5A220}" type="presOf" srcId="{E6B6B3F7-6451-4D7F-A364-10EF151E2758}" destId="{08CA2AB2-5D3C-47AF-AD71-274655C10F0B}" srcOrd="0" destOrd="0" presId="urn:microsoft.com/office/officeart/2005/8/layout/hierarchy2"/>
    <dgm:cxn modelId="{CBC19D90-CDE3-4307-9EBD-ABB68CBC6343}" type="presOf" srcId="{C9D81C3F-2C66-4278-8C48-7DFA19012DC8}" destId="{158FBC8E-B874-4663-9094-01DA4CF1E41D}"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5DF506E3-DF20-4381-A2E7-FA06C654FB3B}" type="presOf" srcId="{944F26D9-7F96-4DB4-B04A-78AEF668FBF1}" destId="{34C8C88C-7B05-494C-8715-A318FBC9A223}" srcOrd="0" destOrd="0" presId="urn:microsoft.com/office/officeart/2005/8/layout/hierarchy2"/>
    <dgm:cxn modelId="{96EE1F3D-6077-4A7E-9DE5-AA671C3301C3}" type="presOf" srcId="{9145A07A-811F-45C6-B050-199CE61FC63A}" destId="{C68D7FD7-A0C2-46F9-A596-669DD0E67FB8}" srcOrd="1" destOrd="0" presId="urn:microsoft.com/office/officeart/2005/8/layout/hierarchy2"/>
    <dgm:cxn modelId="{9633613B-96B3-43DF-A319-B9374B771019}" type="presOf" srcId="{9145A07A-811F-45C6-B050-199CE61FC63A}" destId="{4ED72815-A081-4CEB-9EDA-E9A661596D18}" srcOrd="0" destOrd="0" presId="urn:microsoft.com/office/officeart/2005/8/layout/hierarchy2"/>
    <dgm:cxn modelId="{C476CEF9-092D-41D0-9A9F-409E5839A245}" type="presOf" srcId="{7D154B1A-EE5B-4B32-BB4C-6E18C99E86F1}" destId="{E5C3F144-3AB1-4041-A4FB-8B06B9600829}" srcOrd="0" destOrd="0" presId="urn:microsoft.com/office/officeart/2005/8/layout/hierarchy2"/>
    <dgm:cxn modelId="{D2FB3DE9-3BA8-4B2F-9D88-42FA3F848B64}" type="presOf" srcId="{B9797B78-C7BB-43F8-9DFB-E8FA153469F7}" destId="{BFEB0746-1559-4AB8-9186-D3C71FF6CD71}"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1174FFAA-F210-4B20-9E09-B18444870EDB}" srcId="{944F26D9-7F96-4DB4-B04A-78AEF668FBF1}" destId="{FA1CC950-E7B5-4DDF-AB45-BAD15C0A3234}" srcOrd="1" destOrd="0" parTransId="{A50926C5-B053-4609-8A13-791A81FEF030}" sibTransId="{2AD902F7-731C-4E64-AD4C-55363E59C96E}"/>
    <dgm:cxn modelId="{417B985E-AD20-463B-A726-17E03F9754C3}" type="presOf" srcId="{ED473CB6-6C03-4FC1-8247-2DF0DE310D2B}" destId="{59218CF9-3552-428F-8741-4650099ABC2A}" srcOrd="1" destOrd="0" presId="urn:microsoft.com/office/officeart/2005/8/layout/hierarchy2"/>
    <dgm:cxn modelId="{6B7C4F9D-9A00-41D1-A876-1C9ABFF919A3}" type="presOf" srcId="{A50926C5-B053-4609-8A13-791A81FEF030}" destId="{83EEA1C7-16B8-4E1E-BAEC-63AF42807367}" srcOrd="1" destOrd="0" presId="urn:microsoft.com/office/officeart/2005/8/layout/hierarchy2"/>
    <dgm:cxn modelId="{9CACD166-B7D6-4133-9806-204675573596}" type="presOf" srcId="{FA1CC950-E7B5-4DDF-AB45-BAD15C0A3234}" destId="{6898A610-2F97-4B55-9A9B-3F73A1FD27CD}" srcOrd="0" destOrd="0" presId="urn:microsoft.com/office/officeart/2005/8/layout/hierarchy2"/>
    <dgm:cxn modelId="{3F2E756C-B7A2-4123-A5B8-B2A34DAB5360}" srcId="{FA1CC950-E7B5-4DDF-AB45-BAD15C0A3234}" destId="{7D154B1A-EE5B-4B32-BB4C-6E18C99E86F1}" srcOrd="0" destOrd="0" parTransId="{9145A07A-811F-45C6-B050-199CE61FC63A}" sibTransId="{533209A1-4660-4E5C-9FAC-39AFBFBC6CCC}"/>
    <dgm:cxn modelId="{5C232654-E752-46B6-B520-173C00B05273}" type="presOf" srcId="{E6F583D6-BFCD-4309-BC3D-AB025072092D}" destId="{58329EFC-43E5-4A70-A631-E56F9E671367}" srcOrd="0" destOrd="0" presId="urn:microsoft.com/office/officeart/2005/8/layout/hierarchy2"/>
    <dgm:cxn modelId="{61C8D132-C156-4030-94FA-1377A80BD870}" srcId="{944F26D9-7F96-4DB4-B04A-78AEF668FBF1}" destId="{E6B6B3F7-6451-4D7F-A364-10EF151E2758}" srcOrd="0" destOrd="0" parTransId="{E6F583D6-BFCD-4309-BC3D-AB025072092D}" sibTransId="{BE7661F7-95E7-4916-BB3D-FBED36E99B54}"/>
    <dgm:cxn modelId="{7F00D482-3992-4C3A-A149-8574C671CCA6}" type="presOf" srcId="{E6F583D6-BFCD-4309-BC3D-AB025072092D}" destId="{12563E7A-00DB-4F31-AAF3-149D17702F39}" srcOrd="1" destOrd="0" presId="urn:microsoft.com/office/officeart/2005/8/layout/hierarchy2"/>
    <dgm:cxn modelId="{986CC80C-3980-4B37-BCAC-A9E344F8666D}" type="presParOf" srcId="{BFEB0746-1559-4AB8-9186-D3C71FF6CD71}" destId="{24B839F0-2081-47A9-A7EF-D86295866233}" srcOrd="0" destOrd="0" presId="urn:microsoft.com/office/officeart/2005/8/layout/hierarchy2"/>
    <dgm:cxn modelId="{2C7959FD-1232-45B3-B647-B173998166C7}" type="presParOf" srcId="{24B839F0-2081-47A9-A7EF-D86295866233}" destId="{34C8C88C-7B05-494C-8715-A318FBC9A223}" srcOrd="0" destOrd="0" presId="urn:microsoft.com/office/officeart/2005/8/layout/hierarchy2"/>
    <dgm:cxn modelId="{AD8BD092-3B77-406C-A903-6A5BED61AB05}" type="presParOf" srcId="{24B839F0-2081-47A9-A7EF-D86295866233}" destId="{E40CBC4D-C4A7-459F-A631-5463B4932592}" srcOrd="1" destOrd="0" presId="urn:microsoft.com/office/officeart/2005/8/layout/hierarchy2"/>
    <dgm:cxn modelId="{1130E14D-E556-448E-ABB2-9D6BDF6ED5C2}" type="presParOf" srcId="{E40CBC4D-C4A7-459F-A631-5463B4932592}" destId="{58329EFC-43E5-4A70-A631-E56F9E671367}" srcOrd="0" destOrd="0" presId="urn:microsoft.com/office/officeart/2005/8/layout/hierarchy2"/>
    <dgm:cxn modelId="{E67FE893-E0D2-41FA-BF6D-74C0EE34FDEE}" type="presParOf" srcId="{58329EFC-43E5-4A70-A631-E56F9E671367}" destId="{12563E7A-00DB-4F31-AAF3-149D17702F39}" srcOrd="0" destOrd="0" presId="urn:microsoft.com/office/officeart/2005/8/layout/hierarchy2"/>
    <dgm:cxn modelId="{133CF942-908A-4D39-B164-4991C426868B}" type="presParOf" srcId="{E40CBC4D-C4A7-459F-A631-5463B4932592}" destId="{CC62871F-A219-4C33-BC01-57007904F49F}" srcOrd="1" destOrd="0" presId="urn:microsoft.com/office/officeart/2005/8/layout/hierarchy2"/>
    <dgm:cxn modelId="{7446579C-94CB-4334-9BCB-9A49B10A4630}" type="presParOf" srcId="{CC62871F-A219-4C33-BC01-57007904F49F}" destId="{08CA2AB2-5D3C-47AF-AD71-274655C10F0B}" srcOrd="0" destOrd="0" presId="urn:microsoft.com/office/officeart/2005/8/layout/hierarchy2"/>
    <dgm:cxn modelId="{A9F5A67D-8BA4-4ACB-9674-274D2DF7CAF2}" type="presParOf" srcId="{CC62871F-A219-4C33-BC01-57007904F49F}" destId="{7D0128D5-2D9A-488A-A7D6-84E9F9EA0B8C}" srcOrd="1" destOrd="0" presId="urn:microsoft.com/office/officeart/2005/8/layout/hierarchy2"/>
    <dgm:cxn modelId="{263DABFA-575A-44F4-B03E-A7C536AB5A3C}" type="presParOf" srcId="{7D0128D5-2D9A-488A-A7D6-84E9F9EA0B8C}" destId="{CBA1ED5A-2759-433B-93A9-1BF9D50BA01A}" srcOrd="0" destOrd="0" presId="urn:microsoft.com/office/officeart/2005/8/layout/hierarchy2"/>
    <dgm:cxn modelId="{391B7C51-D75C-4633-ADF5-A16F780EC4AE}" type="presParOf" srcId="{CBA1ED5A-2759-433B-93A9-1BF9D50BA01A}" destId="{59218CF9-3552-428F-8741-4650099ABC2A}" srcOrd="0" destOrd="0" presId="urn:microsoft.com/office/officeart/2005/8/layout/hierarchy2"/>
    <dgm:cxn modelId="{CF803E16-FD2E-465A-A634-8200A8EF014C}" type="presParOf" srcId="{7D0128D5-2D9A-488A-A7D6-84E9F9EA0B8C}" destId="{14A3D0CB-DF40-4C4E-99B8-8C0DCC6AF979}" srcOrd="1" destOrd="0" presId="urn:microsoft.com/office/officeart/2005/8/layout/hierarchy2"/>
    <dgm:cxn modelId="{CEE8B1D9-5F9D-403E-90E1-A227E44912DC}" type="presParOf" srcId="{14A3D0CB-DF40-4C4E-99B8-8C0DCC6AF979}" destId="{158FBC8E-B874-4663-9094-01DA4CF1E41D}" srcOrd="0" destOrd="0" presId="urn:microsoft.com/office/officeart/2005/8/layout/hierarchy2"/>
    <dgm:cxn modelId="{B702F52B-707C-4B5E-B21A-6E2309A374A9}" type="presParOf" srcId="{14A3D0CB-DF40-4C4E-99B8-8C0DCC6AF979}" destId="{38193445-3EC9-483F-BFFF-0656AAD5BC06}" srcOrd="1" destOrd="0" presId="urn:microsoft.com/office/officeart/2005/8/layout/hierarchy2"/>
    <dgm:cxn modelId="{5AE62B21-3241-4374-8316-E32639B26F81}" type="presParOf" srcId="{E40CBC4D-C4A7-459F-A631-5463B4932592}" destId="{2D7347FF-F8E2-485E-B0C2-A750C56F748E}" srcOrd="2" destOrd="0" presId="urn:microsoft.com/office/officeart/2005/8/layout/hierarchy2"/>
    <dgm:cxn modelId="{5439A546-A11C-4763-A03B-9CC12D2120BA}" type="presParOf" srcId="{2D7347FF-F8E2-485E-B0C2-A750C56F748E}" destId="{83EEA1C7-16B8-4E1E-BAEC-63AF42807367}" srcOrd="0" destOrd="0" presId="urn:microsoft.com/office/officeart/2005/8/layout/hierarchy2"/>
    <dgm:cxn modelId="{F85BFFA6-0FFC-4720-8F51-DEC56D405A9F}" type="presParOf" srcId="{E40CBC4D-C4A7-459F-A631-5463B4932592}" destId="{852B9484-AFC6-4B70-816C-4AB5C48F0014}" srcOrd="3" destOrd="0" presId="urn:microsoft.com/office/officeart/2005/8/layout/hierarchy2"/>
    <dgm:cxn modelId="{1AEC586E-A796-4A17-AB87-3DBADC656F6B}" type="presParOf" srcId="{852B9484-AFC6-4B70-816C-4AB5C48F0014}" destId="{6898A610-2F97-4B55-9A9B-3F73A1FD27CD}" srcOrd="0" destOrd="0" presId="urn:microsoft.com/office/officeart/2005/8/layout/hierarchy2"/>
    <dgm:cxn modelId="{8E70DF81-B397-4D96-A9A5-2ACB8216A135}" type="presParOf" srcId="{852B9484-AFC6-4B70-816C-4AB5C48F0014}" destId="{01A81BB0-3E19-4C72-9D4A-4ACDC93C3FC9}" srcOrd="1" destOrd="0" presId="urn:microsoft.com/office/officeart/2005/8/layout/hierarchy2"/>
    <dgm:cxn modelId="{BDFFF563-EA03-4E7F-951B-BC9F9B80E2B9}" type="presParOf" srcId="{01A81BB0-3E19-4C72-9D4A-4ACDC93C3FC9}" destId="{4ED72815-A081-4CEB-9EDA-E9A661596D18}" srcOrd="0" destOrd="0" presId="urn:microsoft.com/office/officeart/2005/8/layout/hierarchy2"/>
    <dgm:cxn modelId="{C9DDF874-F206-421E-BB20-2D17C26349E2}" type="presParOf" srcId="{4ED72815-A081-4CEB-9EDA-E9A661596D18}" destId="{C68D7FD7-A0C2-46F9-A596-669DD0E67FB8}" srcOrd="0" destOrd="0" presId="urn:microsoft.com/office/officeart/2005/8/layout/hierarchy2"/>
    <dgm:cxn modelId="{0C6524FD-900A-47BA-B6C0-E8813DB77B1F}" type="presParOf" srcId="{01A81BB0-3E19-4C72-9D4A-4ACDC93C3FC9}" destId="{BD06DAAA-6BD6-470A-9E72-21D7243D3509}" srcOrd="1" destOrd="0" presId="urn:microsoft.com/office/officeart/2005/8/layout/hierarchy2"/>
    <dgm:cxn modelId="{0D09A7B5-A02A-43D2-8397-425CEDE1D67D}" type="presParOf" srcId="{BD06DAAA-6BD6-470A-9E72-21D7243D3509}" destId="{E5C3F144-3AB1-4041-A4FB-8B06B9600829}" srcOrd="0" destOrd="0" presId="urn:microsoft.com/office/officeart/2005/8/layout/hierarchy2"/>
    <dgm:cxn modelId="{395F2039-4D3A-45C8-8A45-1C5DE3582889}" type="presParOf" srcId="{BD06DAAA-6BD6-470A-9E72-21D7243D3509}" destId="{2A292003-FA94-4CC0-9426-6E6A74D4A18A}" srcOrd="1" destOrd="0" presId="urn:microsoft.com/office/officeart/2005/8/layout/hierarchy2"/>
  </dgm:cxnLst>
  <dgm:bg/>
  <dgm:whole/>
  <dgm:extLst>
    <a:ext uri="http://schemas.microsoft.com/office/drawing/2008/diagram">
      <dsp:dataModelExt xmlns:dsp="http://schemas.microsoft.com/office/drawing/2008/diagram" relId="rId86"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8"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E6D7BE26-151A-4C65-9543-E0CDA86095A0}" type="presOf" srcId="{ED8E9678-3C26-42D4-B253-912AB3FA2FAE}" destId="{50E4F072-7931-4998-B0BB-3D071C4FAC98}" srcOrd="1" destOrd="0" presId="urn:microsoft.com/office/officeart/2005/8/layout/hierarchy2"/>
    <dgm:cxn modelId="{33D0C32D-4DD6-44E1-A17C-35ED37A80F7F}" type="presOf" srcId="{FA1CC950-E7B5-4DDF-AB45-BAD15C0A3234}" destId="{6898A610-2F97-4B55-9A9B-3F73A1FD27CD}" srcOrd="0" destOrd="0" presId="urn:microsoft.com/office/officeart/2005/8/layout/hierarchy2"/>
    <dgm:cxn modelId="{196A7F28-E189-49D2-845F-372C5367E5CA}" srcId="{ECA2D14E-E2DE-4087-9C5D-8046ADCA7E57}" destId="{DB7129B6-2D08-4FC8-A646-CE4FE2518898}" srcOrd="1" destOrd="0" parTransId="{4361B38E-C5B1-4165-A7C1-D86294193BFB}" sibTransId="{934177E2-2057-4498-AF13-53C992354198}"/>
    <dgm:cxn modelId="{F19FEC6D-8FD8-4833-AACF-0324F5DB3552}" type="presOf" srcId="{9145A07A-811F-45C6-B050-199CE61FC63A}" destId="{4ED72815-A081-4CEB-9EDA-E9A661596D18}" srcOrd="0" destOrd="0" presId="urn:microsoft.com/office/officeart/2005/8/layout/hierarchy2"/>
    <dgm:cxn modelId="{3CA0D3BE-DE6A-460B-893D-813F8847E87E}" srcId="{944F26D9-7F96-4DB4-B04A-78AEF668FBF1}" destId="{ECA2D14E-E2DE-4087-9C5D-8046ADCA7E57}" srcOrd="2" destOrd="0" parTransId="{5F01D628-F2ED-4511-8F5C-5EE028124AFF}" sibTransId="{F17A4CE5-B5EE-4ECC-BB1D-7B8D79EA77C8}"/>
    <dgm:cxn modelId="{9254BC29-DC54-4E72-99DB-798AD8548826}" type="presOf" srcId="{E6F583D6-BFCD-4309-BC3D-AB025072092D}" destId="{58329EFC-43E5-4A70-A631-E56F9E671367}" srcOrd="0" destOrd="0" presId="urn:microsoft.com/office/officeart/2005/8/layout/hierarchy2"/>
    <dgm:cxn modelId="{1174FFAA-F210-4B20-9E09-B18444870EDB}" srcId="{944F26D9-7F96-4DB4-B04A-78AEF668FBF1}" destId="{FA1CC950-E7B5-4DDF-AB45-BAD15C0A3234}" srcOrd="1" destOrd="0" parTransId="{A50926C5-B053-4609-8A13-791A81FEF030}" sibTransId="{2AD902F7-731C-4E64-AD4C-55363E59C96E}"/>
    <dgm:cxn modelId="{C1ADEFC1-A411-4401-AD3F-E59BC64B9D15}" type="presOf" srcId="{E6B6B3F7-6451-4D7F-A364-10EF151E2758}" destId="{08CA2AB2-5D3C-47AF-AD71-274655C10F0B}"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69E9D72A-BFE9-4456-8589-B1AE227B1D8D}" type="presOf" srcId="{4361B38E-C5B1-4165-A7C1-D86294193BFB}" destId="{F5811782-242A-4CDF-AC22-C0B702E520F0}" srcOrd="1" destOrd="0" presId="urn:microsoft.com/office/officeart/2005/8/layout/hierarchy2"/>
    <dgm:cxn modelId="{3F2E756C-B7A2-4123-A5B8-B2A34DAB5360}" srcId="{FA1CC950-E7B5-4DDF-AB45-BAD15C0A3234}" destId="{7D154B1A-EE5B-4B32-BB4C-6E18C99E86F1}" srcOrd="0" destOrd="0" parTransId="{9145A07A-811F-45C6-B050-199CE61FC63A}" sibTransId="{533209A1-4660-4E5C-9FAC-39AFBFBC6CCC}"/>
    <dgm:cxn modelId="{4C93318D-53BC-4929-8E7F-C1A9994616D1}" type="presOf" srcId="{3D9FCB0A-4AC9-40BE-B2AB-25A68E4EB363}" destId="{1240CE2A-12EF-4101-909B-DBE20E9DA603}"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6D3765E0-E812-4938-A95D-0BBD20BF7AF0}" type="presOf" srcId="{A50926C5-B053-4609-8A13-791A81FEF030}" destId="{2D7347FF-F8E2-485E-B0C2-A750C56F748E}" srcOrd="0" destOrd="0" presId="urn:microsoft.com/office/officeart/2005/8/layout/hierarchy2"/>
    <dgm:cxn modelId="{A90EC046-CC66-43F3-9887-0D1E28D8F796}" type="presOf" srcId="{4361B38E-C5B1-4165-A7C1-D86294193BFB}" destId="{BD8DE141-6F33-41CA-A362-12945E62E9B5}" srcOrd="0" destOrd="0" presId="urn:microsoft.com/office/officeart/2005/8/layout/hierarchy2"/>
    <dgm:cxn modelId="{BBC803DD-7AF4-4F72-BB7C-FE14BAB41E2C}" type="presOf" srcId="{5F01D628-F2ED-4511-8F5C-5EE028124AFF}" destId="{38EB2FAB-C7D0-4D8F-95C2-0EE881BF55E5}" srcOrd="0" destOrd="0" presId="urn:microsoft.com/office/officeart/2005/8/layout/hierarchy2"/>
    <dgm:cxn modelId="{DB9E56BC-3A99-49AE-9A28-F8CDEF7EC63A}" type="presOf" srcId="{19C30D0F-140C-4FC9-A167-300BCC4B663B}" destId="{7569289F-F9A0-4BEB-937E-A66C6C7EFC35}" srcOrd="0" destOrd="0" presId="urn:microsoft.com/office/officeart/2005/8/layout/hierarchy2"/>
    <dgm:cxn modelId="{E56C9234-EFAA-46C7-AFB1-86A021BCDDF3}" type="presOf" srcId="{ED8E9678-3C26-42D4-B253-912AB3FA2FAE}" destId="{B7B412FC-52A0-4445-B27F-521261890E22}" srcOrd="0" destOrd="0" presId="urn:microsoft.com/office/officeart/2005/8/layout/hierarchy2"/>
    <dgm:cxn modelId="{75839BC7-2063-4D1A-8E63-E9C3E5E46439}" type="presOf" srcId="{A50926C5-B053-4609-8A13-791A81FEF030}" destId="{83EEA1C7-16B8-4E1E-BAEC-63AF42807367}" srcOrd="1" destOrd="0" presId="urn:microsoft.com/office/officeart/2005/8/layout/hierarchy2"/>
    <dgm:cxn modelId="{C6953774-8B26-4BD0-97FF-1960AEF0F04E}" type="presOf" srcId="{ECA2D14E-E2DE-4087-9C5D-8046ADCA7E57}" destId="{8DDBB6C2-FDBD-4EC2-8B16-FB97A5BEC13C}" srcOrd="0" destOrd="0" presId="urn:microsoft.com/office/officeart/2005/8/layout/hierarchy2"/>
    <dgm:cxn modelId="{30BE7B12-5734-4DFC-AD93-EA5646AFC541}" type="presOf" srcId="{ED473CB6-6C03-4FC1-8247-2DF0DE310D2B}" destId="{59218CF9-3552-428F-8741-4650099ABC2A}" srcOrd="1" destOrd="0" presId="urn:microsoft.com/office/officeart/2005/8/layout/hierarchy2"/>
    <dgm:cxn modelId="{300307AC-BB28-42F0-917A-AF61964E6685}" type="presOf" srcId="{944F26D9-7F96-4DB4-B04A-78AEF668FBF1}" destId="{34C8C88C-7B05-494C-8715-A318FBC9A223}" srcOrd="0" destOrd="0" presId="urn:microsoft.com/office/officeart/2005/8/layout/hierarchy2"/>
    <dgm:cxn modelId="{EE82292C-064D-489A-A44E-C99DEFE02B4A}" type="presOf" srcId="{5F01D628-F2ED-4511-8F5C-5EE028124AFF}" destId="{1891BE2D-2DE2-48D3-A0A0-8A5CBE00E2BC}" srcOrd="1"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0AE5C5C5-0041-46D6-A47B-CD800A433E64}" type="presOf" srcId="{9145A07A-811F-45C6-B050-199CE61FC63A}" destId="{C68D7FD7-A0C2-46F9-A596-669DD0E67FB8}" srcOrd="1" destOrd="0" presId="urn:microsoft.com/office/officeart/2005/8/layout/hierarchy2"/>
    <dgm:cxn modelId="{61C8D132-C156-4030-94FA-1377A80BD870}" srcId="{944F26D9-7F96-4DB4-B04A-78AEF668FBF1}" destId="{E6B6B3F7-6451-4D7F-A364-10EF151E2758}" srcOrd="0" destOrd="0" parTransId="{E6F583D6-BFCD-4309-BC3D-AB025072092D}" sibTransId="{BE7661F7-95E7-4916-BB3D-FBED36E99B54}"/>
    <dgm:cxn modelId="{D41E447D-36CD-4258-9554-75870B68D8A6}" type="presOf" srcId="{E6F583D6-BFCD-4309-BC3D-AB025072092D}" destId="{12563E7A-00DB-4F31-AAF3-149D17702F39}" srcOrd="1" destOrd="0" presId="urn:microsoft.com/office/officeart/2005/8/layout/hierarchy2"/>
    <dgm:cxn modelId="{91BF8714-9D1D-4230-83DC-7818A26D5E40}" type="presOf" srcId="{7D154B1A-EE5B-4B32-BB4C-6E18C99E86F1}" destId="{E5C3F144-3AB1-4041-A4FB-8B06B9600829}" srcOrd="0" destOrd="0" presId="urn:microsoft.com/office/officeart/2005/8/layout/hierarchy2"/>
    <dgm:cxn modelId="{6BC65787-058B-4FDF-8C83-1E042B5070C8}" type="presOf" srcId="{ED473CB6-6C03-4FC1-8247-2DF0DE310D2B}" destId="{CBA1ED5A-2759-433B-93A9-1BF9D50BA01A}" srcOrd="0" destOrd="0" presId="urn:microsoft.com/office/officeart/2005/8/layout/hierarchy2"/>
    <dgm:cxn modelId="{8B61F658-FA74-4C52-9FD2-F53C8DEA7EE1}" type="presOf" srcId="{B9797B78-C7BB-43F8-9DFB-E8FA153469F7}" destId="{BFEB0746-1559-4AB8-9186-D3C71FF6CD71}" srcOrd="0" destOrd="0" presId="urn:microsoft.com/office/officeart/2005/8/layout/hierarchy2"/>
    <dgm:cxn modelId="{17A68450-27C7-40B8-9AEA-B2C5C30647AB}" type="presOf" srcId="{5BDC688A-2392-4FEA-A247-C3F560443780}" destId="{49BFA34C-9A01-485D-80DB-164D95FDE7D7}" srcOrd="0" destOrd="0" presId="urn:microsoft.com/office/officeart/2005/8/layout/hierarchy2"/>
    <dgm:cxn modelId="{4B259B07-BCE3-47AE-A4BD-D045EEBD76B8}" type="presOf" srcId="{5BDC688A-2392-4FEA-A247-C3F560443780}" destId="{7101A089-C9D6-4889-B812-52A0BB21EF3F}" srcOrd="1" destOrd="0" presId="urn:microsoft.com/office/officeart/2005/8/layout/hierarchy2"/>
    <dgm:cxn modelId="{DB0BFFF9-D8A0-4AA0-82C3-E8B7DA463486}" type="presOf" srcId="{C9D81C3F-2C66-4278-8C48-7DFA19012DC8}" destId="{158FBC8E-B874-4663-9094-01DA4CF1E41D}"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B6ECC9A1-F499-4700-A973-1CC264996986}" type="presOf" srcId="{DB7129B6-2D08-4FC8-A646-CE4FE2518898}" destId="{71FC0E61-F591-486B-920A-552B564125B5}" srcOrd="0" destOrd="0" presId="urn:microsoft.com/office/officeart/2005/8/layout/hierarchy2"/>
    <dgm:cxn modelId="{BAD402BE-CFDA-412F-A90E-9CCE04900468}" type="presParOf" srcId="{BFEB0746-1559-4AB8-9186-D3C71FF6CD71}" destId="{24B839F0-2081-47A9-A7EF-D86295866233}" srcOrd="0" destOrd="0" presId="urn:microsoft.com/office/officeart/2005/8/layout/hierarchy2"/>
    <dgm:cxn modelId="{889046BD-DFD6-4318-8217-D182F602AA09}" type="presParOf" srcId="{24B839F0-2081-47A9-A7EF-D86295866233}" destId="{34C8C88C-7B05-494C-8715-A318FBC9A223}" srcOrd="0" destOrd="0" presId="urn:microsoft.com/office/officeart/2005/8/layout/hierarchy2"/>
    <dgm:cxn modelId="{F7DEF3A7-D378-49A1-99F0-6297D30EED6B}" type="presParOf" srcId="{24B839F0-2081-47A9-A7EF-D86295866233}" destId="{E40CBC4D-C4A7-459F-A631-5463B4932592}" srcOrd="1" destOrd="0" presId="urn:microsoft.com/office/officeart/2005/8/layout/hierarchy2"/>
    <dgm:cxn modelId="{C89241C6-4E03-4A22-BEE5-A75368714F6F}" type="presParOf" srcId="{E40CBC4D-C4A7-459F-A631-5463B4932592}" destId="{58329EFC-43E5-4A70-A631-E56F9E671367}" srcOrd="0" destOrd="0" presId="urn:microsoft.com/office/officeart/2005/8/layout/hierarchy2"/>
    <dgm:cxn modelId="{DD0554B5-C302-438B-AECB-FAE928FEA319}" type="presParOf" srcId="{58329EFC-43E5-4A70-A631-E56F9E671367}" destId="{12563E7A-00DB-4F31-AAF3-149D17702F39}" srcOrd="0" destOrd="0" presId="urn:microsoft.com/office/officeart/2005/8/layout/hierarchy2"/>
    <dgm:cxn modelId="{0BB09493-DA62-4317-AEF2-CFAECEAB7192}" type="presParOf" srcId="{E40CBC4D-C4A7-459F-A631-5463B4932592}" destId="{CC62871F-A219-4C33-BC01-57007904F49F}" srcOrd="1" destOrd="0" presId="urn:microsoft.com/office/officeart/2005/8/layout/hierarchy2"/>
    <dgm:cxn modelId="{8DDCCEB2-CE8B-44FA-85C8-0D029D5E9CCE}" type="presParOf" srcId="{CC62871F-A219-4C33-BC01-57007904F49F}" destId="{08CA2AB2-5D3C-47AF-AD71-274655C10F0B}" srcOrd="0" destOrd="0" presId="urn:microsoft.com/office/officeart/2005/8/layout/hierarchy2"/>
    <dgm:cxn modelId="{477B074A-9632-4959-95D9-7BC0EA3FF705}" type="presParOf" srcId="{CC62871F-A219-4C33-BC01-57007904F49F}" destId="{7D0128D5-2D9A-488A-A7D6-84E9F9EA0B8C}" srcOrd="1" destOrd="0" presId="urn:microsoft.com/office/officeart/2005/8/layout/hierarchy2"/>
    <dgm:cxn modelId="{4940D7D9-E9FF-4787-92D3-9E9FCFDBD1AC}" type="presParOf" srcId="{7D0128D5-2D9A-488A-A7D6-84E9F9EA0B8C}" destId="{CBA1ED5A-2759-433B-93A9-1BF9D50BA01A}" srcOrd="0" destOrd="0" presId="urn:microsoft.com/office/officeart/2005/8/layout/hierarchy2"/>
    <dgm:cxn modelId="{36A4FF52-6994-4716-A030-7F217D1ACF6A}" type="presParOf" srcId="{CBA1ED5A-2759-433B-93A9-1BF9D50BA01A}" destId="{59218CF9-3552-428F-8741-4650099ABC2A}" srcOrd="0" destOrd="0" presId="urn:microsoft.com/office/officeart/2005/8/layout/hierarchy2"/>
    <dgm:cxn modelId="{2E1A403A-5635-4A72-9FCC-D71929289E6D}" type="presParOf" srcId="{7D0128D5-2D9A-488A-A7D6-84E9F9EA0B8C}" destId="{14A3D0CB-DF40-4C4E-99B8-8C0DCC6AF979}" srcOrd="1" destOrd="0" presId="urn:microsoft.com/office/officeart/2005/8/layout/hierarchy2"/>
    <dgm:cxn modelId="{6568AE6B-F8ED-44B7-8E80-A39F692E0B1C}" type="presParOf" srcId="{14A3D0CB-DF40-4C4E-99B8-8C0DCC6AF979}" destId="{158FBC8E-B874-4663-9094-01DA4CF1E41D}" srcOrd="0" destOrd="0" presId="urn:microsoft.com/office/officeart/2005/8/layout/hierarchy2"/>
    <dgm:cxn modelId="{3E73DC06-260C-482F-837D-D03F7F916B71}" type="presParOf" srcId="{14A3D0CB-DF40-4C4E-99B8-8C0DCC6AF979}" destId="{38193445-3EC9-483F-BFFF-0656AAD5BC06}" srcOrd="1" destOrd="0" presId="urn:microsoft.com/office/officeart/2005/8/layout/hierarchy2"/>
    <dgm:cxn modelId="{B88E15C6-972A-49BB-A77D-92EFB9588104}" type="presParOf" srcId="{E40CBC4D-C4A7-459F-A631-5463B4932592}" destId="{2D7347FF-F8E2-485E-B0C2-A750C56F748E}" srcOrd="2" destOrd="0" presId="urn:microsoft.com/office/officeart/2005/8/layout/hierarchy2"/>
    <dgm:cxn modelId="{FBC51760-A611-4467-BD34-0850D8705604}" type="presParOf" srcId="{2D7347FF-F8E2-485E-B0C2-A750C56F748E}" destId="{83EEA1C7-16B8-4E1E-BAEC-63AF42807367}" srcOrd="0" destOrd="0" presId="urn:microsoft.com/office/officeart/2005/8/layout/hierarchy2"/>
    <dgm:cxn modelId="{FB6DC238-E3EC-4F95-BEBC-7095C6AAA1DE}" type="presParOf" srcId="{E40CBC4D-C4A7-459F-A631-5463B4932592}" destId="{852B9484-AFC6-4B70-816C-4AB5C48F0014}" srcOrd="3" destOrd="0" presId="urn:microsoft.com/office/officeart/2005/8/layout/hierarchy2"/>
    <dgm:cxn modelId="{F4841B76-2739-42CB-88AC-6882AC1EEA41}" type="presParOf" srcId="{852B9484-AFC6-4B70-816C-4AB5C48F0014}" destId="{6898A610-2F97-4B55-9A9B-3F73A1FD27CD}" srcOrd="0" destOrd="0" presId="urn:microsoft.com/office/officeart/2005/8/layout/hierarchy2"/>
    <dgm:cxn modelId="{04A50935-81BF-4E53-9053-2404714B8F6F}" type="presParOf" srcId="{852B9484-AFC6-4B70-816C-4AB5C48F0014}" destId="{01A81BB0-3E19-4C72-9D4A-4ACDC93C3FC9}" srcOrd="1" destOrd="0" presId="urn:microsoft.com/office/officeart/2005/8/layout/hierarchy2"/>
    <dgm:cxn modelId="{402FFA90-4DAA-4950-B01F-74A7CC9A5574}" type="presParOf" srcId="{01A81BB0-3E19-4C72-9D4A-4ACDC93C3FC9}" destId="{4ED72815-A081-4CEB-9EDA-E9A661596D18}" srcOrd="0" destOrd="0" presId="urn:microsoft.com/office/officeart/2005/8/layout/hierarchy2"/>
    <dgm:cxn modelId="{56E6FECE-5741-4BDD-9EC9-B23F3B6396C5}" type="presParOf" srcId="{4ED72815-A081-4CEB-9EDA-E9A661596D18}" destId="{C68D7FD7-A0C2-46F9-A596-669DD0E67FB8}" srcOrd="0" destOrd="0" presId="urn:microsoft.com/office/officeart/2005/8/layout/hierarchy2"/>
    <dgm:cxn modelId="{A26DC327-9B70-4CFB-9F23-B16BCC657C22}" type="presParOf" srcId="{01A81BB0-3E19-4C72-9D4A-4ACDC93C3FC9}" destId="{BD06DAAA-6BD6-470A-9E72-21D7243D3509}" srcOrd="1" destOrd="0" presId="urn:microsoft.com/office/officeart/2005/8/layout/hierarchy2"/>
    <dgm:cxn modelId="{9D15280E-7D04-4BB5-979E-F86CAFF7B4D8}" type="presParOf" srcId="{BD06DAAA-6BD6-470A-9E72-21D7243D3509}" destId="{E5C3F144-3AB1-4041-A4FB-8B06B9600829}" srcOrd="0" destOrd="0" presId="urn:microsoft.com/office/officeart/2005/8/layout/hierarchy2"/>
    <dgm:cxn modelId="{9DB442D4-AD79-43EF-ACE2-AC133BB78E4A}" type="presParOf" srcId="{BD06DAAA-6BD6-470A-9E72-21D7243D3509}" destId="{2A292003-FA94-4CC0-9426-6E6A74D4A18A}" srcOrd="1" destOrd="0" presId="urn:microsoft.com/office/officeart/2005/8/layout/hierarchy2"/>
    <dgm:cxn modelId="{D8BA49E3-2AF7-49E9-BE1E-8FAD3B1D10CB}" type="presParOf" srcId="{E40CBC4D-C4A7-459F-A631-5463B4932592}" destId="{38EB2FAB-C7D0-4D8F-95C2-0EE881BF55E5}" srcOrd="4" destOrd="0" presId="urn:microsoft.com/office/officeart/2005/8/layout/hierarchy2"/>
    <dgm:cxn modelId="{C92887DE-64E4-4AB6-B4DD-9D3AF62EDB36}" type="presParOf" srcId="{38EB2FAB-C7D0-4D8F-95C2-0EE881BF55E5}" destId="{1891BE2D-2DE2-48D3-A0A0-8A5CBE00E2BC}" srcOrd="0" destOrd="0" presId="urn:microsoft.com/office/officeart/2005/8/layout/hierarchy2"/>
    <dgm:cxn modelId="{56AA2737-8F8F-4685-83F4-17D76713F7F2}" type="presParOf" srcId="{E40CBC4D-C4A7-459F-A631-5463B4932592}" destId="{B441F3D2-D183-46D2-806E-2599D79315BA}" srcOrd="5" destOrd="0" presId="urn:microsoft.com/office/officeart/2005/8/layout/hierarchy2"/>
    <dgm:cxn modelId="{6400523D-E754-4396-9EEB-CAD49392881F}" type="presParOf" srcId="{B441F3D2-D183-46D2-806E-2599D79315BA}" destId="{8DDBB6C2-FDBD-4EC2-8B16-FB97A5BEC13C}" srcOrd="0" destOrd="0" presId="urn:microsoft.com/office/officeart/2005/8/layout/hierarchy2"/>
    <dgm:cxn modelId="{4F4D8B9E-166F-4930-9209-6F09F7DC1226}" type="presParOf" srcId="{B441F3D2-D183-46D2-806E-2599D79315BA}" destId="{07CA515F-45C3-48FF-A429-D1CADC658EE8}" srcOrd="1" destOrd="0" presId="urn:microsoft.com/office/officeart/2005/8/layout/hierarchy2"/>
    <dgm:cxn modelId="{D7202BDC-B0FE-43FF-BEE9-37057A58BCC7}" type="presParOf" srcId="{07CA515F-45C3-48FF-A429-D1CADC658EE8}" destId="{49BFA34C-9A01-485D-80DB-164D95FDE7D7}" srcOrd="0" destOrd="0" presId="urn:microsoft.com/office/officeart/2005/8/layout/hierarchy2"/>
    <dgm:cxn modelId="{190FB2F4-1A53-45DD-BC78-2005500BD2FD}" type="presParOf" srcId="{49BFA34C-9A01-485D-80DB-164D95FDE7D7}" destId="{7101A089-C9D6-4889-B812-52A0BB21EF3F}" srcOrd="0" destOrd="0" presId="urn:microsoft.com/office/officeart/2005/8/layout/hierarchy2"/>
    <dgm:cxn modelId="{7E0A1A01-4996-4A0A-BD65-FA4180F89C50}" type="presParOf" srcId="{07CA515F-45C3-48FF-A429-D1CADC658EE8}" destId="{B9CD6EAC-A078-42A5-998A-54B9C167AB0E}" srcOrd="1" destOrd="0" presId="urn:microsoft.com/office/officeart/2005/8/layout/hierarchy2"/>
    <dgm:cxn modelId="{C296778E-5CA8-4EF8-8C62-EDC220937614}" type="presParOf" srcId="{B9CD6EAC-A078-42A5-998A-54B9C167AB0E}" destId="{7569289F-F9A0-4BEB-937E-A66C6C7EFC35}" srcOrd="0" destOrd="0" presId="urn:microsoft.com/office/officeart/2005/8/layout/hierarchy2"/>
    <dgm:cxn modelId="{64E5BB68-7C88-4A3C-B21D-AC4079D4959E}" type="presParOf" srcId="{B9CD6EAC-A078-42A5-998A-54B9C167AB0E}" destId="{BE3F4BC8-4F83-4A29-9A46-D8CDC7C40DB8}" srcOrd="1" destOrd="0" presId="urn:microsoft.com/office/officeart/2005/8/layout/hierarchy2"/>
    <dgm:cxn modelId="{4DD5EEDA-B748-4FA3-A073-02980C0AAE0B}" type="presParOf" srcId="{07CA515F-45C3-48FF-A429-D1CADC658EE8}" destId="{BD8DE141-6F33-41CA-A362-12945E62E9B5}" srcOrd="2" destOrd="0" presId="urn:microsoft.com/office/officeart/2005/8/layout/hierarchy2"/>
    <dgm:cxn modelId="{A2B6778F-9C1B-4A3A-B3E2-D7283B866FA5}" type="presParOf" srcId="{BD8DE141-6F33-41CA-A362-12945E62E9B5}" destId="{F5811782-242A-4CDF-AC22-C0B702E520F0}" srcOrd="0" destOrd="0" presId="urn:microsoft.com/office/officeart/2005/8/layout/hierarchy2"/>
    <dgm:cxn modelId="{3D9FF2D1-CEBD-4B14-B1DC-2AB739CB64C8}" type="presParOf" srcId="{07CA515F-45C3-48FF-A429-D1CADC658EE8}" destId="{F7ACE9BA-3EF1-4DC8-A80F-4CFBD2FFDFF3}" srcOrd="3" destOrd="0" presId="urn:microsoft.com/office/officeart/2005/8/layout/hierarchy2"/>
    <dgm:cxn modelId="{DDD29217-B4A4-4FB6-B5B5-7B9DFF4BCE78}" type="presParOf" srcId="{F7ACE9BA-3EF1-4DC8-A80F-4CFBD2FFDFF3}" destId="{71FC0E61-F591-486B-920A-552B564125B5}" srcOrd="0" destOrd="0" presId="urn:microsoft.com/office/officeart/2005/8/layout/hierarchy2"/>
    <dgm:cxn modelId="{A2228972-AA06-4957-9BE2-756FACD10FE8}" type="presParOf" srcId="{F7ACE9BA-3EF1-4DC8-A80F-4CFBD2FFDFF3}" destId="{A6EB73C5-1105-4AA3-91E5-3ADE06E3986C}" srcOrd="1" destOrd="0" presId="urn:microsoft.com/office/officeart/2005/8/layout/hierarchy2"/>
    <dgm:cxn modelId="{35754995-2923-43A9-BE15-84D5C50737CC}" type="presParOf" srcId="{07CA515F-45C3-48FF-A429-D1CADC658EE8}" destId="{B7B412FC-52A0-4445-B27F-521261890E22}" srcOrd="4" destOrd="0" presId="urn:microsoft.com/office/officeart/2005/8/layout/hierarchy2"/>
    <dgm:cxn modelId="{F6F2348F-1936-4566-AA9F-CB29BF4C80ED}" type="presParOf" srcId="{B7B412FC-52A0-4445-B27F-521261890E22}" destId="{50E4F072-7931-4998-B0BB-3D071C4FAC98}" srcOrd="0" destOrd="0" presId="urn:microsoft.com/office/officeart/2005/8/layout/hierarchy2"/>
    <dgm:cxn modelId="{DB6027E3-33F6-494C-9285-9345AD328454}" type="presParOf" srcId="{07CA515F-45C3-48FF-A429-D1CADC658EE8}" destId="{8C8B1771-BF85-41D9-A2C9-8C7FC168877F}" srcOrd="5" destOrd="0" presId="urn:microsoft.com/office/officeart/2005/8/layout/hierarchy2"/>
    <dgm:cxn modelId="{136BFD2B-2605-40A4-B388-06A2124AEECE}" type="presParOf" srcId="{8C8B1771-BF85-41D9-A2C9-8C7FC168877F}" destId="{1240CE2A-12EF-4101-909B-DBE20E9DA603}" srcOrd="0" destOrd="0" presId="urn:microsoft.com/office/officeart/2005/8/layout/hierarchy2"/>
    <dgm:cxn modelId="{AA56088B-70AB-4DD9-81C0-7328A011EFFF}"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91"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9"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62D9E0FD-8D89-4C69-9292-676D2D016381}" type="presOf" srcId="{0A489B5A-BCFF-49DD-AAFF-B5F08005152E}" destId="{4F53B63D-A9CC-4B6E-9DC6-28D266AF12AC}" srcOrd="0" destOrd="0" presId="urn:microsoft.com/office/officeart/2005/8/layout/orgChart1"/>
    <dgm:cxn modelId="{E5B315B3-2F13-47CD-A7F7-72796CC8999D}" srcId="{BB40C80E-4FE1-4739-B745-BF4FF3274891}" destId="{04EE7018-C98C-448E-B256-AC06C2BBC08A}" srcOrd="2" destOrd="0" parTransId="{0A489B5A-BCFF-49DD-AAFF-B5F08005152E}" sibTransId="{0AF21F9F-511E-4EAF-9D5F-7C0F2A803C2C}"/>
    <dgm:cxn modelId="{98AA9E66-EFB4-4936-8256-924361AF9414}" type="presOf" srcId="{CD0EA4FA-D183-4F32-AB5F-67E835B516AF}" destId="{8B6EE50C-0588-4872-866E-2A3A972D1F0D}" srcOrd="1" destOrd="0" presId="urn:microsoft.com/office/officeart/2005/8/layout/orgChart1"/>
    <dgm:cxn modelId="{B937EE5D-36A6-4D0F-9130-EC3CE4AED065}" type="presOf" srcId="{586A4D95-DACF-40E6-998F-332457646494}" destId="{40142FC0-F58B-4E36-B463-4AC3A14D8238}" srcOrd="0" destOrd="0" presId="urn:microsoft.com/office/officeart/2005/8/layout/orgChart1"/>
    <dgm:cxn modelId="{8A9EF8F1-BB3D-41E1-8144-F82666BB5D54}" type="presOf" srcId="{25D5B2A2-F4CC-415A-B959-D590DB29DEAE}" destId="{F0FA768E-9EEE-4817-8C93-A2D41D44F444}" srcOrd="0" destOrd="0" presId="urn:microsoft.com/office/officeart/2005/8/layout/orgChart1"/>
    <dgm:cxn modelId="{A5107400-BA79-4360-ACE0-A93809C7F5D4}" type="presOf" srcId="{BB40C80E-4FE1-4739-B745-BF4FF3274891}" destId="{C41C7E6F-E6F2-42CD-8029-69C188F0BA04}" srcOrd="1"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A97AF5F1-B9F1-430D-854E-9E3EDDC41697}" type="presOf" srcId="{BD8AA8BB-EC39-4909-BA71-3A32A045F91C}" destId="{F806445A-6FFA-49B4-991B-AFFB35FD1F7F}" srcOrd="0" destOrd="0" presId="urn:microsoft.com/office/officeart/2005/8/layout/orgChart1"/>
    <dgm:cxn modelId="{5B6641BA-7816-4F2B-AC8C-F0C7F4BBBB24}" type="presOf" srcId="{600C8B5A-5BFD-46C4-87C4-5EC48A48A5D4}" destId="{C7288C54-3145-4B69-8B9B-02D4D1581505}" srcOrd="0" destOrd="0" presId="urn:microsoft.com/office/officeart/2005/8/layout/orgChart1"/>
    <dgm:cxn modelId="{3D2C2735-82AF-4B72-BA18-46CF77170B5B}" type="presOf" srcId="{E697478B-9E7E-4DE3-AE1D-5FF4A9EF6884}" destId="{0B03B6A1-21A0-468A-83BB-AAF64F7E2214}" srcOrd="1" destOrd="0" presId="urn:microsoft.com/office/officeart/2005/8/layout/orgChart1"/>
    <dgm:cxn modelId="{A20CA0D8-8693-4CC7-B9E8-D68E1BC70A2F}" srcId="{5D4EB37D-056D-4882-973D-2FC818516D33}" destId="{CD0EA4FA-D183-4F32-AB5F-67E835B516AF}" srcOrd="2" destOrd="0" parTransId="{600C8B5A-5BFD-46C4-87C4-5EC48A48A5D4}" sibTransId="{7E5085E1-3C58-4670-96FF-E50E8D1D70EB}"/>
    <dgm:cxn modelId="{6D2C1846-901A-45E1-8C2F-9E23E815CFB8}" type="presOf" srcId="{BD8AA8BB-EC39-4909-BA71-3A32A045F91C}" destId="{9A299C53-E69B-45E3-90CD-8EDF998B3097}" srcOrd="1" destOrd="0" presId="urn:microsoft.com/office/officeart/2005/8/layout/orgChart1"/>
    <dgm:cxn modelId="{141E69F5-8630-421A-9588-98D8E72B35BD}" type="presOf" srcId="{E697478B-9E7E-4DE3-AE1D-5FF4A9EF6884}" destId="{84FD2034-3F62-4273-ACE0-F6D1E81A6C5B}" srcOrd="0"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217EF8EB-B157-47AD-852D-93B449830030}" srcId="{BB40C80E-4FE1-4739-B745-BF4FF3274891}" destId="{25995441-9314-4AFD-B29E-D9B5D74FCAA0}" srcOrd="0" destOrd="0" parTransId="{A1742652-32D2-4BCB-A3A7-216699E7893B}" sibTransId="{20D5D889-1F61-4BAD-BF76-61B9F7B266D2}"/>
    <dgm:cxn modelId="{4EA066A1-1F1F-4BA6-A53F-1778BF73B8D5}" type="presOf" srcId="{BB40C80E-4FE1-4739-B745-BF4FF3274891}" destId="{A2E30FAD-E456-4285-B56D-18250DB99DCB}" srcOrd="0" destOrd="0" presId="urn:microsoft.com/office/officeart/2005/8/layout/orgChart1"/>
    <dgm:cxn modelId="{615FCFDD-392C-437E-9AEF-EBF64A1902AA}" type="presOf" srcId="{5D4EB37D-056D-4882-973D-2FC818516D33}" destId="{964DE90A-9770-4A41-92ED-CFEAA7E7E579}" srcOrd="0"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E612F777-E78B-44E6-9918-D6AB720BB2A9}" type="presOf" srcId="{3D4AA373-122D-4F58-9742-022968FF3255}" destId="{9FE5EFD6-217B-4DF0-AC9C-0CD3252F40C4}" srcOrd="0" destOrd="0" presId="urn:microsoft.com/office/officeart/2005/8/layout/orgChart1"/>
    <dgm:cxn modelId="{D34D13CC-E331-4D9C-8D1C-80D709A13163}" type="presOf" srcId="{25D5B2A2-F4CC-415A-B959-D590DB29DEAE}" destId="{F9BE49F7-1CE6-47D1-A1B6-E95508334034}" srcOrd="1" destOrd="0" presId="urn:microsoft.com/office/officeart/2005/8/layout/orgChart1"/>
    <dgm:cxn modelId="{FD35B911-6EB3-4BB1-8483-2FEA4AC8A68D}" type="presOf" srcId="{5D4EB37D-056D-4882-973D-2FC818516D33}" destId="{025C586B-2C62-49F1-AB1D-8FCA065B1840}" srcOrd="1" destOrd="0" presId="urn:microsoft.com/office/officeart/2005/8/layout/orgChart1"/>
    <dgm:cxn modelId="{B2BD21A8-3C29-445A-8A6E-F8F4C3E883E6}" type="presOf" srcId="{E71AEF46-6A3D-4764-AD85-BE941611D005}" destId="{7B1688FC-4983-4D89-91D0-8402C9C3FF01}" srcOrd="0" destOrd="0" presId="urn:microsoft.com/office/officeart/2005/8/layout/orgChart1"/>
    <dgm:cxn modelId="{C78E392C-8101-4BCC-93B2-9D8F59F71BA1}" type="presOf" srcId="{4F171B68-DB5D-4719-A2DA-B8B62B629FB3}" destId="{85B850C6-65E4-4897-B89C-52A143CFDFA6}" srcOrd="0" destOrd="0" presId="urn:microsoft.com/office/officeart/2005/8/layout/orgChart1"/>
    <dgm:cxn modelId="{DAB8978A-E8F3-40E2-BE08-0380EFDCACFC}" type="presOf" srcId="{A1742652-32D2-4BCB-A3A7-216699E7893B}" destId="{44B20FE9-54A8-46D2-86CC-71972C2EBE0B}" srcOrd="0"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03939534-5DB1-4297-A242-E9464D75B85F}" type="presOf" srcId="{04EE7018-C98C-448E-B256-AC06C2BBC08A}" destId="{973F57A0-5DD3-4F0E-BEFA-671E94FB2CBE}" srcOrd="0" destOrd="0" presId="urn:microsoft.com/office/officeart/2005/8/layout/orgChart1"/>
    <dgm:cxn modelId="{B6FEF6C6-3561-4FA7-AD68-3880B6655AAE}" type="presOf" srcId="{25995441-9314-4AFD-B29E-D9B5D74FCAA0}" destId="{47D4F898-1A52-40CF-A638-D7DC9DD01C6D}" srcOrd="1" destOrd="0" presId="urn:microsoft.com/office/officeart/2005/8/layout/orgChart1"/>
    <dgm:cxn modelId="{ED45C029-A76D-4810-9ABD-AE9E8E7BDC17}" type="presOf" srcId="{04EE7018-C98C-448E-B256-AC06C2BBC08A}" destId="{411C9FE9-2606-41DC-90F8-AF6BA4D0E4A4}" srcOrd="1" destOrd="0" presId="urn:microsoft.com/office/officeart/2005/8/layout/orgChart1"/>
    <dgm:cxn modelId="{8F89437C-62F7-4969-8273-46B2A11D743F}" type="presOf" srcId="{25995441-9314-4AFD-B29E-D9B5D74FCAA0}" destId="{8D70B6FB-BBCD-4462-B470-D6DEB9A7CDA4}" srcOrd="0" destOrd="0" presId="urn:microsoft.com/office/officeart/2005/8/layout/orgChart1"/>
    <dgm:cxn modelId="{85983D2A-4DBF-4083-A81B-673EB0627BF7}" type="presOf" srcId="{88E27216-BADA-4BCA-975F-ED32547DB162}" destId="{46165016-3388-4A36-A792-67FF783DD4C8}" srcOrd="0" destOrd="0" presId="urn:microsoft.com/office/officeart/2005/8/layout/orgChart1"/>
    <dgm:cxn modelId="{735D1804-3C64-470D-B9BE-A4357A92BF83}" type="presOf" srcId="{CD0EA4FA-D183-4F32-AB5F-67E835B516AF}" destId="{CD9AD5BE-E741-4DCD-BB42-EC27E05E1879}" srcOrd="0"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F527E6C5-2B16-4AA0-927D-26DDAA1D1613}" type="presParOf" srcId="{85B850C6-65E4-4897-B89C-52A143CFDFA6}" destId="{4F2E5E88-3B5E-489A-8A40-10DDD0977FEA}" srcOrd="0" destOrd="0" presId="urn:microsoft.com/office/officeart/2005/8/layout/orgChart1"/>
    <dgm:cxn modelId="{8890668E-A30C-4E57-8407-B3BE7BADE2A3}" type="presParOf" srcId="{4F2E5E88-3B5E-489A-8A40-10DDD0977FEA}" destId="{DEE5832C-68B7-4FC3-8E5F-1412D1A3526A}" srcOrd="0" destOrd="0" presId="urn:microsoft.com/office/officeart/2005/8/layout/orgChart1"/>
    <dgm:cxn modelId="{9CD99708-D4CB-48F3-B071-4E75B98D3FCA}" type="presParOf" srcId="{DEE5832C-68B7-4FC3-8E5F-1412D1A3526A}" destId="{964DE90A-9770-4A41-92ED-CFEAA7E7E579}" srcOrd="0" destOrd="0" presId="urn:microsoft.com/office/officeart/2005/8/layout/orgChart1"/>
    <dgm:cxn modelId="{A33E0B0C-493D-4732-A4D9-9A91048DBD93}" type="presParOf" srcId="{DEE5832C-68B7-4FC3-8E5F-1412D1A3526A}" destId="{025C586B-2C62-49F1-AB1D-8FCA065B1840}" srcOrd="1" destOrd="0" presId="urn:microsoft.com/office/officeart/2005/8/layout/orgChart1"/>
    <dgm:cxn modelId="{B72B3C05-FB6F-432E-9E07-0D047FD5B757}" type="presParOf" srcId="{4F2E5E88-3B5E-489A-8A40-10DDD0977FEA}" destId="{9F030E5F-B110-4542-9EF2-2CFE9DFD0D74}" srcOrd="1" destOrd="0" presId="urn:microsoft.com/office/officeart/2005/8/layout/orgChart1"/>
    <dgm:cxn modelId="{A8DCDE02-C593-419B-92C7-561069D3B0BE}" type="presParOf" srcId="{9F030E5F-B110-4542-9EF2-2CFE9DFD0D74}" destId="{7B1688FC-4983-4D89-91D0-8402C9C3FF01}" srcOrd="0" destOrd="0" presId="urn:microsoft.com/office/officeart/2005/8/layout/orgChart1"/>
    <dgm:cxn modelId="{1112390D-DBE7-4D60-B133-14EF13EFC011}" type="presParOf" srcId="{9F030E5F-B110-4542-9EF2-2CFE9DFD0D74}" destId="{5B1AF118-C8C8-4A06-A5F8-13138B546EA7}" srcOrd="1" destOrd="0" presId="urn:microsoft.com/office/officeart/2005/8/layout/orgChart1"/>
    <dgm:cxn modelId="{B9C196C8-B20C-422E-9F2E-56A51EAD4F5B}" type="presParOf" srcId="{5B1AF118-C8C8-4A06-A5F8-13138B546EA7}" destId="{C5DF4026-1F1B-4D5A-A295-8780272C7FE0}" srcOrd="0" destOrd="0" presId="urn:microsoft.com/office/officeart/2005/8/layout/orgChart1"/>
    <dgm:cxn modelId="{F43B9ABE-150E-4AB4-A339-7C3ABB8D2B31}" type="presParOf" srcId="{C5DF4026-1F1B-4D5A-A295-8780272C7FE0}" destId="{A2E30FAD-E456-4285-B56D-18250DB99DCB}" srcOrd="0" destOrd="0" presId="urn:microsoft.com/office/officeart/2005/8/layout/orgChart1"/>
    <dgm:cxn modelId="{A171D85D-B80F-45FE-AC9E-282DE4994014}" type="presParOf" srcId="{C5DF4026-1F1B-4D5A-A295-8780272C7FE0}" destId="{C41C7E6F-E6F2-42CD-8029-69C188F0BA04}" srcOrd="1" destOrd="0" presId="urn:microsoft.com/office/officeart/2005/8/layout/orgChart1"/>
    <dgm:cxn modelId="{EFB60CDE-1DD4-4EB0-B25F-E1F7C1642771}" type="presParOf" srcId="{5B1AF118-C8C8-4A06-A5F8-13138B546EA7}" destId="{E5302108-E095-4D2A-891A-25BE3D836CCB}" srcOrd="1" destOrd="0" presId="urn:microsoft.com/office/officeart/2005/8/layout/orgChart1"/>
    <dgm:cxn modelId="{E60BA624-B211-4976-813B-9EFD355DB8A4}" type="presParOf" srcId="{E5302108-E095-4D2A-891A-25BE3D836CCB}" destId="{44B20FE9-54A8-46D2-86CC-71972C2EBE0B}" srcOrd="0" destOrd="0" presId="urn:microsoft.com/office/officeart/2005/8/layout/orgChart1"/>
    <dgm:cxn modelId="{A385DEE6-6F48-49F5-8A1B-567EF6F16BC8}" type="presParOf" srcId="{E5302108-E095-4D2A-891A-25BE3D836CCB}" destId="{78B66340-17C2-4AA8-ACF6-7105D89D9111}" srcOrd="1" destOrd="0" presId="urn:microsoft.com/office/officeart/2005/8/layout/orgChart1"/>
    <dgm:cxn modelId="{BC40ECB0-E686-44E5-994C-3B63D3E8F5D9}" type="presParOf" srcId="{78B66340-17C2-4AA8-ACF6-7105D89D9111}" destId="{053A8613-72CC-460B-B3CD-FD89C52AB870}" srcOrd="0" destOrd="0" presId="urn:microsoft.com/office/officeart/2005/8/layout/orgChart1"/>
    <dgm:cxn modelId="{7E19912A-C830-44F5-B468-C95AE12DC257}" type="presParOf" srcId="{053A8613-72CC-460B-B3CD-FD89C52AB870}" destId="{8D70B6FB-BBCD-4462-B470-D6DEB9A7CDA4}" srcOrd="0" destOrd="0" presId="urn:microsoft.com/office/officeart/2005/8/layout/orgChart1"/>
    <dgm:cxn modelId="{E7DF0594-A67E-43DD-9219-36C8AE29EC61}" type="presParOf" srcId="{053A8613-72CC-460B-B3CD-FD89C52AB870}" destId="{47D4F898-1A52-40CF-A638-D7DC9DD01C6D}" srcOrd="1" destOrd="0" presId="urn:microsoft.com/office/officeart/2005/8/layout/orgChart1"/>
    <dgm:cxn modelId="{C8DFD526-DF1D-4DD0-BF79-AD6B8741AF29}" type="presParOf" srcId="{78B66340-17C2-4AA8-ACF6-7105D89D9111}" destId="{416F69CA-353E-4A7C-A974-36DF97053515}" srcOrd="1" destOrd="0" presId="urn:microsoft.com/office/officeart/2005/8/layout/orgChart1"/>
    <dgm:cxn modelId="{36BAC3BB-A80A-432E-B083-537AA3E6294B}" type="presParOf" srcId="{78B66340-17C2-4AA8-ACF6-7105D89D9111}" destId="{DA1D3EE6-AA54-4704-A8C2-C6786DEBE8AE}" srcOrd="2" destOrd="0" presId="urn:microsoft.com/office/officeart/2005/8/layout/orgChart1"/>
    <dgm:cxn modelId="{45B70C5A-FBEF-4D86-956F-48F2FD2D91F0}" type="presParOf" srcId="{E5302108-E095-4D2A-891A-25BE3D836CCB}" destId="{46165016-3388-4A36-A792-67FF783DD4C8}" srcOrd="2" destOrd="0" presId="urn:microsoft.com/office/officeart/2005/8/layout/orgChart1"/>
    <dgm:cxn modelId="{8A3AD8C7-977F-4F56-A6B8-DCC8C2166ACD}" type="presParOf" srcId="{E5302108-E095-4D2A-891A-25BE3D836CCB}" destId="{7442292A-C92A-45E3-BE3F-05E5D66E6733}" srcOrd="3" destOrd="0" presId="urn:microsoft.com/office/officeart/2005/8/layout/orgChart1"/>
    <dgm:cxn modelId="{30CCA806-EB70-4FA0-9B8B-6379EACCEE61}" type="presParOf" srcId="{7442292A-C92A-45E3-BE3F-05E5D66E6733}" destId="{8BCA970E-B23C-4B01-9D93-7C4F46429262}" srcOrd="0" destOrd="0" presId="urn:microsoft.com/office/officeart/2005/8/layout/orgChart1"/>
    <dgm:cxn modelId="{61295455-04EC-42DC-AACA-7952AE0D9983}" type="presParOf" srcId="{8BCA970E-B23C-4B01-9D93-7C4F46429262}" destId="{F0FA768E-9EEE-4817-8C93-A2D41D44F444}" srcOrd="0" destOrd="0" presId="urn:microsoft.com/office/officeart/2005/8/layout/orgChart1"/>
    <dgm:cxn modelId="{6F02D4D9-4063-4E06-860A-694550304C49}" type="presParOf" srcId="{8BCA970E-B23C-4B01-9D93-7C4F46429262}" destId="{F9BE49F7-1CE6-47D1-A1B6-E95508334034}" srcOrd="1" destOrd="0" presId="urn:microsoft.com/office/officeart/2005/8/layout/orgChart1"/>
    <dgm:cxn modelId="{30889873-4392-4698-9566-B0A2AB185FFA}" type="presParOf" srcId="{7442292A-C92A-45E3-BE3F-05E5D66E6733}" destId="{CCFBDE97-7260-4420-B37B-772F1103D0CD}" srcOrd="1" destOrd="0" presId="urn:microsoft.com/office/officeart/2005/8/layout/orgChart1"/>
    <dgm:cxn modelId="{EC5F64EC-82C7-4ABA-A1BC-38CC21EA6F23}" type="presParOf" srcId="{7442292A-C92A-45E3-BE3F-05E5D66E6733}" destId="{4CF74D6E-F8FD-4305-98E7-FD4396AD2E96}" srcOrd="2" destOrd="0" presId="urn:microsoft.com/office/officeart/2005/8/layout/orgChart1"/>
    <dgm:cxn modelId="{9C71AC81-E6AA-4386-B69A-C6CFB741EF4B}" type="presParOf" srcId="{5B1AF118-C8C8-4A06-A5F8-13138B546EA7}" destId="{2675E4CC-931B-4AA5-9AD1-51E25CDB3093}" srcOrd="2" destOrd="0" presId="urn:microsoft.com/office/officeart/2005/8/layout/orgChart1"/>
    <dgm:cxn modelId="{C7491026-0909-4038-8073-D26B70E86C63}" type="presParOf" srcId="{2675E4CC-931B-4AA5-9AD1-51E25CDB3093}" destId="{4F53B63D-A9CC-4B6E-9DC6-28D266AF12AC}" srcOrd="0" destOrd="0" presId="urn:microsoft.com/office/officeart/2005/8/layout/orgChart1"/>
    <dgm:cxn modelId="{DACDF6B1-BB5B-4F00-AEBE-3F9088C45684}" type="presParOf" srcId="{2675E4CC-931B-4AA5-9AD1-51E25CDB3093}" destId="{9B546F8E-A80A-4FFE-9085-D71795CC9294}" srcOrd="1" destOrd="0" presId="urn:microsoft.com/office/officeart/2005/8/layout/orgChart1"/>
    <dgm:cxn modelId="{5204D6CF-750F-4A8B-902D-52ECBBEC88AE}" type="presParOf" srcId="{9B546F8E-A80A-4FFE-9085-D71795CC9294}" destId="{040C96F8-8DBC-48AC-9B44-9D87CA5F21D0}" srcOrd="0" destOrd="0" presId="urn:microsoft.com/office/officeart/2005/8/layout/orgChart1"/>
    <dgm:cxn modelId="{70365472-CDAC-4970-877B-9D45643FEA33}" type="presParOf" srcId="{040C96F8-8DBC-48AC-9B44-9D87CA5F21D0}" destId="{973F57A0-5DD3-4F0E-BEFA-671E94FB2CBE}" srcOrd="0" destOrd="0" presId="urn:microsoft.com/office/officeart/2005/8/layout/orgChart1"/>
    <dgm:cxn modelId="{500077A4-1E39-4D40-A302-8D3BFA4A87FC}" type="presParOf" srcId="{040C96F8-8DBC-48AC-9B44-9D87CA5F21D0}" destId="{411C9FE9-2606-41DC-90F8-AF6BA4D0E4A4}" srcOrd="1" destOrd="0" presId="urn:microsoft.com/office/officeart/2005/8/layout/orgChart1"/>
    <dgm:cxn modelId="{BAC1F122-E024-425B-8EB9-15F5FCEDB0F4}" type="presParOf" srcId="{9B546F8E-A80A-4FFE-9085-D71795CC9294}" destId="{8DEF5FD2-B5BC-4409-B4B7-3D04FB851150}" srcOrd="1" destOrd="0" presId="urn:microsoft.com/office/officeart/2005/8/layout/orgChart1"/>
    <dgm:cxn modelId="{20423735-ADE0-4085-8564-447356811170}" type="presParOf" srcId="{9B546F8E-A80A-4FFE-9085-D71795CC9294}" destId="{9E9DAE19-A4CB-40D7-A3B1-06A3E7A60391}" srcOrd="2" destOrd="0" presId="urn:microsoft.com/office/officeart/2005/8/layout/orgChart1"/>
    <dgm:cxn modelId="{B4A019A6-C366-4773-A724-700A581EC609}" type="presParOf" srcId="{9F030E5F-B110-4542-9EF2-2CFE9DFD0D74}" destId="{C7288C54-3145-4B69-8B9B-02D4D1581505}" srcOrd="2" destOrd="0" presId="urn:microsoft.com/office/officeart/2005/8/layout/orgChart1"/>
    <dgm:cxn modelId="{550D8416-1D4F-4A55-8880-96D1C3CE85EE}" type="presParOf" srcId="{9F030E5F-B110-4542-9EF2-2CFE9DFD0D74}" destId="{A1BA825D-6987-4091-B452-C3764479225C}" srcOrd="3" destOrd="0" presId="urn:microsoft.com/office/officeart/2005/8/layout/orgChart1"/>
    <dgm:cxn modelId="{85C39B91-F719-4AC6-9A90-9A22F9332207}" type="presParOf" srcId="{A1BA825D-6987-4091-B452-C3764479225C}" destId="{8764BD2B-4BD1-40EF-8D2A-CABEED35D89D}" srcOrd="0" destOrd="0" presId="urn:microsoft.com/office/officeart/2005/8/layout/orgChart1"/>
    <dgm:cxn modelId="{665B865F-3BF1-4CE1-9A18-01BA0234B14F}" type="presParOf" srcId="{8764BD2B-4BD1-40EF-8D2A-CABEED35D89D}" destId="{CD9AD5BE-E741-4DCD-BB42-EC27E05E1879}" srcOrd="0" destOrd="0" presId="urn:microsoft.com/office/officeart/2005/8/layout/orgChart1"/>
    <dgm:cxn modelId="{9666C0BC-6F8C-4569-B5E2-BDEE833F2C92}" type="presParOf" srcId="{8764BD2B-4BD1-40EF-8D2A-CABEED35D89D}" destId="{8B6EE50C-0588-4872-866E-2A3A972D1F0D}" srcOrd="1" destOrd="0" presId="urn:microsoft.com/office/officeart/2005/8/layout/orgChart1"/>
    <dgm:cxn modelId="{BFD745E9-2D61-4867-987E-E106E45A36D2}" type="presParOf" srcId="{A1BA825D-6987-4091-B452-C3764479225C}" destId="{37E7361E-B119-4EE3-A7FF-CB6CF0FB50F4}" srcOrd="1" destOrd="0" presId="urn:microsoft.com/office/officeart/2005/8/layout/orgChart1"/>
    <dgm:cxn modelId="{949E8F15-9B6B-4312-8DCA-04DF16257EEE}" type="presParOf" srcId="{A1BA825D-6987-4091-B452-C3764479225C}" destId="{A90718A2-F73F-4B02-8350-03F14FA74791}" srcOrd="2" destOrd="0" presId="urn:microsoft.com/office/officeart/2005/8/layout/orgChart1"/>
    <dgm:cxn modelId="{C804E160-863C-4A7F-88FD-2BCFC0D79C83}" type="presParOf" srcId="{9F030E5F-B110-4542-9EF2-2CFE9DFD0D74}" destId="{9FE5EFD6-217B-4DF0-AC9C-0CD3252F40C4}" srcOrd="4" destOrd="0" presId="urn:microsoft.com/office/officeart/2005/8/layout/orgChart1"/>
    <dgm:cxn modelId="{D5579764-9455-42F5-B9A2-E0D157779C36}" type="presParOf" srcId="{9F030E5F-B110-4542-9EF2-2CFE9DFD0D74}" destId="{E52C14FC-5421-44B6-A127-C9D3F5FF3CAA}" srcOrd="5" destOrd="0" presId="urn:microsoft.com/office/officeart/2005/8/layout/orgChart1"/>
    <dgm:cxn modelId="{F9BE4948-8DE0-40DA-9023-44C0D64153D7}" type="presParOf" srcId="{E52C14FC-5421-44B6-A127-C9D3F5FF3CAA}" destId="{C8BF808E-5B93-40CE-ADFF-EDF36077D048}" srcOrd="0" destOrd="0" presId="urn:microsoft.com/office/officeart/2005/8/layout/orgChart1"/>
    <dgm:cxn modelId="{F06B6851-5CFB-4429-98BE-78FFED14C8D4}" type="presParOf" srcId="{C8BF808E-5B93-40CE-ADFF-EDF36077D048}" destId="{F806445A-6FFA-49B4-991B-AFFB35FD1F7F}" srcOrd="0" destOrd="0" presId="urn:microsoft.com/office/officeart/2005/8/layout/orgChart1"/>
    <dgm:cxn modelId="{539A2DAD-37A6-4464-9CD3-FD5A1986D2DF}" type="presParOf" srcId="{C8BF808E-5B93-40CE-ADFF-EDF36077D048}" destId="{9A299C53-E69B-45E3-90CD-8EDF998B3097}" srcOrd="1" destOrd="0" presId="urn:microsoft.com/office/officeart/2005/8/layout/orgChart1"/>
    <dgm:cxn modelId="{932D9571-7C33-44F5-8C54-A5D05AA9A8F0}" type="presParOf" srcId="{E52C14FC-5421-44B6-A127-C9D3F5FF3CAA}" destId="{4C8CE891-E348-4219-A2E0-515FB796D144}" srcOrd="1" destOrd="0" presId="urn:microsoft.com/office/officeart/2005/8/layout/orgChart1"/>
    <dgm:cxn modelId="{1C076DCE-FAB1-4742-9E74-CA44EDF338D2}" type="presParOf" srcId="{E52C14FC-5421-44B6-A127-C9D3F5FF3CAA}" destId="{E601E362-36A7-451E-AE03-2CDE0294B753}" srcOrd="2" destOrd="0" presId="urn:microsoft.com/office/officeart/2005/8/layout/orgChart1"/>
    <dgm:cxn modelId="{223D8365-AA20-4450-B56C-5CCBAF5C8DF0}" type="presParOf" srcId="{4F2E5E88-3B5E-489A-8A40-10DDD0977FEA}" destId="{8F66C558-053C-4E28-B89F-E1F18DA70D55}" srcOrd="2" destOrd="0" presId="urn:microsoft.com/office/officeart/2005/8/layout/orgChart1"/>
    <dgm:cxn modelId="{E093BB74-D559-4804-95F7-0BF146AD0288}" type="presParOf" srcId="{8F66C558-053C-4E28-B89F-E1F18DA70D55}" destId="{40142FC0-F58B-4E36-B463-4AC3A14D8238}" srcOrd="0" destOrd="0" presId="urn:microsoft.com/office/officeart/2005/8/layout/orgChart1"/>
    <dgm:cxn modelId="{4C8C3D3D-5E76-4314-A3A3-CE12A6B73545}" type="presParOf" srcId="{8F66C558-053C-4E28-B89F-E1F18DA70D55}" destId="{FE56E0D5-E3A4-44B2-AF63-E9589FDADA10}" srcOrd="1" destOrd="0" presId="urn:microsoft.com/office/officeart/2005/8/layout/orgChart1"/>
    <dgm:cxn modelId="{E2FFD022-81B8-4400-BCBC-15CCDC4C971E}" type="presParOf" srcId="{FE56E0D5-E3A4-44B2-AF63-E9589FDADA10}" destId="{658F74CC-3FAD-41A2-9723-859AE147E43C}" srcOrd="0" destOrd="0" presId="urn:microsoft.com/office/officeart/2005/8/layout/orgChart1"/>
    <dgm:cxn modelId="{9EAC31DA-D6A7-4E60-BEB8-5C0F9CF0E681}" type="presParOf" srcId="{658F74CC-3FAD-41A2-9723-859AE147E43C}" destId="{84FD2034-3F62-4273-ACE0-F6D1E81A6C5B}" srcOrd="0" destOrd="0" presId="urn:microsoft.com/office/officeart/2005/8/layout/orgChart1"/>
    <dgm:cxn modelId="{B45A7A26-AB09-4A25-9FA6-D2B53DD18674}" type="presParOf" srcId="{658F74CC-3FAD-41A2-9723-859AE147E43C}" destId="{0B03B6A1-21A0-468A-83BB-AAF64F7E2214}" srcOrd="1" destOrd="0" presId="urn:microsoft.com/office/officeart/2005/8/layout/orgChart1"/>
    <dgm:cxn modelId="{696B4871-9D9A-4B40-B2F2-110BBD829E79}" type="presParOf" srcId="{FE56E0D5-E3A4-44B2-AF63-E9589FDADA10}" destId="{7BF64CD9-B757-45C8-83D2-489541FCB752}" srcOrd="1" destOrd="0" presId="urn:microsoft.com/office/officeart/2005/8/layout/orgChart1"/>
    <dgm:cxn modelId="{E2EE0071-805B-476C-A2E4-9896D3068B03}"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98"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10"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ADEDE5C1-D7DD-4EC4-A20D-7A8D7D6AD44F}" type="presOf" srcId="{B0672DE5-C127-4BE3-BD17-339CB0DADC9B}" destId="{D6F1F3D3-260D-4F68-AD95-4A0DA4317686}" srcOrd="0" destOrd="0" presId="urn:microsoft.com/office/officeart/2009/3/layout/HorizontalOrganizationChart"/>
    <dgm:cxn modelId="{E7423794-0C35-43CD-94B2-A3D7CD0AF760}" srcId="{9163BDD8-2C47-4E14-8965-A3E39D67091A}" destId="{B0672DE5-C127-4BE3-BD17-339CB0DADC9B}" srcOrd="1" destOrd="0" parTransId="{52FBE1D3-2045-45CA-81A8-A33F06B848E7}" sibTransId="{3900AB26-3236-4A9F-B0B1-95FF9250F547}"/>
    <dgm:cxn modelId="{F6109FB7-9DB4-47CC-B1AB-09A8B3063492}" type="presOf" srcId="{CCEFF868-9A4F-4063-9F88-234C19420A7B}" destId="{3AE4CFB9-E72B-4514-A627-6A9E9505811E}" srcOrd="1" destOrd="0" presId="urn:microsoft.com/office/officeart/2009/3/layout/HorizontalOrganizationChart"/>
    <dgm:cxn modelId="{D03BA2FA-BB23-420A-80EA-DEC114706402}" type="presOf" srcId="{3A1C57CC-8AFE-4591-9955-BEC2BBA5400A}" destId="{F2F5A153-F7E1-4FC6-A381-7E642DF9A565}" srcOrd="0" destOrd="0" presId="urn:microsoft.com/office/officeart/2009/3/layout/HorizontalOrganizationChart"/>
    <dgm:cxn modelId="{71A219ED-7387-4703-B3C5-B45026434092}" type="presOf" srcId="{82582F96-E333-4C6A-A236-7866D743746E}" destId="{030D6CF6-B997-45CB-80C2-1B212FD1264A}" srcOrd="1" destOrd="0" presId="urn:microsoft.com/office/officeart/2009/3/layout/HorizontalOrganizationChart"/>
    <dgm:cxn modelId="{201DC555-F32B-4569-B8F5-B504D877650B}" type="presOf" srcId="{CCEFF868-9A4F-4063-9F88-234C19420A7B}" destId="{02D656AE-862B-4D20-907C-41811806EF20}" srcOrd="0" destOrd="0" presId="urn:microsoft.com/office/officeart/2009/3/layout/HorizontalOrganizationChart"/>
    <dgm:cxn modelId="{169097DF-4A7D-4B11-B3F0-92F7CF482BB9}" type="presOf" srcId="{06FEB7A1-82EA-4633-BE71-15CE878847A3}" destId="{57BADDCE-E03D-4FA8-BE95-75A53E54CF23}" srcOrd="0" destOrd="0" presId="urn:microsoft.com/office/officeart/2009/3/layout/HorizontalOrganizationChart"/>
    <dgm:cxn modelId="{0AAECCB0-D40C-475B-BDDC-64ADA8702B89}" srcId="{9163BDD8-2C47-4E14-8965-A3E39D67091A}" destId="{82582F96-E333-4C6A-A236-7866D743746E}" srcOrd="3" destOrd="0" parTransId="{67821A24-D58E-451C-97C2-8D03904E4290}" sibTransId="{099922EF-BB9F-42B2-9F20-80B63D8C27F4}"/>
    <dgm:cxn modelId="{A1AF66E1-051F-4804-8D7E-3F2D6B781244}" type="presOf" srcId="{B0672DE5-C127-4BE3-BD17-339CB0DADC9B}" destId="{F4AB6B3D-7792-4A98-894D-25D7DDEEB802}" srcOrd="1" destOrd="0" presId="urn:microsoft.com/office/officeart/2009/3/layout/HorizontalOrganizationChart"/>
    <dgm:cxn modelId="{EA3D4BE4-41F0-4326-83BB-41A12BD7B850}" type="presOf" srcId="{9163BDD8-2C47-4E14-8965-A3E39D67091A}" destId="{0B5B78F3-2AB4-4184-9AA1-B59BC085CB7F}" srcOrd="0" destOrd="0" presId="urn:microsoft.com/office/officeart/2009/3/layout/HorizontalOrganizationChart"/>
    <dgm:cxn modelId="{3D166216-FE91-425A-AF8E-CCA806F208DE}" type="presOf" srcId="{FCACA7B8-E24E-414E-BFF2-3CB6A038D68D}" destId="{D58F5FB6-D082-4896-AB56-35CB667A078E}" srcOrd="0"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FCC927C8-2BCF-4640-A8B1-073494C50046}" type="presOf" srcId="{9163BDD8-2C47-4E14-8965-A3E39D67091A}" destId="{F141050E-8EB2-4788-A7A0-9AB0355936C5}" srcOrd="1" destOrd="0" presId="urn:microsoft.com/office/officeart/2009/3/layout/HorizontalOrganizationChart"/>
    <dgm:cxn modelId="{9A949551-6EB5-45AB-821C-DC3930CFBB96}" type="presOf" srcId="{03616D25-C1AE-4469-9338-E05FD73FDD85}" destId="{774652DC-0CF5-4FDB-BAC6-ACAD9BF854AB}" srcOrd="0" destOrd="0" presId="urn:microsoft.com/office/officeart/2009/3/layout/HorizontalOrganizationChart"/>
    <dgm:cxn modelId="{05069BB4-A25E-41E3-A5D1-0C5FAA28D569}" srcId="{9163BDD8-2C47-4E14-8965-A3E39D67091A}" destId="{FCACA7B8-E24E-414E-BFF2-3CB6A038D68D}" srcOrd="4" destOrd="0" parTransId="{3A1C57CC-8AFE-4591-9955-BEC2BBA5400A}" sibTransId="{F7A4346C-5991-465C-AFBB-13124747719D}"/>
    <dgm:cxn modelId="{1316A304-83A8-4293-98F8-74E24C6410C8}" type="presOf" srcId="{82582F96-E333-4C6A-A236-7866D743746E}" destId="{A2859573-8743-449F-B0BE-856E93120483}" srcOrd="0" destOrd="0" presId="urn:microsoft.com/office/officeart/2009/3/layout/HorizontalOrganizationChart"/>
    <dgm:cxn modelId="{33F87291-131B-4B5E-B179-E74426A75E4C}" type="presOf" srcId="{67821A24-D58E-451C-97C2-8D03904E4290}" destId="{62246BB3-61B4-429A-82DA-6A8709F903B4}" srcOrd="0" destOrd="0" presId="urn:microsoft.com/office/officeart/2009/3/layout/HorizontalOrganizationChart"/>
    <dgm:cxn modelId="{BBD2A927-D5D5-440B-9779-3953008A3921}" type="presOf" srcId="{52FBE1D3-2045-45CA-81A8-A33F06B848E7}" destId="{5656AFC0-7941-4651-9D43-51D15990D6BF}" srcOrd="0" destOrd="0" presId="urn:microsoft.com/office/officeart/2009/3/layout/HorizontalOrganizationChart"/>
    <dgm:cxn modelId="{F3C1974B-789D-4882-B190-9D2BA5B576D6}" type="presOf" srcId="{F8C2F4A2-DA6B-4713-99BA-8F33AF425422}" destId="{AB74ACE2-BF0F-4080-9B9E-E492C100786A}" srcOrd="0"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1ECD03A9-AE34-457E-8A44-93D58DB9C41F}" srcId="{9163BDD8-2C47-4E14-8965-A3E39D67091A}" destId="{CCEFF868-9A4F-4063-9F88-234C19420A7B}" srcOrd="0" destOrd="0" parTransId="{03616D25-C1AE-4469-9338-E05FD73FDD85}" sibTransId="{E1C81030-D091-47D3-9426-B0117320EF73}"/>
    <dgm:cxn modelId="{3A3D9E90-C361-4DC1-9782-B7CD51A5D2F7}" type="presOf" srcId="{FCACA7B8-E24E-414E-BFF2-3CB6A038D68D}" destId="{70AD86C5-0EC7-469F-BBDF-B5EEE01D0629}" srcOrd="1" destOrd="0" presId="urn:microsoft.com/office/officeart/2009/3/layout/HorizontalOrganizationChart"/>
    <dgm:cxn modelId="{21CF896B-6549-4227-B1F6-46E1852F197F}" type="presOf" srcId="{69EEC355-63BB-4E13-BAB2-99449E814583}" destId="{6B3DC0B3-23CB-405B-B74F-72DC623544A2}" srcOrd="0" destOrd="0" presId="urn:microsoft.com/office/officeart/2009/3/layout/HorizontalOrganizationChart"/>
    <dgm:cxn modelId="{42C7E658-A1CC-4A61-80D6-8CC4F49705CD}" type="presOf" srcId="{06FEB7A1-82EA-4633-BE71-15CE878847A3}" destId="{B1B7CB88-C661-4565-9821-8115D92F456A}" srcOrd="1" destOrd="0" presId="urn:microsoft.com/office/officeart/2009/3/layout/HorizontalOrganizationChart"/>
    <dgm:cxn modelId="{3AFC3D27-1C54-404F-A668-89FA01B56B77}" type="presParOf" srcId="{6B3DC0B3-23CB-405B-B74F-72DC623544A2}" destId="{97A8CDA7-B7B6-427F-9D33-90C588D98000}" srcOrd="0" destOrd="0" presId="urn:microsoft.com/office/officeart/2009/3/layout/HorizontalOrganizationChart"/>
    <dgm:cxn modelId="{2667C7E0-06AE-4F41-80FE-46EA89EEB678}" type="presParOf" srcId="{97A8CDA7-B7B6-427F-9D33-90C588D98000}" destId="{2A581CF9-CFC1-4BC1-B396-A55C50DC4897}" srcOrd="0" destOrd="0" presId="urn:microsoft.com/office/officeart/2009/3/layout/HorizontalOrganizationChart"/>
    <dgm:cxn modelId="{04EE8775-F756-4147-AF4C-7879C5B6C470}" type="presParOf" srcId="{2A581CF9-CFC1-4BC1-B396-A55C50DC4897}" destId="{0B5B78F3-2AB4-4184-9AA1-B59BC085CB7F}" srcOrd="0" destOrd="0" presId="urn:microsoft.com/office/officeart/2009/3/layout/HorizontalOrganizationChart"/>
    <dgm:cxn modelId="{6B7F98AE-5C2E-44A0-88C9-B213BB27945E}" type="presParOf" srcId="{2A581CF9-CFC1-4BC1-B396-A55C50DC4897}" destId="{F141050E-8EB2-4788-A7A0-9AB0355936C5}" srcOrd="1" destOrd="0" presId="urn:microsoft.com/office/officeart/2009/3/layout/HorizontalOrganizationChart"/>
    <dgm:cxn modelId="{D38811D9-3888-4A7F-8BC6-4855F9DB8964}" type="presParOf" srcId="{97A8CDA7-B7B6-427F-9D33-90C588D98000}" destId="{990E6686-C181-4D49-8B21-748CAF817DE8}" srcOrd="1" destOrd="0" presId="urn:microsoft.com/office/officeart/2009/3/layout/HorizontalOrganizationChart"/>
    <dgm:cxn modelId="{483FD16E-FFE8-4CBB-BA20-785F0371FC08}" type="presParOf" srcId="{990E6686-C181-4D49-8B21-748CAF817DE8}" destId="{5656AFC0-7941-4651-9D43-51D15990D6BF}" srcOrd="0" destOrd="0" presId="urn:microsoft.com/office/officeart/2009/3/layout/HorizontalOrganizationChart"/>
    <dgm:cxn modelId="{DA9DFFF4-0470-4287-BC2A-24EFD0E546A8}" type="presParOf" srcId="{990E6686-C181-4D49-8B21-748CAF817DE8}" destId="{37C40935-66D1-4EAD-A9C3-A633AD9EECB0}" srcOrd="1" destOrd="0" presId="urn:microsoft.com/office/officeart/2009/3/layout/HorizontalOrganizationChart"/>
    <dgm:cxn modelId="{836D613C-8DC4-4F30-9BB7-8B5C3F6A48A6}" type="presParOf" srcId="{37C40935-66D1-4EAD-A9C3-A633AD9EECB0}" destId="{E215F406-72B4-4359-BAA3-D1D24A550080}" srcOrd="0" destOrd="0" presId="urn:microsoft.com/office/officeart/2009/3/layout/HorizontalOrganizationChart"/>
    <dgm:cxn modelId="{7562DD77-C29B-4846-8CA8-5F5CF65D80EA}" type="presParOf" srcId="{E215F406-72B4-4359-BAA3-D1D24A550080}" destId="{D6F1F3D3-260D-4F68-AD95-4A0DA4317686}" srcOrd="0" destOrd="0" presId="urn:microsoft.com/office/officeart/2009/3/layout/HorizontalOrganizationChart"/>
    <dgm:cxn modelId="{EFA548D9-2636-42EA-8E68-E907648416C6}" type="presParOf" srcId="{E215F406-72B4-4359-BAA3-D1D24A550080}" destId="{F4AB6B3D-7792-4A98-894D-25D7DDEEB802}" srcOrd="1" destOrd="0" presId="urn:microsoft.com/office/officeart/2009/3/layout/HorizontalOrganizationChart"/>
    <dgm:cxn modelId="{F42CA2ED-DB50-451F-B28B-CEA5E64A93AF}" type="presParOf" srcId="{37C40935-66D1-4EAD-A9C3-A633AD9EECB0}" destId="{8BB0AD10-4B34-4397-846D-043426EC0E0E}" srcOrd="1" destOrd="0" presId="urn:microsoft.com/office/officeart/2009/3/layout/HorizontalOrganizationChart"/>
    <dgm:cxn modelId="{8E9E5555-77E0-4443-93D1-C5DA244BAAF9}" type="presParOf" srcId="{37C40935-66D1-4EAD-A9C3-A633AD9EECB0}" destId="{15074185-9AAE-4AFD-82F2-FFE28E241AD1}" srcOrd="2" destOrd="0" presId="urn:microsoft.com/office/officeart/2009/3/layout/HorizontalOrganizationChart"/>
    <dgm:cxn modelId="{24A97507-108A-4BCF-8E57-73036631C6D2}" type="presParOf" srcId="{990E6686-C181-4D49-8B21-748CAF817DE8}" destId="{AB74ACE2-BF0F-4080-9B9E-E492C100786A}" srcOrd="2" destOrd="0" presId="urn:microsoft.com/office/officeart/2009/3/layout/HorizontalOrganizationChart"/>
    <dgm:cxn modelId="{BEEE7A23-438C-4C8C-9255-82BAEEBE7F27}" type="presParOf" srcId="{990E6686-C181-4D49-8B21-748CAF817DE8}" destId="{C4EEE439-09BC-4C63-A486-D4F03DB2A268}" srcOrd="3" destOrd="0" presId="urn:microsoft.com/office/officeart/2009/3/layout/HorizontalOrganizationChart"/>
    <dgm:cxn modelId="{5F5E13EC-3161-43B7-847B-6A36C22822AE}" type="presParOf" srcId="{C4EEE439-09BC-4C63-A486-D4F03DB2A268}" destId="{1E0DBC08-7B36-4049-AEDD-609196E5D0F3}" srcOrd="0" destOrd="0" presId="urn:microsoft.com/office/officeart/2009/3/layout/HorizontalOrganizationChart"/>
    <dgm:cxn modelId="{9ABA56C1-0DAF-4CB1-81A7-53A3D6040450}" type="presParOf" srcId="{1E0DBC08-7B36-4049-AEDD-609196E5D0F3}" destId="{57BADDCE-E03D-4FA8-BE95-75A53E54CF23}" srcOrd="0" destOrd="0" presId="urn:microsoft.com/office/officeart/2009/3/layout/HorizontalOrganizationChart"/>
    <dgm:cxn modelId="{1576F4C1-2D61-45B0-9717-4063EC193480}" type="presParOf" srcId="{1E0DBC08-7B36-4049-AEDD-609196E5D0F3}" destId="{B1B7CB88-C661-4565-9821-8115D92F456A}" srcOrd="1" destOrd="0" presId="urn:microsoft.com/office/officeart/2009/3/layout/HorizontalOrganizationChart"/>
    <dgm:cxn modelId="{72AD9D83-8FA0-4F4D-A2C6-DD5DE0B03B36}" type="presParOf" srcId="{C4EEE439-09BC-4C63-A486-D4F03DB2A268}" destId="{7CEEF45C-BD21-42F2-9A38-8FADB72AA3D2}" srcOrd="1" destOrd="0" presId="urn:microsoft.com/office/officeart/2009/3/layout/HorizontalOrganizationChart"/>
    <dgm:cxn modelId="{CDBD69F4-372F-42D3-B8ED-DF3D7B56F089}" type="presParOf" srcId="{C4EEE439-09BC-4C63-A486-D4F03DB2A268}" destId="{5C4BEAEC-7AD7-47F7-8AF7-1D6A2DA5D9E7}" srcOrd="2" destOrd="0" presId="urn:microsoft.com/office/officeart/2009/3/layout/HorizontalOrganizationChart"/>
    <dgm:cxn modelId="{F04F2178-A783-4903-AD74-D74C19B0DD6C}" type="presParOf" srcId="{990E6686-C181-4D49-8B21-748CAF817DE8}" destId="{62246BB3-61B4-429A-82DA-6A8709F903B4}" srcOrd="4" destOrd="0" presId="urn:microsoft.com/office/officeart/2009/3/layout/HorizontalOrganizationChart"/>
    <dgm:cxn modelId="{1615C33B-1DA8-4629-9A84-C01B06691369}" type="presParOf" srcId="{990E6686-C181-4D49-8B21-748CAF817DE8}" destId="{CCB1924E-5743-483E-8E4E-9496BD4AF8DE}" srcOrd="5" destOrd="0" presId="urn:microsoft.com/office/officeart/2009/3/layout/HorizontalOrganizationChart"/>
    <dgm:cxn modelId="{0B1F2AFB-A774-4737-80A4-E282AA179409}" type="presParOf" srcId="{CCB1924E-5743-483E-8E4E-9496BD4AF8DE}" destId="{63A2A753-B1C2-43B3-83BA-FB585B5214EA}" srcOrd="0" destOrd="0" presId="urn:microsoft.com/office/officeart/2009/3/layout/HorizontalOrganizationChart"/>
    <dgm:cxn modelId="{4F7B33D7-7D11-48FD-8042-2CC8C1B5A6D8}" type="presParOf" srcId="{63A2A753-B1C2-43B3-83BA-FB585B5214EA}" destId="{A2859573-8743-449F-B0BE-856E93120483}" srcOrd="0" destOrd="0" presId="urn:microsoft.com/office/officeart/2009/3/layout/HorizontalOrganizationChart"/>
    <dgm:cxn modelId="{2D90924E-841C-49B1-9F12-A3098EA61DCC}" type="presParOf" srcId="{63A2A753-B1C2-43B3-83BA-FB585B5214EA}" destId="{030D6CF6-B997-45CB-80C2-1B212FD1264A}" srcOrd="1" destOrd="0" presId="urn:microsoft.com/office/officeart/2009/3/layout/HorizontalOrganizationChart"/>
    <dgm:cxn modelId="{DDC98B34-844A-4B51-99E3-EF2E3486F5BB}" type="presParOf" srcId="{CCB1924E-5743-483E-8E4E-9496BD4AF8DE}" destId="{E0E2188C-9254-431F-A412-B26F7909AC82}" srcOrd="1" destOrd="0" presId="urn:microsoft.com/office/officeart/2009/3/layout/HorizontalOrganizationChart"/>
    <dgm:cxn modelId="{B4B27635-9811-4E93-89A4-0B200ADC825F}" type="presParOf" srcId="{CCB1924E-5743-483E-8E4E-9496BD4AF8DE}" destId="{6CD60838-B237-498F-A9D7-28BA6C2476CB}" srcOrd="2" destOrd="0" presId="urn:microsoft.com/office/officeart/2009/3/layout/HorizontalOrganizationChart"/>
    <dgm:cxn modelId="{744C5F78-C18E-41B9-89F5-4791F576D54E}" type="presParOf" srcId="{990E6686-C181-4D49-8B21-748CAF817DE8}" destId="{F2F5A153-F7E1-4FC6-A381-7E642DF9A565}" srcOrd="6" destOrd="0" presId="urn:microsoft.com/office/officeart/2009/3/layout/HorizontalOrganizationChart"/>
    <dgm:cxn modelId="{747A1B44-C0DC-4A3D-ABF2-EBA9CC2183A5}" type="presParOf" srcId="{990E6686-C181-4D49-8B21-748CAF817DE8}" destId="{BCA1274A-6869-4BFB-924F-F238FC87B12B}" srcOrd="7" destOrd="0" presId="urn:microsoft.com/office/officeart/2009/3/layout/HorizontalOrganizationChart"/>
    <dgm:cxn modelId="{D3945F9D-DF4B-4BE2-A368-5341C15EE1A9}" type="presParOf" srcId="{BCA1274A-6869-4BFB-924F-F238FC87B12B}" destId="{73739171-0177-456B-A942-379D3A38C396}" srcOrd="0" destOrd="0" presId="urn:microsoft.com/office/officeart/2009/3/layout/HorizontalOrganizationChart"/>
    <dgm:cxn modelId="{BD0D2126-5005-467E-B46B-21846546700D}" type="presParOf" srcId="{73739171-0177-456B-A942-379D3A38C396}" destId="{D58F5FB6-D082-4896-AB56-35CB667A078E}" srcOrd="0" destOrd="0" presId="urn:microsoft.com/office/officeart/2009/3/layout/HorizontalOrganizationChart"/>
    <dgm:cxn modelId="{F93BD338-EC35-4F65-90DC-2097916B7F80}" type="presParOf" srcId="{73739171-0177-456B-A942-379D3A38C396}" destId="{70AD86C5-0EC7-469F-BBDF-B5EEE01D0629}" srcOrd="1" destOrd="0" presId="urn:microsoft.com/office/officeart/2009/3/layout/HorizontalOrganizationChart"/>
    <dgm:cxn modelId="{5D52C339-C574-4398-BE4E-76BD22DD9FCA}" type="presParOf" srcId="{BCA1274A-6869-4BFB-924F-F238FC87B12B}" destId="{B54EAD18-5B25-4975-942B-FE189F631BA8}" srcOrd="1" destOrd="0" presId="urn:microsoft.com/office/officeart/2009/3/layout/HorizontalOrganizationChart"/>
    <dgm:cxn modelId="{1A62455C-B99E-45BF-8A1C-175F63E4F56B}" type="presParOf" srcId="{BCA1274A-6869-4BFB-924F-F238FC87B12B}" destId="{BDE880D1-D932-4FEF-9183-E4E536422108}" srcOrd="2" destOrd="0" presId="urn:microsoft.com/office/officeart/2009/3/layout/HorizontalOrganizationChart"/>
    <dgm:cxn modelId="{4419A7A6-BE77-431D-8CAE-CF3A3FB70159}" type="presParOf" srcId="{97A8CDA7-B7B6-427F-9D33-90C588D98000}" destId="{4058F052-2FF2-4B9C-BC4D-32282A70D27A}" srcOrd="2" destOrd="0" presId="urn:microsoft.com/office/officeart/2009/3/layout/HorizontalOrganizationChart"/>
    <dgm:cxn modelId="{9FE4A774-4C71-44EF-AEE9-16883A318529}" type="presParOf" srcId="{4058F052-2FF2-4B9C-BC4D-32282A70D27A}" destId="{774652DC-0CF5-4FDB-BAC6-ACAD9BF854AB}" srcOrd="0" destOrd="0" presId="urn:microsoft.com/office/officeart/2009/3/layout/HorizontalOrganizationChart"/>
    <dgm:cxn modelId="{5F91FE55-3F7B-4512-9B03-43A4CC19154F}" type="presParOf" srcId="{4058F052-2FF2-4B9C-BC4D-32282A70D27A}" destId="{BE5E0FC8-F5D6-4CD4-BAE2-5DADC78FE955}" srcOrd="1" destOrd="0" presId="urn:microsoft.com/office/officeart/2009/3/layout/HorizontalOrganizationChart"/>
    <dgm:cxn modelId="{E335B246-B516-4210-B827-4920D7603196}" type="presParOf" srcId="{BE5E0FC8-F5D6-4CD4-BAE2-5DADC78FE955}" destId="{B985AFF7-98EA-4D25-AF68-30452D1AD619}" srcOrd="0" destOrd="0" presId="urn:microsoft.com/office/officeart/2009/3/layout/HorizontalOrganizationChart"/>
    <dgm:cxn modelId="{DB9F0EDF-045B-49EC-AF72-4A4AB2A21DBF}" type="presParOf" srcId="{B985AFF7-98EA-4D25-AF68-30452D1AD619}" destId="{02D656AE-862B-4D20-907C-41811806EF20}" srcOrd="0" destOrd="0" presId="urn:microsoft.com/office/officeart/2009/3/layout/HorizontalOrganizationChart"/>
    <dgm:cxn modelId="{A013C393-478C-4ABB-8A69-6D0F42CABB9F}" type="presParOf" srcId="{B985AFF7-98EA-4D25-AF68-30452D1AD619}" destId="{3AE4CFB9-E72B-4514-A627-6A9E9505811E}" srcOrd="1" destOrd="0" presId="urn:microsoft.com/office/officeart/2009/3/layout/HorizontalOrganizationChart"/>
    <dgm:cxn modelId="{4A108C0B-2DB7-442A-B1C0-067A0B193244}" type="presParOf" srcId="{BE5E0FC8-F5D6-4CD4-BAE2-5DADC78FE955}" destId="{DB9CC8A7-BC7B-432C-B8BF-69B730499BE2}" srcOrd="1" destOrd="0" presId="urn:microsoft.com/office/officeart/2009/3/layout/HorizontalOrganizationChart"/>
    <dgm:cxn modelId="{759831F5-B456-40AD-BEB6-BC462D98C63C}"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103"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11"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5162AC61-87C3-44A0-B03D-5BF512EA5738}" type="presOf" srcId="{883D1ACB-9802-4130-A637-62123E7EECED}" destId="{8661E355-6D47-490E-8C0C-0EEA533C5D0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9390E611-018E-4C50-A355-BC5973CFEA44}" type="presOf" srcId="{143F8302-F1AF-4AC4-9B3B-7BD9EC4931B8}" destId="{AA435572-59CF-46AB-9A97-BB2BEBF824DA}" srcOrd="0" destOrd="0" presId="urn:microsoft.com/office/officeart/2005/8/layout/hProcess9"/>
    <dgm:cxn modelId="{030CC765-EFC8-41EC-BB29-08107783F69D}" type="presOf" srcId="{6A40D5C5-D42D-422F-A078-53D458913F49}" destId="{51F3DF54-36E6-4B72-83BC-784EB1625918}" srcOrd="0" destOrd="0" presId="urn:microsoft.com/office/officeart/2005/8/layout/hProcess9"/>
    <dgm:cxn modelId="{F7A27AC2-E18C-45A2-8597-F71616BB0DAD}" type="presOf" srcId="{5A8021B1-3B3B-4C9C-A128-A5BF803928B2}" destId="{AB1E07D6-FDC4-4A05-9385-9A6A3DCD6F98}"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76C3314F-DE89-4F84-9F24-8FD4B8CE7C49}" type="presParOf" srcId="{8661E355-6D47-490E-8C0C-0EEA533C5D08}" destId="{AA14AA84-6582-44CD-AAE6-9DF3199D89D7}" srcOrd="0" destOrd="0" presId="urn:microsoft.com/office/officeart/2005/8/layout/hProcess9"/>
    <dgm:cxn modelId="{2EEE4D20-9F72-46D3-8A6E-9FE3289F5AD9}" type="presParOf" srcId="{8661E355-6D47-490E-8C0C-0EEA533C5D08}" destId="{D7188A06-9CE0-4A7C-A415-BA4CDF87C10C}" srcOrd="1" destOrd="0" presId="urn:microsoft.com/office/officeart/2005/8/layout/hProcess9"/>
    <dgm:cxn modelId="{0E075EA3-10D7-446E-9DB2-9BF2C6407AB4}" type="presParOf" srcId="{D7188A06-9CE0-4A7C-A415-BA4CDF87C10C}" destId="{51F3DF54-36E6-4B72-83BC-784EB1625918}" srcOrd="0" destOrd="0" presId="urn:microsoft.com/office/officeart/2005/8/layout/hProcess9"/>
    <dgm:cxn modelId="{EEA4E643-69EA-4D86-96CC-986F798A57F5}" type="presParOf" srcId="{D7188A06-9CE0-4A7C-A415-BA4CDF87C10C}" destId="{74C6EDD8-B29A-418A-B1E5-06BDD2FE5A57}" srcOrd="1" destOrd="0" presId="urn:microsoft.com/office/officeart/2005/8/layout/hProcess9"/>
    <dgm:cxn modelId="{7B10B069-D176-422C-BA3A-CCF35DEE8D37}" type="presParOf" srcId="{D7188A06-9CE0-4A7C-A415-BA4CDF87C10C}" destId="{AB1E07D6-FDC4-4A05-9385-9A6A3DCD6F98}" srcOrd="2" destOrd="0" presId="urn:microsoft.com/office/officeart/2005/8/layout/hProcess9"/>
    <dgm:cxn modelId="{1AEAAC52-5304-43FD-95AD-412120AA675C}" type="presParOf" srcId="{D7188A06-9CE0-4A7C-A415-BA4CDF87C10C}" destId="{3FDEEA04-F363-42DE-9C0D-51400E294627}" srcOrd="3" destOrd="0" presId="urn:microsoft.com/office/officeart/2005/8/layout/hProcess9"/>
    <dgm:cxn modelId="{B3D85217-71AF-446F-B61C-3E552562F8C0}"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108"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1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B9895821-7D30-402A-A049-D4109F6196E6}" type="presOf" srcId="{0C3F12C9-80B7-4700-A42C-B951A5F154BD}" destId="{39F3A5E2-A17A-4853-AE9E-F6B6D6C322D8}" srcOrd="1" destOrd="0" presId="urn:microsoft.com/office/officeart/2005/8/layout/hierarchy2"/>
    <dgm:cxn modelId="{CBCEB530-C5E5-445D-8A2E-9C0434CE5E1B}" srcId="{625E5F4C-91A4-43AB-8320-4663A658FC11}" destId="{260E5AAD-DC9A-428A-8FC6-440D57C8B3A3}" srcOrd="0" destOrd="0" parTransId="{0C3F12C9-80B7-4700-A42C-B951A5F154BD}" sibTransId="{E808AB13-55B4-4986-A4B4-4038FC63CDC2}"/>
    <dgm:cxn modelId="{17A3B9FE-F5E6-48C4-B43C-95675E66C9F5}" srcId="{0C76BCD8-9910-4B38-8AD3-359D3D907466}" destId="{295037B0-ABC1-49C4-80A1-49324D1D271B}" srcOrd="0" destOrd="0" parTransId="{3A04E2BE-6990-40BC-A38E-FDEE5C384199}" sibTransId="{532B069B-8359-4BFD-812A-1D207EE650E9}"/>
    <dgm:cxn modelId="{32D68E34-6984-4FD5-8972-6A6C29D4A645}" type="presOf" srcId="{881E45D0-0AFE-4F5B-ADAB-25E796FC582C}" destId="{A393E8F0-4A97-43FB-87F1-B725754F5C04}" srcOrd="0" destOrd="0" presId="urn:microsoft.com/office/officeart/2005/8/layout/hierarchy2"/>
    <dgm:cxn modelId="{55D6E7FC-35F8-4489-91F8-2F345DFF7EEA}" type="presOf" srcId="{295037B0-ABC1-49C4-80A1-49324D1D271B}" destId="{0A6EF1A8-9F22-498C-9D4C-17997D2EE438}" srcOrd="0" destOrd="0" presId="urn:microsoft.com/office/officeart/2005/8/layout/hierarchy2"/>
    <dgm:cxn modelId="{1DD018BD-9B01-4611-9043-25007A47F281}" type="presOf" srcId="{3A04E2BE-6990-40BC-A38E-FDEE5C384199}" destId="{D2EBDF05-DB72-48B0-BFC6-DB38B4F81BD4}" srcOrd="0" destOrd="0" presId="urn:microsoft.com/office/officeart/2005/8/layout/hierarchy2"/>
    <dgm:cxn modelId="{77A0AC19-7F91-4C41-9F7D-060FB2EF6CC5}" type="presOf" srcId="{260E5AAD-DC9A-428A-8FC6-440D57C8B3A3}" destId="{AC727610-2ABF-441D-9DF6-61C7A3E8896F}" srcOrd="0" destOrd="0" presId="urn:microsoft.com/office/officeart/2005/8/layout/hierarchy2"/>
    <dgm:cxn modelId="{583CC695-4A95-49E2-B6F9-793EA7FB3804}" type="presOf" srcId="{625E5F4C-91A4-43AB-8320-4663A658FC11}" destId="{A585BD87-21FC-42C9-AFE4-61DFFFD54E5C}" srcOrd="0" destOrd="0" presId="urn:microsoft.com/office/officeart/2005/8/layout/hierarchy2"/>
    <dgm:cxn modelId="{65C2EC65-952B-450A-91FC-6BC91FBB07E0}" type="presOf" srcId="{0C76BCD8-9910-4B38-8AD3-359D3D907466}" destId="{4436D034-8F5D-4167-8691-8F8EA77FE285}" srcOrd="0"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42B95197-E38B-44D5-AD0C-540600F82237}" type="presOf" srcId="{3A04E2BE-6990-40BC-A38E-FDEE5C384199}" destId="{218E588F-589B-48F2-9E74-55B8C788C258}" srcOrd="1"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F3B3B377-0FA6-4728-BD06-F0275FF6B2C5}" type="presOf" srcId="{0C3F12C9-80B7-4700-A42C-B951A5F154BD}" destId="{A8111FA3-F3CB-4919-9821-8B6C9F4B41DC}" srcOrd="0" destOrd="0" presId="urn:microsoft.com/office/officeart/2005/8/layout/hierarchy2"/>
    <dgm:cxn modelId="{9D9FAA66-42E3-4827-9739-5495CC3C3EE6}" type="presParOf" srcId="{A393E8F0-4A97-43FB-87F1-B725754F5C04}" destId="{3D85FCE7-7277-4807-A17A-BF1782FE3025}" srcOrd="0" destOrd="0" presId="urn:microsoft.com/office/officeart/2005/8/layout/hierarchy2"/>
    <dgm:cxn modelId="{4F692FBE-4840-4291-B463-CEB641226988}" type="presParOf" srcId="{3D85FCE7-7277-4807-A17A-BF1782FE3025}" destId="{A585BD87-21FC-42C9-AFE4-61DFFFD54E5C}" srcOrd="0" destOrd="0" presId="urn:microsoft.com/office/officeart/2005/8/layout/hierarchy2"/>
    <dgm:cxn modelId="{4ECC32ED-F636-42D3-B02F-0EE4828B44F9}" type="presParOf" srcId="{3D85FCE7-7277-4807-A17A-BF1782FE3025}" destId="{787BE1D2-0597-4DB7-99CC-1306BC0699BF}" srcOrd="1" destOrd="0" presId="urn:microsoft.com/office/officeart/2005/8/layout/hierarchy2"/>
    <dgm:cxn modelId="{0BFDC67B-6D4D-40F5-8168-35194B3F4303}" type="presParOf" srcId="{787BE1D2-0597-4DB7-99CC-1306BC0699BF}" destId="{A8111FA3-F3CB-4919-9821-8B6C9F4B41DC}" srcOrd="0" destOrd="0" presId="urn:microsoft.com/office/officeart/2005/8/layout/hierarchy2"/>
    <dgm:cxn modelId="{B3ACDA21-8056-4D58-8D2B-BD7090A9E2AD}" type="presParOf" srcId="{A8111FA3-F3CB-4919-9821-8B6C9F4B41DC}" destId="{39F3A5E2-A17A-4853-AE9E-F6B6D6C322D8}" srcOrd="0" destOrd="0" presId="urn:microsoft.com/office/officeart/2005/8/layout/hierarchy2"/>
    <dgm:cxn modelId="{6F8F3014-5E67-4CE6-BECD-820A593A4EB0}" type="presParOf" srcId="{787BE1D2-0597-4DB7-99CC-1306BC0699BF}" destId="{D343F650-9306-4622-80C3-2F2077F657B9}" srcOrd="1" destOrd="0" presId="urn:microsoft.com/office/officeart/2005/8/layout/hierarchy2"/>
    <dgm:cxn modelId="{4059172B-3BC2-45BD-9A6A-46B2676F6F9E}" type="presParOf" srcId="{D343F650-9306-4622-80C3-2F2077F657B9}" destId="{AC727610-2ABF-441D-9DF6-61C7A3E8896F}" srcOrd="0" destOrd="0" presId="urn:microsoft.com/office/officeart/2005/8/layout/hierarchy2"/>
    <dgm:cxn modelId="{E27D6D6F-FC09-4ED1-9A7A-DD0F9BFE483D}" type="presParOf" srcId="{D343F650-9306-4622-80C3-2F2077F657B9}" destId="{E40F0C6C-890F-4B30-9601-A7ABDB1D49EE}" srcOrd="1" destOrd="0" presId="urn:microsoft.com/office/officeart/2005/8/layout/hierarchy2"/>
    <dgm:cxn modelId="{89420CE8-9D7E-454E-AD82-E5E788A2B5FE}" type="presParOf" srcId="{A393E8F0-4A97-43FB-87F1-B725754F5C04}" destId="{329CC2C0-3121-4859-BCE5-A5E41163D9FF}" srcOrd="1" destOrd="0" presId="urn:microsoft.com/office/officeart/2005/8/layout/hierarchy2"/>
    <dgm:cxn modelId="{57BB6924-BA18-43E4-98BF-1951BB7F202A}" type="presParOf" srcId="{329CC2C0-3121-4859-BCE5-A5E41163D9FF}" destId="{4436D034-8F5D-4167-8691-8F8EA77FE285}" srcOrd="0" destOrd="0" presId="urn:microsoft.com/office/officeart/2005/8/layout/hierarchy2"/>
    <dgm:cxn modelId="{6801C7D1-2B2D-4708-B001-129AE7F0AD33}" type="presParOf" srcId="{329CC2C0-3121-4859-BCE5-A5E41163D9FF}" destId="{EF2B3B55-F3F4-4E51-80BD-CB631CB2E5A5}" srcOrd="1" destOrd="0" presId="urn:microsoft.com/office/officeart/2005/8/layout/hierarchy2"/>
    <dgm:cxn modelId="{4EB6A783-16B5-4A12-8B59-A31062754649}" type="presParOf" srcId="{EF2B3B55-F3F4-4E51-80BD-CB631CB2E5A5}" destId="{D2EBDF05-DB72-48B0-BFC6-DB38B4F81BD4}" srcOrd="0" destOrd="0" presId="urn:microsoft.com/office/officeart/2005/8/layout/hierarchy2"/>
    <dgm:cxn modelId="{FCAD924F-D0DD-4E05-826C-59C464889F1C}" type="presParOf" srcId="{D2EBDF05-DB72-48B0-BFC6-DB38B4F81BD4}" destId="{218E588F-589B-48F2-9E74-55B8C788C258}" srcOrd="0" destOrd="0" presId="urn:microsoft.com/office/officeart/2005/8/layout/hierarchy2"/>
    <dgm:cxn modelId="{EC59CF5F-2394-424F-8B63-335D7126824A}" type="presParOf" srcId="{EF2B3B55-F3F4-4E51-80BD-CB631CB2E5A5}" destId="{C0851CC5-2CE5-40B8-A643-9AD6B497E6F1}" srcOrd="1" destOrd="0" presId="urn:microsoft.com/office/officeart/2005/8/layout/hierarchy2"/>
    <dgm:cxn modelId="{D26F029F-7C57-4C89-BF3C-2BDD160FC86C}" type="presParOf" srcId="{C0851CC5-2CE5-40B8-A643-9AD6B497E6F1}" destId="{0A6EF1A8-9F22-498C-9D4C-17997D2EE438}" srcOrd="0" destOrd="0" presId="urn:microsoft.com/office/officeart/2005/8/layout/hierarchy2"/>
    <dgm:cxn modelId="{A01E289B-373F-45FE-9CA9-AFB38DCDC17A}"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13"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13"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8DDD8D88-96DA-4762-BA75-31B6D501EFA5}" type="presOf" srcId="{24DFA86B-D349-4A0B-B339-17FFB5846100}" destId="{F2EF7353-2693-4D26-9789-DF8F1D53C386}" srcOrd="0" destOrd="0" presId="urn:microsoft.com/office/officeart/2005/8/layout/orgChart1"/>
    <dgm:cxn modelId="{ADED1ECE-6F54-4CBE-BAA9-E61765E0D376}" srcId="{FAC4ADAA-821C-4919-A46D-717EEFA5DFAE}" destId="{DC4B1A7F-CC5B-45E6-911F-ED6766CE2591}" srcOrd="0" destOrd="0" parTransId="{39A66D0C-641F-46CA-BCE2-081E343576BD}" sibTransId="{AF285F4F-E4D9-4ECE-8FB5-18C81FA80D59}"/>
    <dgm:cxn modelId="{E57E061D-2ABA-40FC-AB66-5CC2F132AB91}" srcId="{FAC4ADAA-821C-4919-A46D-717EEFA5DFAE}" destId="{62105EC5-48AF-4367-831A-2825A248DF04}" srcOrd="1" destOrd="0" parTransId="{A06789C6-FCD1-4B86-AD4C-BC7860CEEFA3}" sibTransId="{5DB7DDB7-837E-432A-BD41-2920B94AC9AE}"/>
    <dgm:cxn modelId="{F9C81157-C610-4D26-9C6C-2CE6C900B223}" type="presOf" srcId="{A58E744C-6C32-4DAD-8C3A-18451847E152}" destId="{40E54204-9F18-4A4D-B3CF-232E466168AA}" srcOrd="0" destOrd="0" presId="urn:microsoft.com/office/officeart/2005/8/layout/orgChart1"/>
    <dgm:cxn modelId="{DA2C9919-D1B0-4C33-B552-9D8F6E7957AA}" type="presOf" srcId="{62105EC5-48AF-4367-831A-2825A248DF04}" destId="{AF7A5E30-790C-4E0A-8D06-C2B15C460200}" srcOrd="0" destOrd="0" presId="urn:microsoft.com/office/officeart/2005/8/layout/orgChart1"/>
    <dgm:cxn modelId="{DFBAE954-FF68-40A7-8B39-79C544450C7E}" type="presOf" srcId="{DC4B1A7F-CC5B-45E6-911F-ED6766CE2591}" destId="{6EB7420C-3ED0-4C5C-9292-D7A5A6601B4B}" srcOrd="1" destOrd="0" presId="urn:microsoft.com/office/officeart/2005/8/layout/orgChart1"/>
    <dgm:cxn modelId="{6BBD8F2D-91FC-4976-B7B8-1072A425BDE4}" type="presOf" srcId="{CBC8819C-7131-4BAA-A80E-F94A1AF206A1}" destId="{9D465E46-173D-4D78-A439-07402ED08FB1}" srcOrd="0" destOrd="0" presId="urn:microsoft.com/office/officeart/2005/8/layout/orgChart1"/>
    <dgm:cxn modelId="{D737D4DD-4718-476E-AED7-ACAAC6DB524D}" type="presOf" srcId="{62105EC5-48AF-4367-831A-2825A248DF04}" destId="{16A1DAA5-FAC9-4DBB-88F0-33E4308A65CA}" srcOrd="1" destOrd="0" presId="urn:microsoft.com/office/officeart/2005/8/layout/orgChart1"/>
    <dgm:cxn modelId="{35D6CD7F-59C3-4F62-8B72-AE06955E6021}" type="presOf" srcId="{A58E744C-6C32-4DAD-8C3A-18451847E152}" destId="{D608C5E1-53FA-4B22-A35D-5472412FF186}" srcOrd="1" destOrd="0" presId="urn:microsoft.com/office/officeart/2005/8/layout/orgChart1"/>
    <dgm:cxn modelId="{6142E6EC-B65B-4259-819C-52BCEB6260B7}" type="presOf" srcId="{A06789C6-FCD1-4B86-AD4C-BC7860CEEFA3}" destId="{E750CFEB-3C5E-45BA-B9A9-112E80E2A5BF}"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98529833-4F62-44C8-B55D-C787D63B6609}" type="presOf" srcId="{D43DDAA5-4B2D-4EA7-AB60-FACDED37C99E}" destId="{17878173-F4A6-46C4-ABDD-8850F220BCD8}" srcOrd="0"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B90A7D47-872D-4D3D-856F-5724FFB00305}" type="presOf" srcId="{53E1C8AD-7129-4CEB-BD44-119843007D53}" destId="{A9AB369F-1525-491D-85CF-CC0574DA79D7}" srcOrd="1" destOrd="0" presId="urn:microsoft.com/office/officeart/2005/8/layout/orgChart1"/>
    <dgm:cxn modelId="{F6AF97EB-6B42-4D38-9CDE-F12C477C50D5}" type="presOf" srcId="{D43DDAA5-4B2D-4EA7-AB60-FACDED37C99E}" destId="{1B5600AC-6114-4151-A674-57CF02C9B1FA}" srcOrd="1" destOrd="0" presId="urn:microsoft.com/office/officeart/2005/8/layout/orgChart1"/>
    <dgm:cxn modelId="{B708949C-9A11-4DB2-9A4C-0B375826CD7A}" type="presOf" srcId="{A1C7D234-AF47-4C57-9995-76BE88A3D764}" destId="{06F513B8-3546-4591-B10B-087483BE3813}" srcOrd="0" destOrd="0" presId="urn:microsoft.com/office/officeart/2005/8/layout/orgChart1"/>
    <dgm:cxn modelId="{D9891EE2-4862-4C35-8B34-E1DF9E1E172D}" type="presOf" srcId="{FAC4ADAA-821C-4919-A46D-717EEFA5DFAE}" destId="{D55CAC69-4323-435C-A060-7D8912FB4ED0}" srcOrd="1" destOrd="0" presId="urn:microsoft.com/office/officeart/2005/8/layout/orgChart1"/>
    <dgm:cxn modelId="{C0401598-D9B1-44DB-BB27-6C0A6E016AB1}" type="presOf" srcId="{7A0A876D-475C-4A17-A412-F4EA86EBD8CB}" destId="{7EABB9AF-4D10-4334-B18C-FBFD90948856}" srcOrd="0" destOrd="0" presId="urn:microsoft.com/office/officeart/2005/8/layout/orgChart1"/>
    <dgm:cxn modelId="{3BECE0D5-7CAC-4904-A9FC-833F7DE7617E}" type="presOf" srcId="{DC4B1A7F-CC5B-45E6-911F-ED6766CE2591}" destId="{1EF10A14-8DBB-4795-94E7-6148712F4460}" srcOrd="0" destOrd="0" presId="urn:microsoft.com/office/officeart/2005/8/layout/orgChart1"/>
    <dgm:cxn modelId="{F067CE1E-3009-44CF-9EAA-BE2C95D8F163}" type="presOf" srcId="{FAC4ADAA-821C-4919-A46D-717EEFA5DFAE}" destId="{7FAE818A-E320-40ED-90D2-A1A29E6C8938}" srcOrd="0" destOrd="0" presId="urn:microsoft.com/office/officeart/2005/8/layout/orgChart1"/>
    <dgm:cxn modelId="{671B8EB3-E866-49B7-B8CD-DBF1181E7184}" srcId="{FAC4ADAA-821C-4919-A46D-717EEFA5DFAE}" destId="{A58E744C-6C32-4DAD-8C3A-18451847E152}" srcOrd="4" destOrd="0" parTransId="{24DFA86B-D349-4A0B-B339-17FFB5846100}" sibTransId="{7B529A4A-6212-4D81-B3F2-22096DFD3D13}"/>
    <dgm:cxn modelId="{09D5C742-A004-4B91-A8F2-FFBBDB6C0CF1}" srcId="{FAC4ADAA-821C-4919-A46D-717EEFA5DFAE}" destId="{D43DDAA5-4B2D-4EA7-AB60-FACDED37C99E}" srcOrd="2" destOrd="0" parTransId="{CBC8819C-7131-4BAA-A80E-F94A1AF206A1}" sibTransId="{FF131D97-A76E-49E4-9E18-66F1B8B847F5}"/>
    <dgm:cxn modelId="{FC8BEE26-89E5-4995-9C48-9B15D3080602}" type="presOf" srcId="{53E1C8AD-7129-4CEB-BD44-119843007D53}" destId="{8633CB1E-0933-414C-8CAB-DC16D69457A7}" srcOrd="0" destOrd="0" presId="urn:microsoft.com/office/officeart/2005/8/layout/orgChart1"/>
    <dgm:cxn modelId="{003FD6FE-B7A2-47F1-91DF-6C11AB6C5AD3}" type="presOf" srcId="{39A66D0C-641F-46CA-BCE2-081E343576BD}" destId="{B786332D-103B-4B95-A83B-B3F2FB5E1350}" srcOrd="0" destOrd="0" presId="urn:microsoft.com/office/officeart/2005/8/layout/orgChart1"/>
    <dgm:cxn modelId="{88D0BACB-1C2E-4F95-A69C-381779BFAB53}" type="presParOf" srcId="{7EABB9AF-4D10-4334-B18C-FBFD90948856}" destId="{BCA4EF3B-8431-467D-A0FE-2D72263A36A3}" srcOrd="0" destOrd="0" presId="urn:microsoft.com/office/officeart/2005/8/layout/orgChart1"/>
    <dgm:cxn modelId="{FECFAF13-3CDF-40CF-A114-8A811385715C}" type="presParOf" srcId="{BCA4EF3B-8431-467D-A0FE-2D72263A36A3}" destId="{2CDF9DEC-4488-4A8D-820E-3857528E6BC3}" srcOrd="0" destOrd="0" presId="urn:microsoft.com/office/officeart/2005/8/layout/orgChart1"/>
    <dgm:cxn modelId="{A4EF33F6-61CF-4149-AF72-B84C33F99D50}" type="presParOf" srcId="{2CDF9DEC-4488-4A8D-820E-3857528E6BC3}" destId="{7FAE818A-E320-40ED-90D2-A1A29E6C8938}" srcOrd="0" destOrd="0" presId="urn:microsoft.com/office/officeart/2005/8/layout/orgChart1"/>
    <dgm:cxn modelId="{D2B72780-B7B4-411B-A542-0751838C001C}" type="presParOf" srcId="{2CDF9DEC-4488-4A8D-820E-3857528E6BC3}" destId="{D55CAC69-4323-435C-A060-7D8912FB4ED0}" srcOrd="1" destOrd="0" presId="urn:microsoft.com/office/officeart/2005/8/layout/orgChart1"/>
    <dgm:cxn modelId="{32FA8370-325D-4FDC-B864-BF954EE247E7}" type="presParOf" srcId="{BCA4EF3B-8431-467D-A0FE-2D72263A36A3}" destId="{3F3D48F2-BE0B-47A7-A320-D45E8CFEB73E}" srcOrd="1" destOrd="0" presId="urn:microsoft.com/office/officeart/2005/8/layout/orgChart1"/>
    <dgm:cxn modelId="{9FC9E292-5ABA-4FFC-838E-A53AA0EA4D77}" type="presParOf" srcId="{3F3D48F2-BE0B-47A7-A320-D45E8CFEB73E}" destId="{E750CFEB-3C5E-45BA-B9A9-112E80E2A5BF}" srcOrd="0" destOrd="0" presId="urn:microsoft.com/office/officeart/2005/8/layout/orgChart1"/>
    <dgm:cxn modelId="{9771BB74-117B-4039-BEC5-9896890CE22E}" type="presParOf" srcId="{3F3D48F2-BE0B-47A7-A320-D45E8CFEB73E}" destId="{96B7DA59-3C58-4CE5-AEAB-E6DBBF760B48}" srcOrd="1" destOrd="0" presId="urn:microsoft.com/office/officeart/2005/8/layout/orgChart1"/>
    <dgm:cxn modelId="{46F4CD26-A85B-4FDF-A9FA-F39F895A2A09}" type="presParOf" srcId="{96B7DA59-3C58-4CE5-AEAB-E6DBBF760B48}" destId="{7F7907B1-315F-4E37-9943-8126B11E93E1}" srcOrd="0" destOrd="0" presId="urn:microsoft.com/office/officeart/2005/8/layout/orgChart1"/>
    <dgm:cxn modelId="{3FBCCFDF-951B-45EE-82DE-68C615E585B2}" type="presParOf" srcId="{7F7907B1-315F-4E37-9943-8126B11E93E1}" destId="{AF7A5E30-790C-4E0A-8D06-C2B15C460200}" srcOrd="0" destOrd="0" presId="urn:microsoft.com/office/officeart/2005/8/layout/orgChart1"/>
    <dgm:cxn modelId="{90741539-EDA7-4B5E-B938-F745B0091CC0}" type="presParOf" srcId="{7F7907B1-315F-4E37-9943-8126B11E93E1}" destId="{16A1DAA5-FAC9-4DBB-88F0-33E4308A65CA}" srcOrd="1" destOrd="0" presId="urn:microsoft.com/office/officeart/2005/8/layout/orgChart1"/>
    <dgm:cxn modelId="{A353B94B-31C7-4C74-8D7E-104FF2420FCD}" type="presParOf" srcId="{96B7DA59-3C58-4CE5-AEAB-E6DBBF760B48}" destId="{F1A3F73C-483C-43B1-B8B6-8716C168AB6F}" srcOrd="1" destOrd="0" presId="urn:microsoft.com/office/officeart/2005/8/layout/orgChart1"/>
    <dgm:cxn modelId="{4F148DF7-A249-471E-BB5B-12C0BC2FA2FB}" type="presParOf" srcId="{96B7DA59-3C58-4CE5-AEAB-E6DBBF760B48}" destId="{3CA902C5-7D4E-4C84-93DF-73BF877E47EA}" srcOrd="2" destOrd="0" presId="urn:microsoft.com/office/officeart/2005/8/layout/orgChart1"/>
    <dgm:cxn modelId="{8615B68C-32FC-46CD-BB9D-D181AD049E2D}" type="presParOf" srcId="{3F3D48F2-BE0B-47A7-A320-D45E8CFEB73E}" destId="{9D465E46-173D-4D78-A439-07402ED08FB1}" srcOrd="2" destOrd="0" presId="urn:microsoft.com/office/officeart/2005/8/layout/orgChart1"/>
    <dgm:cxn modelId="{442C05BE-C7F8-46A5-B46C-27A7DDD3A006}" type="presParOf" srcId="{3F3D48F2-BE0B-47A7-A320-D45E8CFEB73E}" destId="{913A4FB6-C09B-4B78-A905-64E7DE0644B9}" srcOrd="3" destOrd="0" presId="urn:microsoft.com/office/officeart/2005/8/layout/orgChart1"/>
    <dgm:cxn modelId="{3CFCE3DD-E3F7-4793-BEE5-49BCB73C5157}" type="presParOf" srcId="{913A4FB6-C09B-4B78-A905-64E7DE0644B9}" destId="{83C21B4E-1726-4127-A9FD-5DC8B2964089}" srcOrd="0" destOrd="0" presId="urn:microsoft.com/office/officeart/2005/8/layout/orgChart1"/>
    <dgm:cxn modelId="{7A51157F-18BF-4A07-939C-7F3F1BE6B201}" type="presParOf" srcId="{83C21B4E-1726-4127-A9FD-5DC8B2964089}" destId="{17878173-F4A6-46C4-ABDD-8850F220BCD8}" srcOrd="0" destOrd="0" presId="urn:microsoft.com/office/officeart/2005/8/layout/orgChart1"/>
    <dgm:cxn modelId="{722C1E99-8F71-4CD5-8A24-3BB39AC17BDA}" type="presParOf" srcId="{83C21B4E-1726-4127-A9FD-5DC8B2964089}" destId="{1B5600AC-6114-4151-A674-57CF02C9B1FA}" srcOrd="1" destOrd="0" presId="urn:microsoft.com/office/officeart/2005/8/layout/orgChart1"/>
    <dgm:cxn modelId="{990E66F9-5A81-4F72-A95D-7A7FBA8D9050}" type="presParOf" srcId="{913A4FB6-C09B-4B78-A905-64E7DE0644B9}" destId="{1612DB89-DF6C-4D18-B1FE-F8453B973EEE}" srcOrd="1" destOrd="0" presId="urn:microsoft.com/office/officeart/2005/8/layout/orgChart1"/>
    <dgm:cxn modelId="{0608562E-7602-4028-A107-F5BAC21E7582}" type="presParOf" srcId="{913A4FB6-C09B-4B78-A905-64E7DE0644B9}" destId="{A81513A6-A26D-4F4A-99FF-ADE947B69D62}" srcOrd="2" destOrd="0" presId="urn:microsoft.com/office/officeart/2005/8/layout/orgChart1"/>
    <dgm:cxn modelId="{7B56257D-78D1-48CA-B187-7D494F0A2474}" type="presParOf" srcId="{3F3D48F2-BE0B-47A7-A320-D45E8CFEB73E}" destId="{06F513B8-3546-4591-B10B-087483BE3813}" srcOrd="4" destOrd="0" presId="urn:microsoft.com/office/officeart/2005/8/layout/orgChart1"/>
    <dgm:cxn modelId="{5BF22A68-C216-4FB1-9607-5457339F05A8}" type="presParOf" srcId="{3F3D48F2-BE0B-47A7-A320-D45E8CFEB73E}" destId="{7E87BC56-0C22-4F47-A068-F30268C20E6E}" srcOrd="5" destOrd="0" presId="urn:microsoft.com/office/officeart/2005/8/layout/orgChart1"/>
    <dgm:cxn modelId="{20BBA45F-E143-45E6-BE33-863DD19B520F}" type="presParOf" srcId="{7E87BC56-0C22-4F47-A068-F30268C20E6E}" destId="{D4AFD2FD-4FB7-43BC-A1AE-80455B9B986D}" srcOrd="0" destOrd="0" presId="urn:microsoft.com/office/officeart/2005/8/layout/orgChart1"/>
    <dgm:cxn modelId="{A5393E69-63EF-4F35-9537-130E1C8FAE35}" type="presParOf" srcId="{D4AFD2FD-4FB7-43BC-A1AE-80455B9B986D}" destId="{8633CB1E-0933-414C-8CAB-DC16D69457A7}" srcOrd="0" destOrd="0" presId="urn:microsoft.com/office/officeart/2005/8/layout/orgChart1"/>
    <dgm:cxn modelId="{F682A435-11E0-4250-A9DD-A54B44DC4868}" type="presParOf" srcId="{D4AFD2FD-4FB7-43BC-A1AE-80455B9B986D}" destId="{A9AB369F-1525-491D-85CF-CC0574DA79D7}" srcOrd="1" destOrd="0" presId="urn:microsoft.com/office/officeart/2005/8/layout/orgChart1"/>
    <dgm:cxn modelId="{B2B16280-E3DA-42A0-B476-13E0D3931C90}" type="presParOf" srcId="{7E87BC56-0C22-4F47-A068-F30268C20E6E}" destId="{82F8A84E-84BA-4157-9DC4-ACA5DBA5A1C7}" srcOrd="1" destOrd="0" presId="urn:microsoft.com/office/officeart/2005/8/layout/orgChart1"/>
    <dgm:cxn modelId="{EA05D06F-8CFE-48A4-93C0-789373112C4A}" type="presParOf" srcId="{7E87BC56-0C22-4F47-A068-F30268C20E6E}" destId="{8120DDBF-3F2F-4C2A-93B1-E65747661865}" srcOrd="2" destOrd="0" presId="urn:microsoft.com/office/officeart/2005/8/layout/orgChart1"/>
    <dgm:cxn modelId="{3530CC84-4DD2-4488-93B6-39944BA56033}" type="presParOf" srcId="{3F3D48F2-BE0B-47A7-A320-D45E8CFEB73E}" destId="{F2EF7353-2693-4D26-9789-DF8F1D53C386}" srcOrd="6" destOrd="0" presId="urn:microsoft.com/office/officeart/2005/8/layout/orgChart1"/>
    <dgm:cxn modelId="{12E91E75-9964-4F9E-872E-836B2E5CE18E}" type="presParOf" srcId="{3F3D48F2-BE0B-47A7-A320-D45E8CFEB73E}" destId="{5B05256B-BD24-46D6-8374-5B56C8817FAA}" srcOrd="7" destOrd="0" presId="urn:microsoft.com/office/officeart/2005/8/layout/orgChart1"/>
    <dgm:cxn modelId="{33F3F1CD-914E-4831-8005-245FC49B53BF}" type="presParOf" srcId="{5B05256B-BD24-46D6-8374-5B56C8817FAA}" destId="{2B53C107-FCDD-4B69-912F-CD01CF35B52E}" srcOrd="0" destOrd="0" presId="urn:microsoft.com/office/officeart/2005/8/layout/orgChart1"/>
    <dgm:cxn modelId="{8F1D80C7-E110-49B0-B150-BB31E4257081}" type="presParOf" srcId="{2B53C107-FCDD-4B69-912F-CD01CF35B52E}" destId="{40E54204-9F18-4A4D-B3CF-232E466168AA}" srcOrd="0" destOrd="0" presId="urn:microsoft.com/office/officeart/2005/8/layout/orgChart1"/>
    <dgm:cxn modelId="{D3846EBD-F038-4BF4-8DCB-7EF203E15758}" type="presParOf" srcId="{2B53C107-FCDD-4B69-912F-CD01CF35B52E}" destId="{D608C5E1-53FA-4B22-A35D-5472412FF186}" srcOrd="1" destOrd="0" presId="urn:microsoft.com/office/officeart/2005/8/layout/orgChart1"/>
    <dgm:cxn modelId="{93160BD5-3315-434B-B179-C16F8E8A77F2}" type="presParOf" srcId="{5B05256B-BD24-46D6-8374-5B56C8817FAA}" destId="{0E2252AF-66FA-4825-9395-94D1E71A323D}" srcOrd="1" destOrd="0" presId="urn:microsoft.com/office/officeart/2005/8/layout/orgChart1"/>
    <dgm:cxn modelId="{62FF8D23-1E9A-42EE-9F73-169DDFBD0B1E}" type="presParOf" srcId="{5B05256B-BD24-46D6-8374-5B56C8817FAA}" destId="{AE42524F-C389-4A0A-9702-278A6FB48874}" srcOrd="2" destOrd="0" presId="urn:microsoft.com/office/officeart/2005/8/layout/orgChart1"/>
    <dgm:cxn modelId="{22D87612-17EC-48F6-9B59-ECF204CFA8D9}" type="presParOf" srcId="{BCA4EF3B-8431-467D-A0FE-2D72263A36A3}" destId="{6D285D4E-4063-4E88-AA5F-ABE88896DC34}" srcOrd="2" destOrd="0" presId="urn:microsoft.com/office/officeart/2005/8/layout/orgChart1"/>
    <dgm:cxn modelId="{AE55E500-4344-45F2-929E-E4C3C947987E}" type="presParOf" srcId="{6D285D4E-4063-4E88-AA5F-ABE88896DC34}" destId="{B786332D-103B-4B95-A83B-B3F2FB5E1350}" srcOrd="0" destOrd="0" presId="urn:microsoft.com/office/officeart/2005/8/layout/orgChart1"/>
    <dgm:cxn modelId="{3FF7762F-25EF-4C25-A410-AFE52C8791FC}" type="presParOf" srcId="{6D285D4E-4063-4E88-AA5F-ABE88896DC34}" destId="{F2F978D9-5C32-4640-9249-69511B2BD80C}" srcOrd="1" destOrd="0" presId="urn:microsoft.com/office/officeart/2005/8/layout/orgChart1"/>
    <dgm:cxn modelId="{AB43B806-B925-480B-8B29-1BAFF398F2D1}" type="presParOf" srcId="{F2F978D9-5C32-4640-9249-69511B2BD80C}" destId="{7086BDD5-EA68-4E14-AE32-5ABF22248443}" srcOrd="0" destOrd="0" presId="urn:microsoft.com/office/officeart/2005/8/layout/orgChart1"/>
    <dgm:cxn modelId="{73E4E6AB-EDF1-4B83-B6C2-E547AF42C225}" type="presParOf" srcId="{7086BDD5-EA68-4E14-AE32-5ABF22248443}" destId="{1EF10A14-8DBB-4795-94E7-6148712F4460}" srcOrd="0" destOrd="0" presId="urn:microsoft.com/office/officeart/2005/8/layout/orgChart1"/>
    <dgm:cxn modelId="{AC400A61-5342-4433-A739-D024036CED98}" type="presParOf" srcId="{7086BDD5-EA68-4E14-AE32-5ABF22248443}" destId="{6EB7420C-3ED0-4C5C-9292-D7A5A6601B4B}" srcOrd="1" destOrd="0" presId="urn:microsoft.com/office/officeart/2005/8/layout/orgChart1"/>
    <dgm:cxn modelId="{DBDBFD84-C70C-4C8D-96A4-2C20984CB6D4}" type="presParOf" srcId="{F2F978D9-5C32-4640-9249-69511B2BD80C}" destId="{9A443E04-FA13-459F-B1A9-3C9ED8AA3157}" srcOrd="1" destOrd="0" presId="urn:microsoft.com/office/officeart/2005/8/layout/orgChart1"/>
    <dgm:cxn modelId="{20DD5214-1434-49EA-89B7-5106E7F561A5}"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18"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14"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219FDDF4-CDC4-4888-9EEB-EAE29AC3794C}" type="presOf" srcId="{B786A9AC-1EF8-4F75-A491-45F0FA95C545}" destId="{DBBDA99B-26A8-4ABF-91A1-04A0BA7E1DB0}" srcOrd="1"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B4C589A6-0EA3-4657-B020-05C626A4ABBC}" srcId="{B786A9AC-1EF8-4F75-A491-45F0FA95C545}" destId="{80184D92-4A1B-488F-9628-A6654ED9FE35}" srcOrd="1" destOrd="0" parTransId="{D88C951D-7FB3-45AB-A244-995AAFC436C9}" sibTransId="{C91B25C4-78C1-4972-862F-BEE46EB9D7FC}"/>
    <dgm:cxn modelId="{B250A8A5-8EA0-4CE5-8659-AED9D0194633}" srcId="{8FA247B7-3D65-41FF-BD64-C12EB9CC0410}" destId="{B786A9AC-1EF8-4F75-A491-45F0FA95C545}" srcOrd="0" destOrd="0" parTransId="{DB835837-0AC3-4EA0-BA19-187FDF8B4F67}" sibTransId="{54391398-C69F-4BB8-ACAC-470F5FDDBB4A}"/>
    <dgm:cxn modelId="{71E8CCBA-9CAE-4689-B33D-503C76318B6D}" type="presOf" srcId="{B786A9AC-1EF8-4F75-A491-45F0FA95C545}" destId="{5263950B-1FAA-48EC-9687-E8F0A94FC84D}" srcOrd="0"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69BD645C-CBE6-4EE5-9103-74C50B623A9E}" type="presOf" srcId="{591FBA55-9D52-41F0-BAFE-636FC18A3485}" destId="{368B9A70-A245-4B0D-B0D8-9296A94FDD07}" srcOrd="0" destOrd="0" presId="urn:microsoft.com/office/officeart/2005/8/layout/orgChart1"/>
    <dgm:cxn modelId="{5FDD072A-2536-4DD9-8FD6-B3F0697F782D}" type="presOf" srcId="{D88C951D-7FB3-45AB-A244-995AAFC436C9}" destId="{C14E2368-DDB3-435E-8A3E-1D4AB46571B6}" srcOrd="0" destOrd="0" presId="urn:microsoft.com/office/officeart/2005/8/layout/orgChart1"/>
    <dgm:cxn modelId="{69019F11-CF67-47AB-93BD-8C610457AAAD}" type="presOf" srcId="{B018844E-752B-4441-AC07-DAF0C9BA32B1}" destId="{0B3D25FC-6847-43A1-9E3B-4D3EFF3BBC61}" srcOrd="0" destOrd="0" presId="urn:microsoft.com/office/officeart/2005/8/layout/orgChart1"/>
    <dgm:cxn modelId="{E0E19592-F5B4-4B21-AC5D-49DC9034626C}" type="presOf" srcId="{B018844E-752B-4441-AC07-DAF0C9BA32B1}" destId="{BB391A64-05B3-4E00-8FEC-EE46071AFADF}" srcOrd="1" destOrd="0" presId="urn:microsoft.com/office/officeart/2005/8/layout/orgChart1"/>
    <dgm:cxn modelId="{54D7528C-3C5A-498D-A708-A9D6A63A6B08}" type="presOf" srcId="{80184D92-4A1B-488F-9628-A6654ED9FE35}" destId="{FF4FE4F0-1CF9-4A84-AC37-C286094F1737}" srcOrd="1" destOrd="0" presId="urn:microsoft.com/office/officeart/2005/8/layout/orgChart1"/>
    <dgm:cxn modelId="{FBB51A27-76DB-459E-81F6-6532F4CC9751}" type="presOf" srcId="{8FA247B7-3D65-41FF-BD64-C12EB9CC0410}" destId="{3B050AF4-7000-4928-8FCB-DB6B23C9215C}" srcOrd="0" destOrd="0" presId="urn:microsoft.com/office/officeart/2005/8/layout/orgChart1"/>
    <dgm:cxn modelId="{0A8FFF39-E2E4-4BC5-8EE1-C8D69E292941}" type="presOf" srcId="{80184D92-4A1B-488F-9628-A6654ED9FE35}" destId="{18419EC5-A33D-4CE9-BA16-A50EA40DF010}" srcOrd="0" destOrd="0" presId="urn:microsoft.com/office/officeart/2005/8/layout/orgChart1"/>
    <dgm:cxn modelId="{5D1D6F9F-377A-4E38-9D53-326BFD9F7845}" type="presOf" srcId="{D39DC9A8-45B7-4264-AB10-1F9448B87827}" destId="{DF8D1526-46CC-4706-91C4-58365108D793}" srcOrd="1" destOrd="0" presId="urn:microsoft.com/office/officeart/2005/8/layout/orgChart1"/>
    <dgm:cxn modelId="{6B7E2DB6-DEF7-49D5-9E45-2351CB21894D}" type="presOf" srcId="{D39DC9A8-45B7-4264-AB10-1F9448B87827}" destId="{086FDFA9-E840-4A3E-9C11-545DCE2AD800}" srcOrd="0" destOrd="0" presId="urn:microsoft.com/office/officeart/2005/8/layout/orgChart1"/>
    <dgm:cxn modelId="{BA87CB94-739B-4EDA-847E-1BA1A1294A15}" type="presOf" srcId="{9CDB8ECB-D897-4485-9F41-3FBFB330690B}" destId="{F896771B-FF9C-4C97-8FBF-6A7DD770FCD9}" srcOrd="0" destOrd="0" presId="urn:microsoft.com/office/officeart/2005/8/layout/orgChart1"/>
    <dgm:cxn modelId="{F38C0AC5-1F50-4A23-987B-1F6EFDD6ABEC}" type="presParOf" srcId="{3B050AF4-7000-4928-8FCB-DB6B23C9215C}" destId="{6B210A8F-4A56-48DA-BED9-9A60D5EB5D45}" srcOrd="0" destOrd="0" presId="urn:microsoft.com/office/officeart/2005/8/layout/orgChart1"/>
    <dgm:cxn modelId="{940E3633-FBDD-4AEE-9073-B07B4BFE548B}" type="presParOf" srcId="{6B210A8F-4A56-48DA-BED9-9A60D5EB5D45}" destId="{2AB5E838-6BB7-4F5A-A759-32CE484E639A}" srcOrd="0" destOrd="0" presId="urn:microsoft.com/office/officeart/2005/8/layout/orgChart1"/>
    <dgm:cxn modelId="{ACCCFD8F-21F2-4136-B086-8CA2FFE4208D}" type="presParOf" srcId="{2AB5E838-6BB7-4F5A-A759-32CE484E639A}" destId="{5263950B-1FAA-48EC-9687-E8F0A94FC84D}" srcOrd="0" destOrd="0" presId="urn:microsoft.com/office/officeart/2005/8/layout/orgChart1"/>
    <dgm:cxn modelId="{DB9D6E30-3AF9-46C5-8AC1-537E9CF9A4C9}" type="presParOf" srcId="{2AB5E838-6BB7-4F5A-A759-32CE484E639A}" destId="{DBBDA99B-26A8-4ABF-91A1-04A0BA7E1DB0}" srcOrd="1" destOrd="0" presId="urn:microsoft.com/office/officeart/2005/8/layout/orgChart1"/>
    <dgm:cxn modelId="{85559EC2-67A4-4858-AECB-320B7E1B9DEC}" type="presParOf" srcId="{6B210A8F-4A56-48DA-BED9-9A60D5EB5D45}" destId="{99B848BC-FEDB-474B-A787-518C6236C3BA}" srcOrd="1" destOrd="0" presId="urn:microsoft.com/office/officeart/2005/8/layout/orgChart1"/>
    <dgm:cxn modelId="{11BC5B11-8F51-4628-9772-8A1624C386DC}" type="presParOf" srcId="{99B848BC-FEDB-474B-A787-518C6236C3BA}" destId="{C14E2368-DDB3-435E-8A3E-1D4AB46571B6}" srcOrd="0" destOrd="0" presId="urn:microsoft.com/office/officeart/2005/8/layout/orgChart1"/>
    <dgm:cxn modelId="{637359A0-566F-4D92-8FD9-F3D23ECB5C59}" type="presParOf" srcId="{99B848BC-FEDB-474B-A787-518C6236C3BA}" destId="{9C953FDF-D99D-4A25-AE23-DAD9964A8935}" srcOrd="1" destOrd="0" presId="urn:microsoft.com/office/officeart/2005/8/layout/orgChart1"/>
    <dgm:cxn modelId="{89F37F0C-4E65-46EA-9002-66023EC7344F}" type="presParOf" srcId="{9C953FDF-D99D-4A25-AE23-DAD9964A8935}" destId="{3CB1F7E2-6A3F-4466-9E9B-0B4EA7719065}" srcOrd="0" destOrd="0" presId="urn:microsoft.com/office/officeart/2005/8/layout/orgChart1"/>
    <dgm:cxn modelId="{263F40F8-6845-4D19-9815-FC4F01D8D326}" type="presParOf" srcId="{3CB1F7E2-6A3F-4466-9E9B-0B4EA7719065}" destId="{18419EC5-A33D-4CE9-BA16-A50EA40DF010}" srcOrd="0" destOrd="0" presId="urn:microsoft.com/office/officeart/2005/8/layout/orgChart1"/>
    <dgm:cxn modelId="{2EC89406-47CC-4955-B823-B82219A1A2DD}" type="presParOf" srcId="{3CB1F7E2-6A3F-4466-9E9B-0B4EA7719065}" destId="{FF4FE4F0-1CF9-4A84-AC37-C286094F1737}" srcOrd="1" destOrd="0" presId="urn:microsoft.com/office/officeart/2005/8/layout/orgChart1"/>
    <dgm:cxn modelId="{D116076F-5B80-4CDA-A684-36E1588352A0}" type="presParOf" srcId="{9C953FDF-D99D-4A25-AE23-DAD9964A8935}" destId="{71B99A6D-74D3-455E-817D-EE3883B893CC}" srcOrd="1" destOrd="0" presId="urn:microsoft.com/office/officeart/2005/8/layout/orgChart1"/>
    <dgm:cxn modelId="{AE6CAD74-19CD-44A2-9EC5-70A043234CC8}" type="presParOf" srcId="{9C953FDF-D99D-4A25-AE23-DAD9964A8935}" destId="{48762CF1-8C53-4533-9E8A-2C3972AAE7CF}" srcOrd="2" destOrd="0" presId="urn:microsoft.com/office/officeart/2005/8/layout/orgChart1"/>
    <dgm:cxn modelId="{51975CAF-3BDA-4B22-A9B5-8C15DFAA0172}" type="presParOf" srcId="{99B848BC-FEDB-474B-A787-518C6236C3BA}" destId="{F896771B-FF9C-4C97-8FBF-6A7DD770FCD9}" srcOrd="2" destOrd="0" presId="urn:microsoft.com/office/officeart/2005/8/layout/orgChart1"/>
    <dgm:cxn modelId="{E86BDECA-03D6-4606-95FC-62478E21121C}" type="presParOf" srcId="{99B848BC-FEDB-474B-A787-518C6236C3BA}" destId="{65FD4345-A1A2-4A68-94C0-37A865D75FB4}" srcOrd="3" destOrd="0" presId="urn:microsoft.com/office/officeart/2005/8/layout/orgChart1"/>
    <dgm:cxn modelId="{05AD9889-0B96-480B-BD2D-269E82F6A43C}" type="presParOf" srcId="{65FD4345-A1A2-4A68-94C0-37A865D75FB4}" destId="{AC59A6D5-7EF5-480B-8B11-1277A3F62A08}" srcOrd="0" destOrd="0" presId="urn:microsoft.com/office/officeart/2005/8/layout/orgChart1"/>
    <dgm:cxn modelId="{76304DF1-F0DE-4527-943D-846EB5B4F31A}" type="presParOf" srcId="{AC59A6D5-7EF5-480B-8B11-1277A3F62A08}" destId="{086FDFA9-E840-4A3E-9C11-545DCE2AD800}" srcOrd="0" destOrd="0" presId="urn:microsoft.com/office/officeart/2005/8/layout/orgChart1"/>
    <dgm:cxn modelId="{5F57C8F0-9998-4F36-B2AE-ED208BBD232E}" type="presParOf" srcId="{AC59A6D5-7EF5-480B-8B11-1277A3F62A08}" destId="{DF8D1526-46CC-4706-91C4-58365108D793}" srcOrd="1" destOrd="0" presId="urn:microsoft.com/office/officeart/2005/8/layout/orgChart1"/>
    <dgm:cxn modelId="{C15888D9-6F8B-40A5-9552-7969DD213A81}" type="presParOf" srcId="{65FD4345-A1A2-4A68-94C0-37A865D75FB4}" destId="{3861A097-804C-4555-9D2B-E21F479DE0FA}" srcOrd="1" destOrd="0" presId="urn:microsoft.com/office/officeart/2005/8/layout/orgChart1"/>
    <dgm:cxn modelId="{BC455424-3B99-481B-A6AE-AABB1742260D}" type="presParOf" srcId="{65FD4345-A1A2-4A68-94C0-37A865D75FB4}" destId="{FCBB887A-CE33-4828-B20E-1BC1C43E83CE}" srcOrd="2" destOrd="0" presId="urn:microsoft.com/office/officeart/2005/8/layout/orgChart1"/>
    <dgm:cxn modelId="{73D50791-E9C6-4761-8D13-DDDC3CC538BC}" type="presParOf" srcId="{6B210A8F-4A56-48DA-BED9-9A60D5EB5D45}" destId="{7804BBDF-F592-404B-8B67-A2A12EB2763D}" srcOrd="2" destOrd="0" presId="urn:microsoft.com/office/officeart/2005/8/layout/orgChart1"/>
    <dgm:cxn modelId="{829E5B18-AB38-48E8-8CAF-CF7E0F9652ED}" type="presParOf" srcId="{7804BBDF-F592-404B-8B67-A2A12EB2763D}" destId="{368B9A70-A245-4B0D-B0D8-9296A94FDD07}" srcOrd="0" destOrd="0" presId="urn:microsoft.com/office/officeart/2005/8/layout/orgChart1"/>
    <dgm:cxn modelId="{C9EB1412-E383-4D02-BAB9-1269B5F8AFE0}" type="presParOf" srcId="{7804BBDF-F592-404B-8B67-A2A12EB2763D}" destId="{BED6F904-0D90-48C9-8386-628E9825F3A8}" srcOrd="1" destOrd="0" presId="urn:microsoft.com/office/officeart/2005/8/layout/orgChart1"/>
    <dgm:cxn modelId="{95904BD1-F774-4B1F-9918-2FBDC94D450B}" type="presParOf" srcId="{BED6F904-0D90-48C9-8386-628E9825F3A8}" destId="{CB357CFA-DFAC-436A-B83B-8A9398BACD62}" srcOrd="0" destOrd="0" presId="urn:microsoft.com/office/officeart/2005/8/layout/orgChart1"/>
    <dgm:cxn modelId="{37A11E1D-0019-4C58-A157-8AF43189DFC3}" type="presParOf" srcId="{CB357CFA-DFAC-436A-B83B-8A9398BACD62}" destId="{0B3D25FC-6847-43A1-9E3B-4D3EFF3BBC61}" srcOrd="0" destOrd="0" presId="urn:microsoft.com/office/officeart/2005/8/layout/orgChart1"/>
    <dgm:cxn modelId="{C15834A2-5263-41B1-A5A2-EDDD28F13253}" type="presParOf" srcId="{CB357CFA-DFAC-436A-B83B-8A9398BACD62}" destId="{BB391A64-05B3-4E00-8FEC-EE46071AFADF}" srcOrd="1" destOrd="0" presId="urn:microsoft.com/office/officeart/2005/8/layout/orgChart1"/>
    <dgm:cxn modelId="{8026B05E-C8E5-4801-912F-F4288842A9E7}" type="presParOf" srcId="{BED6F904-0D90-48C9-8386-628E9825F3A8}" destId="{08C75C97-713E-4785-BDFD-44A8F7E50DD5}" srcOrd="1" destOrd="0" presId="urn:microsoft.com/office/officeart/2005/8/layout/orgChart1"/>
    <dgm:cxn modelId="{79A32AE9-723E-4A7F-B676-323C3C5CFA52}"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25"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B7E80D7A-1591-413A-881D-5F36151D540E}" type="doc">
      <dgm:prSet loTypeId="urn:microsoft.com/office/officeart/2005/8/layout/hProcess4" loCatId="process" qsTypeId="urn:microsoft.com/office/officeart/2005/8/quickstyle/3d3" qsCatId="3D" csTypeId="urn:microsoft.com/office/officeart/2005/8/colors/accent1_2#15" csCatId="accent1" phldr="1"/>
      <dgm:spPr/>
      <dgm:t>
        <a:bodyPr/>
        <a:lstStyle/>
        <a:p>
          <a:endParaRPr lang="sk-SK"/>
        </a:p>
      </dgm:t>
    </dgm:pt>
    <dgm:pt modelId="{A9267023-4448-4D04-9845-C74034B30452}">
      <dgm:prSet phldrT="[Text]"/>
      <dgm:spPr/>
      <dgm:t>
        <a:bodyPr/>
        <a:lstStyle/>
        <a:p>
          <a:r>
            <a:rPr lang="sk-SK">
              <a:latin typeface="Times New Roman" panose="02020603050405020304" pitchFamily="18" charset="0"/>
              <a:cs typeface="Times New Roman" panose="02020603050405020304" pitchFamily="18" charset="0"/>
            </a:rPr>
            <a:t>Výzva na predkladanie ŽoNFP</a:t>
          </a:r>
        </a:p>
      </dgm:t>
    </dgm:pt>
    <dgm:pt modelId="{83AF7659-5630-498F-B463-0B1528F8B002}" type="parTrans" cxnId="{66A6D228-9FA6-409E-BC10-EC2C426A3209}">
      <dgm:prSet/>
      <dgm:spPr/>
      <dgm:t>
        <a:bodyPr/>
        <a:lstStyle/>
        <a:p>
          <a:endParaRPr lang="sk-SK"/>
        </a:p>
      </dgm:t>
    </dgm:pt>
    <dgm:pt modelId="{56D4AA13-BB38-4CA4-BD48-3C88F81A0389}" type="sibTrans" cxnId="{66A6D228-9FA6-409E-BC10-EC2C426A3209}">
      <dgm:prSet/>
      <dgm:spPr/>
      <dgm:t>
        <a:bodyPr/>
        <a:lstStyle/>
        <a:p>
          <a:endParaRPr lang="sk-SK"/>
        </a:p>
      </dgm:t>
    </dgm:pt>
    <dgm:pt modelId="{BE13D364-71A6-498F-89BF-7C2D86A81DB2}">
      <dgm:prSet phldrT="[Text]"/>
      <dgm:spPr/>
      <dgm:t>
        <a:bodyPr/>
        <a:lstStyle/>
        <a:p>
          <a:r>
            <a:rPr lang="sk-SK">
              <a:latin typeface="Times New Roman" panose="02020603050405020304" pitchFamily="18" charset="0"/>
              <a:cs typeface="Times New Roman" panose="02020603050405020304" pitchFamily="18" charset="0"/>
            </a:rPr>
            <a:t>Zadefinovanie hodnotiacej správy ako podmienky poskytnutia príspevku</a:t>
          </a:r>
        </a:p>
      </dgm:t>
    </dgm:pt>
    <dgm:pt modelId="{939FC086-8B14-4B5F-A732-744C37CD590A}" type="parTrans" cxnId="{CDC0F83A-B5D8-4C4E-A7DA-EC7C620CD302}">
      <dgm:prSet/>
      <dgm:spPr/>
      <dgm:t>
        <a:bodyPr/>
        <a:lstStyle/>
        <a:p>
          <a:endParaRPr lang="sk-SK"/>
        </a:p>
      </dgm:t>
    </dgm:pt>
    <dgm:pt modelId="{84716248-799E-4F9E-A465-4273FA5C4DE3}" type="sibTrans" cxnId="{CDC0F83A-B5D8-4C4E-A7DA-EC7C620CD302}">
      <dgm:prSet/>
      <dgm:spPr/>
      <dgm:t>
        <a:bodyPr/>
        <a:lstStyle/>
        <a:p>
          <a:endParaRPr lang="sk-SK"/>
        </a:p>
      </dgm:t>
    </dgm:pt>
    <dgm:pt modelId="{246260E9-3809-4A0C-8A45-26049BEE44F7}">
      <dgm:prSet phldrT="[Text]"/>
      <dgm:spPr/>
      <dgm:t>
        <a:bodyPr/>
        <a:lstStyle/>
        <a:p>
          <a:r>
            <a:rPr lang="sk-SK">
              <a:latin typeface="Times New Roman" panose="02020603050405020304" pitchFamily="18" charset="0"/>
              <a:cs typeface="Times New Roman" panose="02020603050405020304" pitchFamily="18" charset="0"/>
            </a:rPr>
            <a:t>Hodnotiaca správa je povinnou prílohou ŽoNFP</a:t>
          </a:r>
        </a:p>
      </dgm:t>
    </dgm:pt>
    <dgm:pt modelId="{9D47B0E4-28D4-43DB-8C32-72F02B481156}" type="parTrans" cxnId="{73A1E6FC-CEE1-4CF1-B9FF-DFEB5B33FA94}">
      <dgm:prSet/>
      <dgm:spPr/>
      <dgm:t>
        <a:bodyPr/>
        <a:lstStyle/>
        <a:p>
          <a:endParaRPr lang="sk-SK"/>
        </a:p>
      </dgm:t>
    </dgm:pt>
    <dgm:pt modelId="{BE607FC2-8DDA-4B8B-9492-7C40A3A8FF5A}" type="sibTrans" cxnId="{73A1E6FC-CEE1-4CF1-B9FF-DFEB5B33FA94}">
      <dgm:prSet/>
      <dgm:spPr/>
      <dgm:t>
        <a:bodyPr/>
        <a:lstStyle/>
        <a:p>
          <a:endParaRPr lang="sk-SK"/>
        </a:p>
      </dgm:t>
    </dgm:pt>
    <dgm:pt modelId="{A019508F-6B5A-4482-A6F8-45EE65C398C7}">
      <dgm:prSet phldrT="[Text]"/>
      <dgm:spPr/>
      <dgm:t>
        <a:bodyPr/>
        <a:lstStyle/>
        <a:p>
          <a:r>
            <a:rPr lang="sk-SK">
              <a:latin typeface="Times New Roman" panose="02020603050405020304" pitchFamily="18" charset="0"/>
              <a:cs typeface="Times New Roman" panose="02020603050405020304" pitchFamily="18" charset="0"/>
            </a:rPr>
            <a:t>Schvaľovací proces ŽoNFP</a:t>
          </a:r>
        </a:p>
      </dgm:t>
    </dgm:pt>
    <dgm:pt modelId="{75941A32-FE02-4C2E-AE9D-FE54BC6AFBA7}" type="parTrans" cxnId="{6ECA07C9-4C0B-4A7C-96E6-EA26627326CE}">
      <dgm:prSet/>
      <dgm:spPr/>
      <dgm:t>
        <a:bodyPr/>
        <a:lstStyle/>
        <a:p>
          <a:endParaRPr lang="sk-SK"/>
        </a:p>
      </dgm:t>
    </dgm:pt>
    <dgm:pt modelId="{91A89FCA-2058-422E-9173-1F042CEA7F7C}" type="sibTrans" cxnId="{6ECA07C9-4C0B-4A7C-96E6-EA26627326CE}">
      <dgm:prSet/>
      <dgm:spPr/>
      <dgm:t>
        <a:bodyPr/>
        <a:lstStyle/>
        <a:p>
          <a:endParaRPr lang="sk-SK"/>
        </a:p>
      </dgm:t>
    </dgm:pt>
    <dgm:pt modelId="{747D0E38-2E5E-49A1-BEE7-970CA6326ADB}">
      <dgm:prSet phldrT="[Text]"/>
      <dgm:spPr/>
      <dgm:t>
        <a:bodyPr/>
        <a:lstStyle/>
        <a:p>
          <a:r>
            <a:rPr lang="sk-SK">
              <a:latin typeface="Times New Roman" panose="02020603050405020304" pitchFamily="18" charset="0"/>
              <a:cs typeface="Times New Roman" panose="02020603050405020304" pitchFamily="18" charset="0"/>
            </a:rPr>
            <a:t>Overenie splnenia podmienky poskytnutia príspevku - predloženie hodnotiacej správy</a:t>
          </a:r>
        </a:p>
      </dgm:t>
    </dgm:pt>
    <dgm:pt modelId="{38FA1AA5-E7B4-41BD-8ED2-2616D4E5DCDC}" type="parTrans" cxnId="{90BA46E2-9335-4B14-83E2-4D1817E168A2}">
      <dgm:prSet/>
      <dgm:spPr/>
      <dgm:t>
        <a:bodyPr/>
        <a:lstStyle/>
        <a:p>
          <a:endParaRPr lang="sk-SK"/>
        </a:p>
      </dgm:t>
    </dgm:pt>
    <dgm:pt modelId="{A72ABBF8-9F43-4739-8E28-AB24C4138BBE}" type="sibTrans" cxnId="{90BA46E2-9335-4B14-83E2-4D1817E168A2}">
      <dgm:prSet/>
      <dgm:spPr/>
      <dgm:t>
        <a:bodyPr/>
        <a:lstStyle/>
        <a:p>
          <a:endParaRPr lang="sk-SK"/>
        </a:p>
      </dgm:t>
    </dgm:pt>
    <dgm:pt modelId="{99351114-DF64-423E-B3B4-B32447B083A7}">
      <dgm:prSet phldrT="[Text]"/>
      <dgm:spPr/>
      <dgm:t>
        <a:bodyPr/>
        <a:lstStyle/>
        <a:p>
          <a:r>
            <a:rPr lang="sk-SK">
              <a:latin typeface="Times New Roman" panose="02020603050405020304" pitchFamily="18" charset="0"/>
              <a:cs typeface="Times New Roman" panose="02020603050405020304" pitchFamily="18" charset="0"/>
            </a:rPr>
            <a:t>Ak bola hodnotiaca správa predložená, overenie ostatných podmienok poskytnuia príspevku</a:t>
          </a:r>
        </a:p>
      </dgm:t>
    </dgm:pt>
    <dgm:pt modelId="{3BE31B17-03F1-4CE3-9FA5-05CF11E59196}" type="parTrans" cxnId="{33F29DF1-A8D6-4D92-939F-7BA8ED38D0A8}">
      <dgm:prSet/>
      <dgm:spPr/>
      <dgm:t>
        <a:bodyPr/>
        <a:lstStyle/>
        <a:p>
          <a:endParaRPr lang="sk-SK"/>
        </a:p>
      </dgm:t>
    </dgm:pt>
    <dgm:pt modelId="{515E723B-32DA-4138-A966-5CCF99002632}" type="sibTrans" cxnId="{33F29DF1-A8D6-4D92-939F-7BA8ED38D0A8}">
      <dgm:prSet/>
      <dgm:spPr/>
      <dgm:t>
        <a:bodyPr/>
        <a:lstStyle/>
        <a:p>
          <a:endParaRPr lang="sk-SK"/>
        </a:p>
      </dgm:t>
    </dgm:pt>
    <dgm:pt modelId="{48A8D62A-1716-4EE0-93FA-34A94BDFDB43}">
      <dgm:prSet phldrT="[Text]"/>
      <dgm:spPr/>
      <dgm:t>
        <a:bodyPr/>
        <a:lstStyle/>
        <a:p>
          <a:r>
            <a:rPr lang="sk-SK">
              <a:latin typeface="Times New Roman" panose="02020603050405020304" pitchFamily="18" charset="0"/>
              <a:cs typeface="Times New Roman" panose="02020603050405020304" pitchFamily="18" charset="0"/>
            </a:rPr>
            <a:t>Výber ŽoNFP</a:t>
          </a:r>
        </a:p>
      </dgm:t>
    </dgm:pt>
    <dgm:pt modelId="{B3DF6529-C532-49D5-A571-02E0589D9702}" type="parTrans" cxnId="{A9F6EBA3-2F36-4048-AE7C-97DB9701DF60}">
      <dgm:prSet/>
      <dgm:spPr/>
      <dgm:t>
        <a:bodyPr/>
        <a:lstStyle/>
        <a:p>
          <a:endParaRPr lang="sk-SK"/>
        </a:p>
      </dgm:t>
    </dgm:pt>
    <dgm:pt modelId="{B52310EF-6C57-4248-A7B8-A8031724B72E}" type="sibTrans" cxnId="{A9F6EBA3-2F36-4048-AE7C-97DB9701DF60}">
      <dgm:prSet/>
      <dgm:spPr/>
      <dgm:t>
        <a:bodyPr/>
        <a:lstStyle/>
        <a:p>
          <a:endParaRPr lang="sk-SK"/>
        </a:p>
      </dgm:t>
    </dgm:pt>
    <dgm:pt modelId="{246F0687-9B6B-4784-9314-0DAA6CAB5F5E}">
      <dgm:prSet phldrT="[Text]"/>
      <dgm:spPr/>
      <dgm:t>
        <a:bodyPr/>
        <a:lstStyle/>
        <a:p>
          <a:r>
            <a:rPr lang="sk-SK">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gm:t>
    </dgm:pt>
    <dgm:pt modelId="{E7939DC9-C684-4DC9-AF3B-9AF6751AA266}" type="parTrans" cxnId="{239EA548-EDCF-4E7E-BF8B-917BA36EFCD2}">
      <dgm:prSet/>
      <dgm:spPr/>
      <dgm:t>
        <a:bodyPr/>
        <a:lstStyle/>
        <a:p>
          <a:endParaRPr lang="sk-SK"/>
        </a:p>
      </dgm:t>
    </dgm:pt>
    <dgm:pt modelId="{E97F3E77-570D-4B0D-BC63-045455B9DA3E}" type="sibTrans" cxnId="{239EA548-EDCF-4E7E-BF8B-917BA36EFCD2}">
      <dgm:prSet/>
      <dgm:spPr/>
      <dgm:t>
        <a:bodyPr/>
        <a:lstStyle/>
        <a:p>
          <a:endParaRPr lang="sk-SK"/>
        </a:p>
      </dgm:t>
    </dgm:pt>
    <dgm:pt modelId="{6EA5AE73-47BE-4655-BA76-DAE6A5B4B6FB}" type="pres">
      <dgm:prSet presAssocID="{B7E80D7A-1591-413A-881D-5F36151D540E}" presName="Name0" presStyleCnt="0">
        <dgm:presLayoutVars>
          <dgm:dir/>
          <dgm:animLvl val="lvl"/>
          <dgm:resizeHandles val="exact"/>
        </dgm:presLayoutVars>
      </dgm:prSet>
      <dgm:spPr/>
      <dgm:t>
        <a:bodyPr/>
        <a:lstStyle/>
        <a:p>
          <a:endParaRPr lang="sk-SK"/>
        </a:p>
      </dgm:t>
    </dgm:pt>
    <dgm:pt modelId="{09E0EA9B-3DC8-44A4-BD55-D6A18B2AECB4}" type="pres">
      <dgm:prSet presAssocID="{B7E80D7A-1591-413A-881D-5F36151D540E}" presName="tSp" presStyleCnt="0"/>
      <dgm:spPr/>
    </dgm:pt>
    <dgm:pt modelId="{33ECAE12-249F-440C-A288-DE3876352805}" type="pres">
      <dgm:prSet presAssocID="{B7E80D7A-1591-413A-881D-5F36151D540E}" presName="bSp" presStyleCnt="0"/>
      <dgm:spPr/>
    </dgm:pt>
    <dgm:pt modelId="{5AA2EB03-7A3E-46AF-82AA-141A8B277CA3}" type="pres">
      <dgm:prSet presAssocID="{B7E80D7A-1591-413A-881D-5F36151D540E}" presName="process" presStyleCnt="0"/>
      <dgm:spPr/>
    </dgm:pt>
    <dgm:pt modelId="{5E999198-FFBA-442A-ACD2-994C316E2F4C}" type="pres">
      <dgm:prSet presAssocID="{A9267023-4448-4D04-9845-C74034B30452}" presName="composite1" presStyleCnt="0"/>
      <dgm:spPr/>
    </dgm:pt>
    <dgm:pt modelId="{8799942B-3C45-4C46-8E6A-F7494CE31801}" type="pres">
      <dgm:prSet presAssocID="{A9267023-4448-4D04-9845-C74034B30452}" presName="dummyNode1" presStyleLbl="node1" presStyleIdx="0" presStyleCnt="3"/>
      <dgm:spPr/>
    </dgm:pt>
    <dgm:pt modelId="{0D60A071-F9FB-479F-8D3A-018FE8F73DD0}" type="pres">
      <dgm:prSet presAssocID="{A9267023-4448-4D04-9845-C74034B30452}" presName="childNode1" presStyleLbl="bgAcc1" presStyleIdx="0" presStyleCnt="3">
        <dgm:presLayoutVars>
          <dgm:bulletEnabled val="1"/>
        </dgm:presLayoutVars>
      </dgm:prSet>
      <dgm:spPr/>
      <dgm:t>
        <a:bodyPr/>
        <a:lstStyle/>
        <a:p>
          <a:endParaRPr lang="sk-SK"/>
        </a:p>
      </dgm:t>
    </dgm:pt>
    <dgm:pt modelId="{9866CC4A-270E-4CF3-92DA-BEB9318C3441}" type="pres">
      <dgm:prSet presAssocID="{A9267023-4448-4D04-9845-C74034B30452}" presName="childNode1tx" presStyleLbl="bgAcc1" presStyleIdx="0" presStyleCnt="3">
        <dgm:presLayoutVars>
          <dgm:bulletEnabled val="1"/>
        </dgm:presLayoutVars>
      </dgm:prSet>
      <dgm:spPr/>
      <dgm:t>
        <a:bodyPr/>
        <a:lstStyle/>
        <a:p>
          <a:endParaRPr lang="sk-SK"/>
        </a:p>
      </dgm:t>
    </dgm:pt>
    <dgm:pt modelId="{B2279E00-E479-4F75-B4BE-F5B3B50F31CB}" type="pres">
      <dgm:prSet presAssocID="{A9267023-4448-4D04-9845-C74034B30452}" presName="parentNode1" presStyleLbl="node1" presStyleIdx="0" presStyleCnt="3">
        <dgm:presLayoutVars>
          <dgm:chMax val="1"/>
          <dgm:bulletEnabled val="1"/>
        </dgm:presLayoutVars>
      </dgm:prSet>
      <dgm:spPr/>
      <dgm:t>
        <a:bodyPr/>
        <a:lstStyle/>
        <a:p>
          <a:endParaRPr lang="sk-SK"/>
        </a:p>
      </dgm:t>
    </dgm:pt>
    <dgm:pt modelId="{FE33A998-CB3C-47D5-ADAB-D4267B63CD93}" type="pres">
      <dgm:prSet presAssocID="{A9267023-4448-4D04-9845-C74034B30452}" presName="connSite1" presStyleCnt="0"/>
      <dgm:spPr/>
    </dgm:pt>
    <dgm:pt modelId="{9A844434-C5FA-4930-BFCF-B6956CA8E855}" type="pres">
      <dgm:prSet presAssocID="{56D4AA13-BB38-4CA4-BD48-3C88F81A0389}" presName="Name9" presStyleLbl="sibTrans2D1" presStyleIdx="0" presStyleCnt="2"/>
      <dgm:spPr/>
      <dgm:t>
        <a:bodyPr/>
        <a:lstStyle/>
        <a:p>
          <a:endParaRPr lang="sk-SK"/>
        </a:p>
      </dgm:t>
    </dgm:pt>
    <dgm:pt modelId="{204A49F3-3082-4C37-89A4-CC0CED3CC65F}" type="pres">
      <dgm:prSet presAssocID="{A019508F-6B5A-4482-A6F8-45EE65C398C7}" presName="composite2" presStyleCnt="0"/>
      <dgm:spPr/>
    </dgm:pt>
    <dgm:pt modelId="{05BEC95C-83D3-4839-BDA6-B22CC0E0AC59}" type="pres">
      <dgm:prSet presAssocID="{A019508F-6B5A-4482-A6F8-45EE65C398C7}" presName="dummyNode2" presStyleLbl="node1" presStyleIdx="0" presStyleCnt="3"/>
      <dgm:spPr/>
    </dgm:pt>
    <dgm:pt modelId="{CAF6C244-1C89-4C05-9003-3A170AF5159B}" type="pres">
      <dgm:prSet presAssocID="{A019508F-6B5A-4482-A6F8-45EE65C398C7}" presName="childNode2" presStyleLbl="bgAcc1" presStyleIdx="1" presStyleCnt="3">
        <dgm:presLayoutVars>
          <dgm:bulletEnabled val="1"/>
        </dgm:presLayoutVars>
      </dgm:prSet>
      <dgm:spPr/>
      <dgm:t>
        <a:bodyPr/>
        <a:lstStyle/>
        <a:p>
          <a:endParaRPr lang="sk-SK"/>
        </a:p>
      </dgm:t>
    </dgm:pt>
    <dgm:pt modelId="{1BEEA6CD-A2CD-4D96-AE23-DFF4E9416FDB}" type="pres">
      <dgm:prSet presAssocID="{A019508F-6B5A-4482-A6F8-45EE65C398C7}" presName="childNode2tx" presStyleLbl="bgAcc1" presStyleIdx="1" presStyleCnt="3">
        <dgm:presLayoutVars>
          <dgm:bulletEnabled val="1"/>
        </dgm:presLayoutVars>
      </dgm:prSet>
      <dgm:spPr/>
      <dgm:t>
        <a:bodyPr/>
        <a:lstStyle/>
        <a:p>
          <a:endParaRPr lang="sk-SK"/>
        </a:p>
      </dgm:t>
    </dgm:pt>
    <dgm:pt modelId="{E3F98BF6-0C57-4CBE-939D-C7C7C157A75F}" type="pres">
      <dgm:prSet presAssocID="{A019508F-6B5A-4482-A6F8-45EE65C398C7}" presName="parentNode2" presStyleLbl="node1" presStyleIdx="1" presStyleCnt="3">
        <dgm:presLayoutVars>
          <dgm:chMax val="0"/>
          <dgm:bulletEnabled val="1"/>
        </dgm:presLayoutVars>
      </dgm:prSet>
      <dgm:spPr/>
      <dgm:t>
        <a:bodyPr/>
        <a:lstStyle/>
        <a:p>
          <a:endParaRPr lang="sk-SK"/>
        </a:p>
      </dgm:t>
    </dgm:pt>
    <dgm:pt modelId="{85967F31-A24D-419C-BAFF-1D96BACEB0E0}" type="pres">
      <dgm:prSet presAssocID="{A019508F-6B5A-4482-A6F8-45EE65C398C7}" presName="connSite2" presStyleCnt="0"/>
      <dgm:spPr/>
    </dgm:pt>
    <dgm:pt modelId="{C94C54F0-56F5-4C91-8600-9D16C8C83597}" type="pres">
      <dgm:prSet presAssocID="{91A89FCA-2058-422E-9173-1F042CEA7F7C}" presName="Name18" presStyleLbl="sibTrans2D1" presStyleIdx="1" presStyleCnt="2"/>
      <dgm:spPr/>
      <dgm:t>
        <a:bodyPr/>
        <a:lstStyle/>
        <a:p>
          <a:endParaRPr lang="sk-SK"/>
        </a:p>
      </dgm:t>
    </dgm:pt>
    <dgm:pt modelId="{57D9B517-6DF6-47B3-B3C6-5112B7D5FA16}" type="pres">
      <dgm:prSet presAssocID="{48A8D62A-1716-4EE0-93FA-34A94BDFDB43}" presName="composite1" presStyleCnt="0"/>
      <dgm:spPr/>
    </dgm:pt>
    <dgm:pt modelId="{4FCB384F-963F-47DD-9DE0-92B79B28A6E5}" type="pres">
      <dgm:prSet presAssocID="{48A8D62A-1716-4EE0-93FA-34A94BDFDB43}" presName="dummyNode1" presStyleLbl="node1" presStyleIdx="1" presStyleCnt="3"/>
      <dgm:spPr/>
    </dgm:pt>
    <dgm:pt modelId="{6BF82E71-57D0-4233-AF23-5BC21A55C210}" type="pres">
      <dgm:prSet presAssocID="{48A8D62A-1716-4EE0-93FA-34A94BDFDB43}" presName="childNode1" presStyleLbl="bgAcc1" presStyleIdx="2" presStyleCnt="3">
        <dgm:presLayoutVars>
          <dgm:bulletEnabled val="1"/>
        </dgm:presLayoutVars>
      </dgm:prSet>
      <dgm:spPr/>
      <dgm:t>
        <a:bodyPr/>
        <a:lstStyle/>
        <a:p>
          <a:endParaRPr lang="sk-SK"/>
        </a:p>
      </dgm:t>
    </dgm:pt>
    <dgm:pt modelId="{D02120B2-51A5-42B3-ADEB-B16E77530354}" type="pres">
      <dgm:prSet presAssocID="{48A8D62A-1716-4EE0-93FA-34A94BDFDB43}" presName="childNode1tx" presStyleLbl="bgAcc1" presStyleIdx="2" presStyleCnt="3">
        <dgm:presLayoutVars>
          <dgm:bulletEnabled val="1"/>
        </dgm:presLayoutVars>
      </dgm:prSet>
      <dgm:spPr/>
      <dgm:t>
        <a:bodyPr/>
        <a:lstStyle/>
        <a:p>
          <a:endParaRPr lang="sk-SK"/>
        </a:p>
      </dgm:t>
    </dgm:pt>
    <dgm:pt modelId="{732554E7-984A-4B38-9F9E-0B10773C0510}" type="pres">
      <dgm:prSet presAssocID="{48A8D62A-1716-4EE0-93FA-34A94BDFDB43}" presName="parentNode1" presStyleLbl="node1" presStyleIdx="2" presStyleCnt="3">
        <dgm:presLayoutVars>
          <dgm:chMax val="1"/>
          <dgm:bulletEnabled val="1"/>
        </dgm:presLayoutVars>
      </dgm:prSet>
      <dgm:spPr/>
      <dgm:t>
        <a:bodyPr/>
        <a:lstStyle/>
        <a:p>
          <a:endParaRPr lang="sk-SK"/>
        </a:p>
      </dgm:t>
    </dgm:pt>
    <dgm:pt modelId="{C88196D7-A34D-45E4-B518-B5782CA7D40D}" type="pres">
      <dgm:prSet presAssocID="{48A8D62A-1716-4EE0-93FA-34A94BDFDB43}" presName="connSite1" presStyleCnt="0"/>
      <dgm:spPr/>
    </dgm:pt>
  </dgm:ptLst>
  <dgm:cxnLst>
    <dgm:cxn modelId="{518ACD7A-1B31-4B73-BFBB-FFBAF53D7F8E}" type="presOf" srcId="{99351114-DF64-423E-B3B4-B32447B083A7}" destId="{CAF6C244-1C89-4C05-9003-3A170AF5159B}" srcOrd="0" destOrd="1" presId="urn:microsoft.com/office/officeart/2005/8/layout/hProcess4"/>
    <dgm:cxn modelId="{B2446BAE-268D-40BA-91D5-8049771D0F5E}" type="presOf" srcId="{BE13D364-71A6-498F-89BF-7C2D86A81DB2}" destId="{0D60A071-F9FB-479F-8D3A-018FE8F73DD0}" srcOrd="0" destOrd="0" presId="urn:microsoft.com/office/officeart/2005/8/layout/hProcess4"/>
    <dgm:cxn modelId="{90BA46E2-9335-4B14-83E2-4D1817E168A2}" srcId="{A019508F-6B5A-4482-A6F8-45EE65C398C7}" destId="{747D0E38-2E5E-49A1-BEE7-970CA6326ADB}" srcOrd="0" destOrd="0" parTransId="{38FA1AA5-E7B4-41BD-8ED2-2616D4E5DCDC}" sibTransId="{A72ABBF8-9F43-4739-8E28-AB24C4138BBE}"/>
    <dgm:cxn modelId="{864766E8-EDF7-46FA-8F62-72CB62A9EDFA}" type="presOf" srcId="{BE13D364-71A6-498F-89BF-7C2D86A81DB2}" destId="{9866CC4A-270E-4CF3-92DA-BEB9318C3441}" srcOrd="1" destOrd="0" presId="urn:microsoft.com/office/officeart/2005/8/layout/hProcess4"/>
    <dgm:cxn modelId="{C7EEF8AF-527A-4CD5-A64E-FE06C4F8BF2B}" type="presOf" srcId="{246260E9-3809-4A0C-8A45-26049BEE44F7}" destId="{9866CC4A-270E-4CF3-92DA-BEB9318C3441}" srcOrd="1" destOrd="1" presId="urn:microsoft.com/office/officeart/2005/8/layout/hProcess4"/>
    <dgm:cxn modelId="{6EB596C9-39DA-440A-9D91-530B4700E57F}" type="presOf" srcId="{48A8D62A-1716-4EE0-93FA-34A94BDFDB43}" destId="{732554E7-984A-4B38-9F9E-0B10773C0510}" srcOrd="0" destOrd="0" presId="urn:microsoft.com/office/officeart/2005/8/layout/hProcess4"/>
    <dgm:cxn modelId="{1AF834FA-82ED-403B-B102-9D9ED2F5D129}" type="presOf" srcId="{A9267023-4448-4D04-9845-C74034B30452}" destId="{B2279E00-E479-4F75-B4BE-F5B3B50F31CB}" srcOrd="0" destOrd="0" presId="urn:microsoft.com/office/officeart/2005/8/layout/hProcess4"/>
    <dgm:cxn modelId="{239EA548-EDCF-4E7E-BF8B-917BA36EFCD2}" srcId="{48A8D62A-1716-4EE0-93FA-34A94BDFDB43}" destId="{246F0687-9B6B-4784-9314-0DAA6CAB5F5E}" srcOrd="0" destOrd="0" parTransId="{E7939DC9-C684-4DC9-AF3B-9AF6751AA266}" sibTransId="{E97F3E77-570D-4B0D-BC63-045455B9DA3E}"/>
    <dgm:cxn modelId="{27B4ED3F-D6FF-4E83-822D-352787127F2D}" type="presOf" srcId="{56D4AA13-BB38-4CA4-BD48-3C88F81A0389}" destId="{9A844434-C5FA-4930-BFCF-B6956CA8E855}" srcOrd="0" destOrd="0" presId="urn:microsoft.com/office/officeart/2005/8/layout/hProcess4"/>
    <dgm:cxn modelId="{CDC0F83A-B5D8-4C4E-A7DA-EC7C620CD302}" srcId="{A9267023-4448-4D04-9845-C74034B30452}" destId="{BE13D364-71A6-498F-89BF-7C2D86A81DB2}" srcOrd="0" destOrd="0" parTransId="{939FC086-8B14-4B5F-A732-744C37CD590A}" sibTransId="{84716248-799E-4F9E-A465-4273FA5C4DE3}"/>
    <dgm:cxn modelId="{452606CF-9778-4314-BB3C-96C862871070}" type="presOf" srcId="{99351114-DF64-423E-B3B4-B32447B083A7}" destId="{1BEEA6CD-A2CD-4D96-AE23-DFF4E9416FDB}" srcOrd="1" destOrd="1" presId="urn:microsoft.com/office/officeart/2005/8/layout/hProcess4"/>
    <dgm:cxn modelId="{25CFE32B-0BF3-4998-9410-F202BA0E65E9}" type="presOf" srcId="{747D0E38-2E5E-49A1-BEE7-970CA6326ADB}" destId="{CAF6C244-1C89-4C05-9003-3A170AF5159B}" srcOrd="0" destOrd="0" presId="urn:microsoft.com/office/officeart/2005/8/layout/hProcess4"/>
    <dgm:cxn modelId="{66A6D228-9FA6-409E-BC10-EC2C426A3209}" srcId="{B7E80D7A-1591-413A-881D-5F36151D540E}" destId="{A9267023-4448-4D04-9845-C74034B30452}" srcOrd="0" destOrd="0" parTransId="{83AF7659-5630-498F-B463-0B1528F8B002}" sibTransId="{56D4AA13-BB38-4CA4-BD48-3C88F81A0389}"/>
    <dgm:cxn modelId="{720297B1-C8EE-4300-A01A-9C49BEBCAB6D}" type="presOf" srcId="{246F0687-9B6B-4784-9314-0DAA6CAB5F5E}" destId="{D02120B2-51A5-42B3-ADEB-B16E77530354}" srcOrd="1" destOrd="0" presId="urn:microsoft.com/office/officeart/2005/8/layout/hProcess4"/>
    <dgm:cxn modelId="{8D96A343-A8D6-4081-A1A6-F8B1D37CF010}" type="presOf" srcId="{B7E80D7A-1591-413A-881D-5F36151D540E}" destId="{6EA5AE73-47BE-4655-BA76-DAE6A5B4B6FB}" srcOrd="0" destOrd="0" presId="urn:microsoft.com/office/officeart/2005/8/layout/hProcess4"/>
    <dgm:cxn modelId="{6F9DCA10-BE76-4A03-9FC6-C992D70F5BE4}" type="presOf" srcId="{A019508F-6B5A-4482-A6F8-45EE65C398C7}" destId="{E3F98BF6-0C57-4CBE-939D-C7C7C157A75F}" srcOrd="0" destOrd="0" presId="urn:microsoft.com/office/officeart/2005/8/layout/hProcess4"/>
    <dgm:cxn modelId="{33F29DF1-A8D6-4D92-939F-7BA8ED38D0A8}" srcId="{A019508F-6B5A-4482-A6F8-45EE65C398C7}" destId="{99351114-DF64-423E-B3B4-B32447B083A7}" srcOrd="1" destOrd="0" parTransId="{3BE31B17-03F1-4CE3-9FA5-05CF11E59196}" sibTransId="{515E723B-32DA-4138-A966-5CCF99002632}"/>
    <dgm:cxn modelId="{8B2088C1-8CBA-4406-B849-60DCC49ABB9C}" type="presOf" srcId="{246260E9-3809-4A0C-8A45-26049BEE44F7}" destId="{0D60A071-F9FB-479F-8D3A-018FE8F73DD0}" srcOrd="0" destOrd="1" presId="urn:microsoft.com/office/officeart/2005/8/layout/hProcess4"/>
    <dgm:cxn modelId="{A9F6EBA3-2F36-4048-AE7C-97DB9701DF60}" srcId="{B7E80D7A-1591-413A-881D-5F36151D540E}" destId="{48A8D62A-1716-4EE0-93FA-34A94BDFDB43}" srcOrd="2" destOrd="0" parTransId="{B3DF6529-C532-49D5-A571-02E0589D9702}" sibTransId="{B52310EF-6C57-4248-A7B8-A8031724B72E}"/>
    <dgm:cxn modelId="{E320AAE5-05C0-42FB-A4FB-252EA1CFF62E}" type="presOf" srcId="{246F0687-9B6B-4784-9314-0DAA6CAB5F5E}" destId="{6BF82E71-57D0-4233-AF23-5BC21A55C210}" srcOrd="0" destOrd="0" presId="urn:microsoft.com/office/officeart/2005/8/layout/hProcess4"/>
    <dgm:cxn modelId="{6ECA07C9-4C0B-4A7C-96E6-EA26627326CE}" srcId="{B7E80D7A-1591-413A-881D-5F36151D540E}" destId="{A019508F-6B5A-4482-A6F8-45EE65C398C7}" srcOrd="1" destOrd="0" parTransId="{75941A32-FE02-4C2E-AE9D-FE54BC6AFBA7}" sibTransId="{91A89FCA-2058-422E-9173-1F042CEA7F7C}"/>
    <dgm:cxn modelId="{73A1E6FC-CEE1-4CF1-B9FF-DFEB5B33FA94}" srcId="{A9267023-4448-4D04-9845-C74034B30452}" destId="{246260E9-3809-4A0C-8A45-26049BEE44F7}" srcOrd="1" destOrd="0" parTransId="{9D47B0E4-28D4-43DB-8C32-72F02B481156}" sibTransId="{BE607FC2-8DDA-4B8B-9492-7C40A3A8FF5A}"/>
    <dgm:cxn modelId="{EB276815-F6E3-4759-896F-DE3CC5FDA2B7}" type="presOf" srcId="{91A89FCA-2058-422E-9173-1F042CEA7F7C}" destId="{C94C54F0-56F5-4C91-8600-9D16C8C83597}" srcOrd="0" destOrd="0" presId="urn:microsoft.com/office/officeart/2005/8/layout/hProcess4"/>
    <dgm:cxn modelId="{A16334C8-D0D4-4500-B54D-9EE275359137}" type="presOf" srcId="{747D0E38-2E5E-49A1-BEE7-970CA6326ADB}" destId="{1BEEA6CD-A2CD-4D96-AE23-DFF4E9416FDB}" srcOrd="1" destOrd="0" presId="urn:microsoft.com/office/officeart/2005/8/layout/hProcess4"/>
    <dgm:cxn modelId="{686BFAF9-11C5-4073-8F32-206140116EAA}" type="presParOf" srcId="{6EA5AE73-47BE-4655-BA76-DAE6A5B4B6FB}" destId="{09E0EA9B-3DC8-44A4-BD55-D6A18B2AECB4}" srcOrd="0" destOrd="0" presId="urn:microsoft.com/office/officeart/2005/8/layout/hProcess4"/>
    <dgm:cxn modelId="{939E8A39-84CC-49BF-BE20-83E52703FB2F}" type="presParOf" srcId="{6EA5AE73-47BE-4655-BA76-DAE6A5B4B6FB}" destId="{33ECAE12-249F-440C-A288-DE3876352805}" srcOrd="1" destOrd="0" presId="urn:microsoft.com/office/officeart/2005/8/layout/hProcess4"/>
    <dgm:cxn modelId="{D3DF092D-A217-4DA9-9451-E5985F859272}" type="presParOf" srcId="{6EA5AE73-47BE-4655-BA76-DAE6A5B4B6FB}" destId="{5AA2EB03-7A3E-46AF-82AA-141A8B277CA3}" srcOrd="2" destOrd="0" presId="urn:microsoft.com/office/officeart/2005/8/layout/hProcess4"/>
    <dgm:cxn modelId="{C74A5CDB-DFEE-434E-B9CF-F9D64DBAA736}" type="presParOf" srcId="{5AA2EB03-7A3E-46AF-82AA-141A8B277CA3}" destId="{5E999198-FFBA-442A-ACD2-994C316E2F4C}" srcOrd="0" destOrd="0" presId="urn:microsoft.com/office/officeart/2005/8/layout/hProcess4"/>
    <dgm:cxn modelId="{AE2F9D89-8200-4C99-8401-A71A17C86660}" type="presParOf" srcId="{5E999198-FFBA-442A-ACD2-994C316E2F4C}" destId="{8799942B-3C45-4C46-8E6A-F7494CE31801}" srcOrd="0" destOrd="0" presId="urn:microsoft.com/office/officeart/2005/8/layout/hProcess4"/>
    <dgm:cxn modelId="{80AA6C9E-845D-4511-9FBD-330F2E0E82D3}" type="presParOf" srcId="{5E999198-FFBA-442A-ACD2-994C316E2F4C}" destId="{0D60A071-F9FB-479F-8D3A-018FE8F73DD0}" srcOrd="1" destOrd="0" presId="urn:microsoft.com/office/officeart/2005/8/layout/hProcess4"/>
    <dgm:cxn modelId="{88921924-7D81-4BBE-9173-227E19BA0073}" type="presParOf" srcId="{5E999198-FFBA-442A-ACD2-994C316E2F4C}" destId="{9866CC4A-270E-4CF3-92DA-BEB9318C3441}" srcOrd="2" destOrd="0" presId="urn:microsoft.com/office/officeart/2005/8/layout/hProcess4"/>
    <dgm:cxn modelId="{9C6D5B84-1FD6-48C0-BB0A-5F880A7A4193}" type="presParOf" srcId="{5E999198-FFBA-442A-ACD2-994C316E2F4C}" destId="{B2279E00-E479-4F75-B4BE-F5B3B50F31CB}" srcOrd="3" destOrd="0" presId="urn:microsoft.com/office/officeart/2005/8/layout/hProcess4"/>
    <dgm:cxn modelId="{EC2B83DB-4C39-4CE6-A2FF-D78F2D7E2AF5}" type="presParOf" srcId="{5E999198-FFBA-442A-ACD2-994C316E2F4C}" destId="{FE33A998-CB3C-47D5-ADAB-D4267B63CD93}" srcOrd="4" destOrd="0" presId="urn:microsoft.com/office/officeart/2005/8/layout/hProcess4"/>
    <dgm:cxn modelId="{8790B29A-4E48-484D-8001-623A8C635AB4}" type="presParOf" srcId="{5AA2EB03-7A3E-46AF-82AA-141A8B277CA3}" destId="{9A844434-C5FA-4930-BFCF-B6956CA8E855}" srcOrd="1" destOrd="0" presId="urn:microsoft.com/office/officeart/2005/8/layout/hProcess4"/>
    <dgm:cxn modelId="{6E69A9D6-0580-4434-BC81-9D0DFD986F42}" type="presParOf" srcId="{5AA2EB03-7A3E-46AF-82AA-141A8B277CA3}" destId="{204A49F3-3082-4C37-89A4-CC0CED3CC65F}" srcOrd="2" destOrd="0" presId="urn:microsoft.com/office/officeart/2005/8/layout/hProcess4"/>
    <dgm:cxn modelId="{8319308A-4F32-4C6C-AD8C-1F38CBD8E613}" type="presParOf" srcId="{204A49F3-3082-4C37-89A4-CC0CED3CC65F}" destId="{05BEC95C-83D3-4839-BDA6-B22CC0E0AC59}" srcOrd="0" destOrd="0" presId="urn:microsoft.com/office/officeart/2005/8/layout/hProcess4"/>
    <dgm:cxn modelId="{4B56A215-94EA-4B89-A6D6-BE393D840F9B}" type="presParOf" srcId="{204A49F3-3082-4C37-89A4-CC0CED3CC65F}" destId="{CAF6C244-1C89-4C05-9003-3A170AF5159B}" srcOrd="1" destOrd="0" presId="urn:microsoft.com/office/officeart/2005/8/layout/hProcess4"/>
    <dgm:cxn modelId="{1F153572-158D-4ECB-A12F-A6BF687D7B68}" type="presParOf" srcId="{204A49F3-3082-4C37-89A4-CC0CED3CC65F}" destId="{1BEEA6CD-A2CD-4D96-AE23-DFF4E9416FDB}" srcOrd="2" destOrd="0" presId="urn:microsoft.com/office/officeart/2005/8/layout/hProcess4"/>
    <dgm:cxn modelId="{E79525D6-8E8D-4BDB-9CEA-DAFABB7BC4B7}" type="presParOf" srcId="{204A49F3-3082-4C37-89A4-CC0CED3CC65F}" destId="{E3F98BF6-0C57-4CBE-939D-C7C7C157A75F}" srcOrd="3" destOrd="0" presId="urn:microsoft.com/office/officeart/2005/8/layout/hProcess4"/>
    <dgm:cxn modelId="{0B51C959-8101-4CCF-A012-019BBB36A101}" type="presParOf" srcId="{204A49F3-3082-4C37-89A4-CC0CED3CC65F}" destId="{85967F31-A24D-419C-BAFF-1D96BACEB0E0}" srcOrd="4" destOrd="0" presId="urn:microsoft.com/office/officeart/2005/8/layout/hProcess4"/>
    <dgm:cxn modelId="{F6220F7F-4996-4F47-B525-30F03A936E19}" type="presParOf" srcId="{5AA2EB03-7A3E-46AF-82AA-141A8B277CA3}" destId="{C94C54F0-56F5-4C91-8600-9D16C8C83597}" srcOrd="3" destOrd="0" presId="urn:microsoft.com/office/officeart/2005/8/layout/hProcess4"/>
    <dgm:cxn modelId="{D4233158-058A-4BCD-AB5D-3B23F011240C}" type="presParOf" srcId="{5AA2EB03-7A3E-46AF-82AA-141A8B277CA3}" destId="{57D9B517-6DF6-47B3-B3C6-5112B7D5FA16}" srcOrd="4" destOrd="0" presId="urn:microsoft.com/office/officeart/2005/8/layout/hProcess4"/>
    <dgm:cxn modelId="{D7B5B814-BF2F-4705-BD3D-608D72CA8C17}" type="presParOf" srcId="{57D9B517-6DF6-47B3-B3C6-5112B7D5FA16}" destId="{4FCB384F-963F-47DD-9DE0-92B79B28A6E5}" srcOrd="0" destOrd="0" presId="urn:microsoft.com/office/officeart/2005/8/layout/hProcess4"/>
    <dgm:cxn modelId="{4422CEA2-FC98-4FAA-B37A-42127229AC7D}" type="presParOf" srcId="{57D9B517-6DF6-47B3-B3C6-5112B7D5FA16}" destId="{6BF82E71-57D0-4233-AF23-5BC21A55C210}" srcOrd="1" destOrd="0" presId="urn:microsoft.com/office/officeart/2005/8/layout/hProcess4"/>
    <dgm:cxn modelId="{80ED47DC-E191-4382-B60C-9263922E473A}" type="presParOf" srcId="{57D9B517-6DF6-47B3-B3C6-5112B7D5FA16}" destId="{D02120B2-51A5-42B3-ADEB-B16E77530354}" srcOrd="2" destOrd="0" presId="urn:microsoft.com/office/officeart/2005/8/layout/hProcess4"/>
    <dgm:cxn modelId="{ED1FFBE0-8F11-4920-A9DB-D9ECDB344E85}" type="presParOf" srcId="{57D9B517-6DF6-47B3-B3C6-5112B7D5FA16}" destId="{732554E7-984A-4B38-9F9E-0B10773C0510}" srcOrd="3" destOrd="0" presId="urn:microsoft.com/office/officeart/2005/8/layout/hProcess4"/>
    <dgm:cxn modelId="{4E4AB0E5-F00E-48AB-AEBA-7770374B4EAA}" type="presParOf" srcId="{57D9B517-6DF6-47B3-B3C6-5112B7D5FA16}" destId="{C88196D7-A34D-45E4-B518-B5782CA7D40D}" srcOrd="4" destOrd="0" presId="urn:microsoft.com/office/officeart/2005/8/layout/hProcess4"/>
  </dgm:cxnLst>
  <dgm:bg/>
  <dgm:whole/>
  <dgm:extLst>
    <a:ext uri="http://schemas.microsoft.com/office/drawing/2008/diagram">
      <dsp:dataModelExt xmlns:dsp="http://schemas.microsoft.com/office/drawing/2008/diagram" relId="rId130"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B128569A-F621-4400-ACB9-8B37CB3C9FA7}" type="doc">
      <dgm:prSet loTypeId="urn:microsoft.com/office/officeart/2005/8/layout/orgChart1" loCatId="hierarchy" qsTypeId="urn:microsoft.com/office/officeart/2005/8/quickstyle/simple5" qsCatId="simple" csTypeId="urn:microsoft.com/office/officeart/2005/8/colors/accent1_2#16" csCatId="accent1" phldr="1"/>
      <dgm:spPr/>
      <dgm:t>
        <a:bodyPr/>
        <a:lstStyle/>
        <a:p>
          <a:endParaRPr lang="sk-SK"/>
        </a:p>
      </dgm:t>
    </dgm:pt>
    <dgm:pt modelId="{DB6D9ACF-B3FE-4A5D-BA81-0DA7F89F2312}">
      <dgm:prSet phldrT="[Text]"/>
      <dgm:spPr/>
      <dgm:t>
        <a:bodyPr/>
        <a:lstStyle/>
        <a:p>
          <a:r>
            <a:rPr lang="sk-SK">
              <a:latin typeface="Times New Roman" panose="02020603050405020304" pitchFamily="18" charset="0"/>
              <a:cs typeface="Times New Roman" panose="02020603050405020304" pitchFamily="18" charset="0"/>
            </a:rPr>
            <a:t>Všetky ŽoNFP, ktoré splnili podmienky poskytnutia príspevku</a:t>
          </a:r>
        </a:p>
      </dgm:t>
    </dgm:pt>
    <dgm:pt modelId="{6301B8FF-7517-4F38-96C9-419D2CC989E6}" type="parTrans" cxnId="{E24D51CB-AD46-4ABD-8D7C-FD29EC235212}">
      <dgm:prSet/>
      <dgm:spPr/>
      <dgm:t>
        <a:bodyPr/>
        <a:lstStyle/>
        <a:p>
          <a:endParaRPr lang="sk-SK"/>
        </a:p>
      </dgm:t>
    </dgm:pt>
    <dgm:pt modelId="{E582F54B-BEDE-4866-A737-D7CE57FA9EA0}" type="sibTrans" cxnId="{E24D51CB-AD46-4ABD-8D7C-FD29EC235212}">
      <dgm:prSet/>
      <dgm:spPr/>
      <dgm:t>
        <a:bodyPr/>
        <a:lstStyle/>
        <a:p>
          <a:endParaRPr lang="sk-SK"/>
        </a:p>
      </dgm:t>
    </dgm:pt>
    <dgm:pt modelId="{832E5ACD-86AF-429C-8CBD-85E9809BF068}" type="asst">
      <dgm:prSet phldrT="[Text]"/>
      <dgm:spPr/>
      <dgm:t>
        <a:bodyPr/>
        <a:lstStyle/>
        <a:p>
          <a:r>
            <a:rPr lang="sk-SK">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gm:t>
    </dgm:pt>
    <dgm:pt modelId="{4CF3BC68-5A4E-40DD-B979-311BC7BF48AA}" type="parTrans" cxnId="{5A35534E-86D4-4B9D-A8F6-60E5E0334DDF}">
      <dgm:prSet/>
      <dgm:spPr/>
      <dgm:t>
        <a:bodyPr/>
        <a:lstStyle/>
        <a:p>
          <a:endParaRPr lang="sk-SK"/>
        </a:p>
      </dgm:t>
    </dgm:pt>
    <dgm:pt modelId="{C590D425-B0B9-43F3-8AA8-1D509CB03A4A}" type="sibTrans" cxnId="{5A35534E-86D4-4B9D-A8F6-60E5E0334DDF}">
      <dgm:prSet/>
      <dgm:spPr/>
      <dgm:t>
        <a:bodyPr/>
        <a:lstStyle/>
        <a:p>
          <a:endParaRPr lang="sk-SK"/>
        </a:p>
      </dgm:t>
    </dgm:pt>
    <dgm:pt modelId="{DC51CB02-7821-40A3-9502-35E35C86947A}">
      <dgm:prSet phldrT="[Text]"/>
      <dgm:spPr/>
      <dgm:t>
        <a:bodyPr/>
        <a:lstStyle/>
        <a:p>
          <a:r>
            <a:rPr lang="sk-SK">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gm:t>
    </dgm:pt>
    <dgm:pt modelId="{FF62AA93-FA4B-4C0E-A9CD-7BFD2A14D626}" type="parTrans" cxnId="{BD2E9124-91DE-454E-92C7-619F9CB693D9}">
      <dgm:prSet/>
      <dgm:spPr/>
      <dgm:t>
        <a:bodyPr/>
        <a:lstStyle/>
        <a:p>
          <a:endParaRPr lang="sk-SK"/>
        </a:p>
      </dgm:t>
    </dgm:pt>
    <dgm:pt modelId="{AE286405-0995-432A-AC9B-20695D824D27}" type="sibTrans" cxnId="{BD2E9124-91DE-454E-92C7-619F9CB693D9}">
      <dgm:prSet/>
      <dgm:spPr/>
      <dgm:t>
        <a:bodyPr/>
        <a:lstStyle/>
        <a:p>
          <a:endParaRPr lang="sk-SK"/>
        </a:p>
      </dgm:t>
    </dgm:pt>
    <dgm:pt modelId="{8BD55A37-D5E9-44FD-81A4-0CE625685763}">
      <dgm:prSet phldrT="[Text]"/>
      <dgm:spPr/>
      <dgm:t>
        <a:bodyPr/>
        <a:lstStyle/>
        <a:p>
          <a:r>
            <a:rPr lang="sk-SK">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gm:t>
    </dgm:pt>
    <dgm:pt modelId="{E44BB69C-6045-4F4D-82D0-F06C4570B127}" type="parTrans" cxnId="{62BA8D5B-F9EC-4D5E-8242-F66E82A70C18}">
      <dgm:prSet/>
      <dgm:spPr/>
      <dgm:t>
        <a:bodyPr/>
        <a:lstStyle/>
        <a:p>
          <a:endParaRPr lang="sk-SK"/>
        </a:p>
      </dgm:t>
    </dgm:pt>
    <dgm:pt modelId="{05585676-0872-4CD3-A181-64CFFA73896D}" type="sibTrans" cxnId="{62BA8D5B-F9EC-4D5E-8242-F66E82A70C18}">
      <dgm:prSet/>
      <dgm:spPr/>
      <dgm:t>
        <a:bodyPr/>
        <a:lstStyle/>
        <a:p>
          <a:endParaRPr lang="sk-SK"/>
        </a:p>
      </dgm:t>
    </dgm:pt>
    <dgm:pt modelId="{A7F4979C-8160-49BD-88A2-5338C675DC03}" type="pres">
      <dgm:prSet presAssocID="{B128569A-F621-4400-ACB9-8B37CB3C9FA7}" presName="hierChild1" presStyleCnt="0">
        <dgm:presLayoutVars>
          <dgm:orgChart val="1"/>
          <dgm:chPref val="1"/>
          <dgm:dir/>
          <dgm:animOne val="branch"/>
          <dgm:animLvl val="lvl"/>
          <dgm:resizeHandles/>
        </dgm:presLayoutVars>
      </dgm:prSet>
      <dgm:spPr/>
      <dgm:t>
        <a:bodyPr/>
        <a:lstStyle/>
        <a:p>
          <a:endParaRPr lang="sk-SK"/>
        </a:p>
      </dgm:t>
    </dgm:pt>
    <dgm:pt modelId="{4F1DFC28-EDF9-4EF8-8F41-C0F8E4E364B7}" type="pres">
      <dgm:prSet presAssocID="{DB6D9ACF-B3FE-4A5D-BA81-0DA7F89F2312}" presName="hierRoot1" presStyleCnt="0">
        <dgm:presLayoutVars>
          <dgm:hierBranch val="init"/>
        </dgm:presLayoutVars>
      </dgm:prSet>
      <dgm:spPr/>
    </dgm:pt>
    <dgm:pt modelId="{4B25C817-1C1F-4C51-848D-BE4AA7552E09}" type="pres">
      <dgm:prSet presAssocID="{DB6D9ACF-B3FE-4A5D-BA81-0DA7F89F2312}" presName="rootComposite1" presStyleCnt="0"/>
      <dgm:spPr/>
    </dgm:pt>
    <dgm:pt modelId="{43ACE45C-F163-49BE-90C1-41F7BB716C30}" type="pres">
      <dgm:prSet presAssocID="{DB6D9ACF-B3FE-4A5D-BA81-0DA7F89F2312}" presName="rootText1" presStyleLbl="node0" presStyleIdx="0" presStyleCnt="1">
        <dgm:presLayoutVars>
          <dgm:chPref val="3"/>
        </dgm:presLayoutVars>
      </dgm:prSet>
      <dgm:spPr/>
      <dgm:t>
        <a:bodyPr/>
        <a:lstStyle/>
        <a:p>
          <a:endParaRPr lang="sk-SK"/>
        </a:p>
      </dgm:t>
    </dgm:pt>
    <dgm:pt modelId="{E3BFD6D2-0DB5-448E-9289-E445FBBE4E58}" type="pres">
      <dgm:prSet presAssocID="{DB6D9ACF-B3FE-4A5D-BA81-0DA7F89F2312}" presName="rootConnector1" presStyleLbl="node1" presStyleIdx="0" presStyleCnt="0"/>
      <dgm:spPr/>
      <dgm:t>
        <a:bodyPr/>
        <a:lstStyle/>
        <a:p>
          <a:endParaRPr lang="sk-SK"/>
        </a:p>
      </dgm:t>
    </dgm:pt>
    <dgm:pt modelId="{5DFEEF62-D321-4D10-9948-2273AABA72AB}" type="pres">
      <dgm:prSet presAssocID="{DB6D9ACF-B3FE-4A5D-BA81-0DA7F89F2312}" presName="hierChild2" presStyleCnt="0"/>
      <dgm:spPr/>
    </dgm:pt>
    <dgm:pt modelId="{98AD3747-2D4E-4E09-ADAE-1DBDCD17D6A2}" type="pres">
      <dgm:prSet presAssocID="{FF62AA93-FA4B-4C0E-A9CD-7BFD2A14D626}" presName="Name37" presStyleLbl="parChTrans1D2" presStyleIdx="0" presStyleCnt="3"/>
      <dgm:spPr/>
      <dgm:t>
        <a:bodyPr/>
        <a:lstStyle/>
        <a:p>
          <a:endParaRPr lang="sk-SK"/>
        </a:p>
      </dgm:t>
    </dgm:pt>
    <dgm:pt modelId="{77E750B0-035D-4C68-A1C4-F669695201F1}" type="pres">
      <dgm:prSet presAssocID="{DC51CB02-7821-40A3-9502-35E35C86947A}" presName="hierRoot2" presStyleCnt="0">
        <dgm:presLayoutVars>
          <dgm:hierBranch val="init"/>
        </dgm:presLayoutVars>
      </dgm:prSet>
      <dgm:spPr/>
    </dgm:pt>
    <dgm:pt modelId="{F2658768-3DEF-4F44-8698-5E8DAE8CA471}" type="pres">
      <dgm:prSet presAssocID="{DC51CB02-7821-40A3-9502-35E35C86947A}" presName="rootComposite" presStyleCnt="0"/>
      <dgm:spPr/>
    </dgm:pt>
    <dgm:pt modelId="{04D70E44-22D3-49C3-882C-6CAD1BF98561}" type="pres">
      <dgm:prSet presAssocID="{DC51CB02-7821-40A3-9502-35E35C86947A}" presName="rootText" presStyleLbl="node2" presStyleIdx="0" presStyleCnt="2">
        <dgm:presLayoutVars>
          <dgm:chPref val="3"/>
        </dgm:presLayoutVars>
      </dgm:prSet>
      <dgm:spPr/>
      <dgm:t>
        <a:bodyPr/>
        <a:lstStyle/>
        <a:p>
          <a:endParaRPr lang="sk-SK"/>
        </a:p>
      </dgm:t>
    </dgm:pt>
    <dgm:pt modelId="{5B036851-C18A-4134-B277-C9DE1C7A7A0D}" type="pres">
      <dgm:prSet presAssocID="{DC51CB02-7821-40A3-9502-35E35C86947A}" presName="rootConnector" presStyleLbl="node2" presStyleIdx="0" presStyleCnt="2"/>
      <dgm:spPr/>
      <dgm:t>
        <a:bodyPr/>
        <a:lstStyle/>
        <a:p>
          <a:endParaRPr lang="sk-SK"/>
        </a:p>
      </dgm:t>
    </dgm:pt>
    <dgm:pt modelId="{49BFDFC3-5366-431E-AF0C-45B3CA5D4B7D}" type="pres">
      <dgm:prSet presAssocID="{DC51CB02-7821-40A3-9502-35E35C86947A}" presName="hierChild4" presStyleCnt="0"/>
      <dgm:spPr/>
    </dgm:pt>
    <dgm:pt modelId="{A4CD4A4B-F22A-474C-B017-21213369AAA3}" type="pres">
      <dgm:prSet presAssocID="{DC51CB02-7821-40A3-9502-35E35C86947A}" presName="hierChild5" presStyleCnt="0"/>
      <dgm:spPr/>
    </dgm:pt>
    <dgm:pt modelId="{0AE0432E-94B3-4D7E-B19B-3FD33B1002D8}" type="pres">
      <dgm:prSet presAssocID="{E44BB69C-6045-4F4D-82D0-F06C4570B127}" presName="Name37" presStyleLbl="parChTrans1D2" presStyleIdx="1" presStyleCnt="3"/>
      <dgm:spPr/>
      <dgm:t>
        <a:bodyPr/>
        <a:lstStyle/>
        <a:p>
          <a:endParaRPr lang="sk-SK"/>
        </a:p>
      </dgm:t>
    </dgm:pt>
    <dgm:pt modelId="{0F703678-C55F-4391-95F9-933EE56D465D}" type="pres">
      <dgm:prSet presAssocID="{8BD55A37-D5E9-44FD-81A4-0CE625685763}" presName="hierRoot2" presStyleCnt="0">
        <dgm:presLayoutVars>
          <dgm:hierBranch val="init"/>
        </dgm:presLayoutVars>
      </dgm:prSet>
      <dgm:spPr/>
    </dgm:pt>
    <dgm:pt modelId="{9A158B37-9048-40DD-B4DD-198B8CF86715}" type="pres">
      <dgm:prSet presAssocID="{8BD55A37-D5E9-44FD-81A4-0CE625685763}" presName="rootComposite" presStyleCnt="0"/>
      <dgm:spPr/>
    </dgm:pt>
    <dgm:pt modelId="{E1799EC2-6D17-436F-85D6-D84F96374390}" type="pres">
      <dgm:prSet presAssocID="{8BD55A37-D5E9-44FD-81A4-0CE625685763}" presName="rootText" presStyleLbl="node2" presStyleIdx="1" presStyleCnt="2">
        <dgm:presLayoutVars>
          <dgm:chPref val="3"/>
        </dgm:presLayoutVars>
      </dgm:prSet>
      <dgm:spPr/>
      <dgm:t>
        <a:bodyPr/>
        <a:lstStyle/>
        <a:p>
          <a:endParaRPr lang="sk-SK"/>
        </a:p>
      </dgm:t>
    </dgm:pt>
    <dgm:pt modelId="{3DC89633-C508-41A5-9B88-A2CC389B7025}" type="pres">
      <dgm:prSet presAssocID="{8BD55A37-D5E9-44FD-81A4-0CE625685763}" presName="rootConnector" presStyleLbl="node2" presStyleIdx="1" presStyleCnt="2"/>
      <dgm:spPr/>
      <dgm:t>
        <a:bodyPr/>
        <a:lstStyle/>
        <a:p>
          <a:endParaRPr lang="sk-SK"/>
        </a:p>
      </dgm:t>
    </dgm:pt>
    <dgm:pt modelId="{76DD6F6F-6057-4644-9EB1-601251CB7DD8}" type="pres">
      <dgm:prSet presAssocID="{8BD55A37-D5E9-44FD-81A4-0CE625685763}" presName="hierChild4" presStyleCnt="0"/>
      <dgm:spPr/>
    </dgm:pt>
    <dgm:pt modelId="{85AFD266-1F3A-4C58-950C-8772423A7E51}" type="pres">
      <dgm:prSet presAssocID="{8BD55A37-D5E9-44FD-81A4-0CE625685763}" presName="hierChild5" presStyleCnt="0"/>
      <dgm:spPr/>
    </dgm:pt>
    <dgm:pt modelId="{1E858197-6181-448E-BA62-96C61C4A11F8}" type="pres">
      <dgm:prSet presAssocID="{DB6D9ACF-B3FE-4A5D-BA81-0DA7F89F2312}" presName="hierChild3" presStyleCnt="0"/>
      <dgm:spPr/>
    </dgm:pt>
    <dgm:pt modelId="{4B4FB526-FD47-4B92-B251-32E3FB635523}" type="pres">
      <dgm:prSet presAssocID="{4CF3BC68-5A4E-40DD-B979-311BC7BF48AA}" presName="Name111" presStyleLbl="parChTrans1D2" presStyleIdx="2" presStyleCnt="3"/>
      <dgm:spPr/>
      <dgm:t>
        <a:bodyPr/>
        <a:lstStyle/>
        <a:p>
          <a:endParaRPr lang="sk-SK"/>
        </a:p>
      </dgm:t>
    </dgm:pt>
    <dgm:pt modelId="{5AECBCFD-AA23-4DC3-A941-760694D7B314}" type="pres">
      <dgm:prSet presAssocID="{832E5ACD-86AF-429C-8CBD-85E9809BF068}" presName="hierRoot3" presStyleCnt="0">
        <dgm:presLayoutVars>
          <dgm:hierBranch val="init"/>
        </dgm:presLayoutVars>
      </dgm:prSet>
      <dgm:spPr/>
    </dgm:pt>
    <dgm:pt modelId="{854210AD-8606-4C0C-B3C1-B234D0A39E90}" type="pres">
      <dgm:prSet presAssocID="{832E5ACD-86AF-429C-8CBD-85E9809BF068}" presName="rootComposite3" presStyleCnt="0"/>
      <dgm:spPr/>
    </dgm:pt>
    <dgm:pt modelId="{AC35AD36-3A16-42CC-8B92-F7F6F50B8708}" type="pres">
      <dgm:prSet presAssocID="{832E5ACD-86AF-429C-8CBD-85E9809BF068}" presName="rootText3" presStyleLbl="asst1" presStyleIdx="0" presStyleCnt="1">
        <dgm:presLayoutVars>
          <dgm:chPref val="3"/>
        </dgm:presLayoutVars>
      </dgm:prSet>
      <dgm:spPr/>
      <dgm:t>
        <a:bodyPr/>
        <a:lstStyle/>
        <a:p>
          <a:endParaRPr lang="sk-SK"/>
        </a:p>
      </dgm:t>
    </dgm:pt>
    <dgm:pt modelId="{64FD147C-2460-4785-BADA-D2A355533271}" type="pres">
      <dgm:prSet presAssocID="{832E5ACD-86AF-429C-8CBD-85E9809BF068}" presName="rootConnector3" presStyleLbl="asst1" presStyleIdx="0" presStyleCnt="1"/>
      <dgm:spPr/>
      <dgm:t>
        <a:bodyPr/>
        <a:lstStyle/>
        <a:p>
          <a:endParaRPr lang="sk-SK"/>
        </a:p>
      </dgm:t>
    </dgm:pt>
    <dgm:pt modelId="{F1954953-1BA5-45DB-8A32-F5A423C20512}" type="pres">
      <dgm:prSet presAssocID="{832E5ACD-86AF-429C-8CBD-85E9809BF068}" presName="hierChild6" presStyleCnt="0"/>
      <dgm:spPr/>
    </dgm:pt>
    <dgm:pt modelId="{46D1C035-6CB9-4E33-900B-866BA201AB3F}" type="pres">
      <dgm:prSet presAssocID="{832E5ACD-86AF-429C-8CBD-85E9809BF068}" presName="hierChild7" presStyleCnt="0"/>
      <dgm:spPr/>
    </dgm:pt>
  </dgm:ptLst>
  <dgm:cxnLst>
    <dgm:cxn modelId="{5A35534E-86D4-4B9D-A8F6-60E5E0334DDF}" srcId="{DB6D9ACF-B3FE-4A5D-BA81-0DA7F89F2312}" destId="{832E5ACD-86AF-429C-8CBD-85E9809BF068}" srcOrd="0" destOrd="0" parTransId="{4CF3BC68-5A4E-40DD-B979-311BC7BF48AA}" sibTransId="{C590D425-B0B9-43F3-8AA8-1D509CB03A4A}"/>
    <dgm:cxn modelId="{47914B29-8608-4771-9B93-C7C7E9562F88}" type="presOf" srcId="{E44BB69C-6045-4F4D-82D0-F06C4570B127}" destId="{0AE0432E-94B3-4D7E-B19B-3FD33B1002D8}" srcOrd="0" destOrd="0" presId="urn:microsoft.com/office/officeart/2005/8/layout/orgChart1"/>
    <dgm:cxn modelId="{F58165B1-3981-4BBC-BD62-2996F1BE8672}" type="presOf" srcId="{DB6D9ACF-B3FE-4A5D-BA81-0DA7F89F2312}" destId="{43ACE45C-F163-49BE-90C1-41F7BB716C30}" srcOrd="0" destOrd="0" presId="urn:microsoft.com/office/officeart/2005/8/layout/orgChart1"/>
    <dgm:cxn modelId="{45F0232D-1E01-48C8-B36A-9DB7E769F744}" type="presOf" srcId="{832E5ACD-86AF-429C-8CBD-85E9809BF068}" destId="{AC35AD36-3A16-42CC-8B92-F7F6F50B8708}" srcOrd="0" destOrd="0" presId="urn:microsoft.com/office/officeart/2005/8/layout/orgChart1"/>
    <dgm:cxn modelId="{98A1048E-2EEB-440D-9B09-3653FA157C1E}" type="presOf" srcId="{8BD55A37-D5E9-44FD-81A4-0CE625685763}" destId="{E1799EC2-6D17-436F-85D6-D84F96374390}" srcOrd="0" destOrd="0" presId="urn:microsoft.com/office/officeart/2005/8/layout/orgChart1"/>
    <dgm:cxn modelId="{E343C6EC-6484-4A98-90FD-C2DE3BA3D434}" type="presOf" srcId="{832E5ACD-86AF-429C-8CBD-85E9809BF068}" destId="{64FD147C-2460-4785-BADA-D2A355533271}" srcOrd="1" destOrd="0" presId="urn:microsoft.com/office/officeart/2005/8/layout/orgChart1"/>
    <dgm:cxn modelId="{6AC39026-8949-4E4D-9959-71F93806C5D0}" type="presOf" srcId="{4CF3BC68-5A4E-40DD-B979-311BC7BF48AA}" destId="{4B4FB526-FD47-4B92-B251-32E3FB635523}" srcOrd="0" destOrd="0" presId="urn:microsoft.com/office/officeart/2005/8/layout/orgChart1"/>
    <dgm:cxn modelId="{62BA8D5B-F9EC-4D5E-8242-F66E82A70C18}" srcId="{DB6D9ACF-B3FE-4A5D-BA81-0DA7F89F2312}" destId="{8BD55A37-D5E9-44FD-81A4-0CE625685763}" srcOrd="2" destOrd="0" parTransId="{E44BB69C-6045-4F4D-82D0-F06C4570B127}" sibTransId="{05585676-0872-4CD3-A181-64CFFA73896D}"/>
    <dgm:cxn modelId="{8D17FBAD-7FCA-49A2-A40F-54DB5DD4D965}" type="presOf" srcId="{DC51CB02-7821-40A3-9502-35E35C86947A}" destId="{04D70E44-22D3-49C3-882C-6CAD1BF98561}" srcOrd="0" destOrd="0" presId="urn:microsoft.com/office/officeart/2005/8/layout/orgChart1"/>
    <dgm:cxn modelId="{BD2E9124-91DE-454E-92C7-619F9CB693D9}" srcId="{DB6D9ACF-B3FE-4A5D-BA81-0DA7F89F2312}" destId="{DC51CB02-7821-40A3-9502-35E35C86947A}" srcOrd="1" destOrd="0" parTransId="{FF62AA93-FA4B-4C0E-A9CD-7BFD2A14D626}" sibTransId="{AE286405-0995-432A-AC9B-20695D824D27}"/>
    <dgm:cxn modelId="{57A7DF6E-9430-4E87-AD68-EF125994D951}" type="presOf" srcId="{B128569A-F621-4400-ACB9-8B37CB3C9FA7}" destId="{A7F4979C-8160-49BD-88A2-5338C675DC03}" srcOrd="0" destOrd="0" presId="urn:microsoft.com/office/officeart/2005/8/layout/orgChart1"/>
    <dgm:cxn modelId="{9166A3E9-7F33-482E-B88E-C4F34BEB1555}" type="presOf" srcId="{DC51CB02-7821-40A3-9502-35E35C86947A}" destId="{5B036851-C18A-4134-B277-C9DE1C7A7A0D}" srcOrd="1" destOrd="0" presId="urn:microsoft.com/office/officeart/2005/8/layout/orgChart1"/>
    <dgm:cxn modelId="{E24D51CB-AD46-4ABD-8D7C-FD29EC235212}" srcId="{B128569A-F621-4400-ACB9-8B37CB3C9FA7}" destId="{DB6D9ACF-B3FE-4A5D-BA81-0DA7F89F2312}" srcOrd="0" destOrd="0" parTransId="{6301B8FF-7517-4F38-96C9-419D2CC989E6}" sibTransId="{E582F54B-BEDE-4866-A737-D7CE57FA9EA0}"/>
    <dgm:cxn modelId="{1FF32BEA-1A45-4145-AE11-CB6C7C12E6BC}" type="presOf" srcId="{FF62AA93-FA4B-4C0E-A9CD-7BFD2A14D626}" destId="{98AD3747-2D4E-4E09-ADAE-1DBDCD17D6A2}" srcOrd="0" destOrd="0" presId="urn:microsoft.com/office/officeart/2005/8/layout/orgChart1"/>
    <dgm:cxn modelId="{57E9BA1A-0781-43FE-B400-8029F9D4A64B}" type="presOf" srcId="{8BD55A37-D5E9-44FD-81A4-0CE625685763}" destId="{3DC89633-C508-41A5-9B88-A2CC389B7025}" srcOrd="1" destOrd="0" presId="urn:microsoft.com/office/officeart/2005/8/layout/orgChart1"/>
    <dgm:cxn modelId="{AC98096F-4889-45F5-971F-08002A20E56B}" type="presOf" srcId="{DB6D9ACF-B3FE-4A5D-BA81-0DA7F89F2312}" destId="{E3BFD6D2-0DB5-448E-9289-E445FBBE4E58}" srcOrd="1" destOrd="0" presId="urn:microsoft.com/office/officeart/2005/8/layout/orgChart1"/>
    <dgm:cxn modelId="{A52360DC-E524-485D-A6A9-0AFB69E14F16}" type="presParOf" srcId="{A7F4979C-8160-49BD-88A2-5338C675DC03}" destId="{4F1DFC28-EDF9-4EF8-8F41-C0F8E4E364B7}" srcOrd="0" destOrd="0" presId="urn:microsoft.com/office/officeart/2005/8/layout/orgChart1"/>
    <dgm:cxn modelId="{35BB9C13-2B4D-4A0B-8AFD-77C78F488B2C}" type="presParOf" srcId="{4F1DFC28-EDF9-4EF8-8F41-C0F8E4E364B7}" destId="{4B25C817-1C1F-4C51-848D-BE4AA7552E09}" srcOrd="0" destOrd="0" presId="urn:microsoft.com/office/officeart/2005/8/layout/orgChart1"/>
    <dgm:cxn modelId="{C849EEFA-F649-4D15-9C77-57A71DA7BED9}" type="presParOf" srcId="{4B25C817-1C1F-4C51-848D-BE4AA7552E09}" destId="{43ACE45C-F163-49BE-90C1-41F7BB716C30}" srcOrd="0" destOrd="0" presId="urn:microsoft.com/office/officeart/2005/8/layout/orgChart1"/>
    <dgm:cxn modelId="{B5AEBEAC-A55B-49AB-92FB-386C19AB81D7}" type="presParOf" srcId="{4B25C817-1C1F-4C51-848D-BE4AA7552E09}" destId="{E3BFD6D2-0DB5-448E-9289-E445FBBE4E58}" srcOrd="1" destOrd="0" presId="urn:microsoft.com/office/officeart/2005/8/layout/orgChart1"/>
    <dgm:cxn modelId="{0E3A072A-2024-46AE-AB15-32C7D6FC8D92}" type="presParOf" srcId="{4F1DFC28-EDF9-4EF8-8F41-C0F8E4E364B7}" destId="{5DFEEF62-D321-4D10-9948-2273AABA72AB}" srcOrd="1" destOrd="0" presId="urn:microsoft.com/office/officeart/2005/8/layout/orgChart1"/>
    <dgm:cxn modelId="{52F35F9E-49DD-4A22-AB12-3B74CFBBDC61}" type="presParOf" srcId="{5DFEEF62-D321-4D10-9948-2273AABA72AB}" destId="{98AD3747-2D4E-4E09-ADAE-1DBDCD17D6A2}" srcOrd="0" destOrd="0" presId="urn:microsoft.com/office/officeart/2005/8/layout/orgChart1"/>
    <dgm:cxn modelId="{AD2098DC-3B92-45A8-8183-8FA3A549BC7A}" type="presParOf" srcId="{5DFEEF62-D321-4D10-9948-2273AABA72AB}" destId="{77E750B0-035D-4C68-A1C4-F669695201F1}" srcOrd="1" destOrd="0" presId="urn:microsoft.com/office/officeart/2005/8/layout/orgChart1"/>
    <dgm:cxn modelId="{C0B90774-F0CC-4337-803C-672CDE03FE59}" type="presParOf" srcId="{77E750B0-035D-4C68-A1C4-F669695201F1}" destId="{F2658768-3DEF-4F44-8698-5E8DAE8CA471}" srcOrd="0" destOrd="0" presId="urn:microsoft.com/office/officeart/2005/8/layout/orgChart1"/>
    <dgm:cxn modelId="{C8EA7070-74AF-402D-B404-0419E32EE9B9}" type="presParOf" srcId="{F2658768-3DEF-4F44-8698-5E8DAE8CA471}" destId="{04D70E44-22D3-49C3-882C-6CAD1BF98561}" srcOrd="0" destOrd="0" presId="urn:microsoft.com/office/officeart/2005/8/layout/orgChart1"/>
    <dgm:cxn modelId="{66CEA708-07CA-4E8F-8A9A-E4B0E2B4AFA3}" type="presParOf" srcId="{F2658768-3DEF-4F44-8698-5E8DAE8CA471}" destId="{5B036851-C18A-4134-B277-C9DE1C7A7A0D}" srcOrd="1" destOrd="0" presId="urn:microsoft.com/office/officeart/2005/8/layout/orgChart1"/>
    <dgm:cxn modelId="{6457474D-97B5-4389-AF32-3A184DB7AE81}" type="presParOf" srcId="{77E750B0-035D-4C68-A1C4-F669695201F1}" destId="{49BFDFC3-5366-431E-AF0C-45B3CA5D4B7D}" srcOrd="1" destOrd="0" presId="urn:microsoft.com/office/officeart/2005/8/layout/orgChart1"/>
    <dgm:cxn modelId="{99B6FBE7-4D66-407B-AADB-21F6620EDDCE}" type="presParOf" srcId="{77E750B0-035D-4C68-A1C4-F669695201F1}" destId="{A4CD4A4B-F22A-474C-B017-21213369AAA3}" srcOrd="2" destOrd="0" presId="urn:microsoft.com/office/officeart/2005/8/layout/orgChart1"/>
    <dgm:cxn modelId="{CA2FCE72-1226-4CA0-B558-8FA18F6BC00D}" type="presParOf" srcId="{5DFEEF62-D321-4D10-9948-2273AABA72AB}" destId="{0AE0432E-94B3-4D7E-B19B-3FD33B1002D8}" srcOrd="2" destOrd="0" presId="urn:microsoft.com/office/officeart/2005/8/layout/orgChart1"/>
    <dgm:cxn modelId="{4FE88B32-3771-4FBB-8E6A-2F2F96A32A90}" type="presParOf" srcId="{5DFEEF62-D321-4D10-9948-2273AABA72AB}" destId="{0F703678-C55F-4391-95F9-933EE56D465D}" srcOrd="3" destOrd="0" presId="urn:microsoft.com/office/officeart/2005/8/layout/orgChart1"/>
    <dgm:cxn modelId="{85C45144-58E8-48FE-B591-EEACB18A2D65}" type="presParOf" srcId="{0F703678-C55F-4391-95F9-933EE56D465D}" destId="{9A158B37-9048-40DD-B4DD-198B8CF86715}" srcOrd="0" destOrd="0" presId="urn:microsoft.com/office/officeart/2005/8/layout/orgChart1"/>
    <dgm:cxn modelId="{60C04156-AD8A-4D59-90C0-F280903688F1}" type="presParOf" srcId="{9A158B37-9048-40DD-B4DD-198B8CF86715}" destId="{E1799EC2-6D17-436F-85D6-D84F96374390}" srcOrd="0" destOrd="0" presId="urn:microsoft.com/office/officeart/2005/8/layout/orgChart1"/>
    <dgm:cxn modelId="{F94EB62A-067F-4C91-9E8D-A4B32462EC12}" type="presParOf" srcId="{9A158B37-9048-40DD-B4DD-198B8CF86715}" destId="{3DC89633-C508-41A5-9B88-A2CC389B7025}" srcOrd="1" destOrd="0" presId="urn:microsoft.com/office/officeart/2005/8/layout/orgChart1"/>
    <dgm:cxn modelId="{70A16260-081D-45B7-8454-FE9D979563AE}" type="presParOf" srcId="{0F703678-C55F-4391-95F9-933EE56D465D}" destId="{76DD6F6F-6057-4644-9EB1-601251CB7DD8}" srcOrd="1" destOrd="0" presId="urn:microsoft.com/office/officeart/2005/8/layout/orgChart1"/>
    <dgm:cxn modelId="{99AD85AA-8964-48E7-B1B6-8D1151950EE6}" type="presParOf" srcId="{0F703678-C55F-4391-95F9-933EE56D465D}" destId="{85AFD266-1F3A-4C58-950C-8772423A7E51}" srcOrd="2" destOrd="0" presId="urn:microsoft.com/office/officeart/2005/8/layout/orgChart1"/>
    <dgm:cxn modelId="{EAE2A531-9700-460E-A1C1-C2816849560B}" type="presParOf" srcId="{4F1DFC28-EDF9-4EF8-8F41-C0F8E4E364B7}" destId="{1E858197-6181-448E-BA62-96C61C4A11F8}" srcOrd="2" destOrd="0" presId="urn:microsoft.com/office/officeart/2005/8/layout/orgChart1"/>
    <dgm:cxn modelId="{440F62A9-BD6B-4A4E-9E9D-14E4DC093CA8}" type="presParOf" srcId="{1E858197-6181-448E-BA62-96C61C4A11F8}" destId="{4B4FB526-FD47-4B92-B251-32E3FB635523}" srcOrd="0" destOrd="0" presId="urn:microsoft.com/office/officeart/2005/8/layout/orgChart1"/>
    <dgm:cxn modelId="{1A500F27-DD45-4644-8F1B-E38AACB219AB}" type="presParOf" srcId="{1E858197-6181-448E-BA62-96C61C4A11F8}" destId="{5AECBCFD-AA23-4DC3-A941-760694D7B314}" srcOrd="1" destOrd="0" presId="urn:microsoft.com/office/officeart/2005/8/layout/orgChart1"/>
    <dgm:cxn modelId="{05EF31C6-F322-4EF2-B9B4-4F53FE921329}" type="presParOf" srcId="{5AECBCFD-AA23-4DC3-A941-760694D7B314}" destId="{854210AD-8606-4C0C-B3C1-B234D0A39E90}" srcOrd="0" destOrd="0" presId="urn:microsoft.com/office/officeart/2005/8/layout/orgChart1"/>
    <dgm:cxn modelId="{A600CC77-7259-4E68-8F95-957148FE10A8}" type="presParOf" srcId="{854210AD-8606-4C0C-B3C1-B234D0A39E90}" destId="{AC35AD36-3A16-42CC-8B92-F7F6F50B8708}" srcOrd="0" destOrd="0" presId="urn:microsoft.com/office/officeart/2005/8/layout/orgChart1"/>
    <dgm:cxn modelId="{F91E001C-817A-48C5-914E-46ADE94494AE}" type="presParOf" srcId="{854210AD-8606-4C0C-B3C1-B234D0A39E90}" destId="{64FD147C-2460-4785-BADA-D2A355533271}" srcOrd="1" destOrd="0" presId="urn:microsoft.com/office/officeart/2005/8/layout/orgChart1"/>
    <dgm:cxn modelId="{22B01B51-6425-4EF1-BD9D-09C6314EE4DE}" type="presParOf" srcId="{5AECBCFD-AA23-4DC3-A941-760694D7B314}" destId="{F1954953-1BA5-45DB-8A32-F5A423C20512}" srcOrd="1" destOrd="0" presId="urn:microsoft.com/office/officeart/2005/8/layout/orgChart1"/>
    <dgm:cxn modelId="{ABE034BE-521C-4B55-A4D9-BEB25FE105FC}" type="presParOf" srcId="{5AECBCFD-AA23-4DC3-A941-760694D7B314}" destId="{46D1C035-6CB9-4E33-900B-866BA201AB3F}" srcOrd="2" destOrd="0" presId="urn:microsoft.com/office/officeart/2005/8/layout/orgChart1"/>
  </dgm:cxnLst>
  <dgm:bg/>
  <dgm:whole/>
  <dgm:extLst>
    <a:ext uri="http://schemas.microsoft.com/office/drawing/2008/diagram">
      <dsp:dataModelExt xmlns:dsp="http://schemas.microsoft.com/office/drawing/2008/diagram" relId="rId135"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17"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57AD77B2-9ED6-45E0-A0AB-68CF5D9E7354}" srcId="{1FB07975-1809-41BE-823E-00F687A9C9AE}" destId="{3ADF9EDA-A930-45C3-89C3-6425F12E1AD8}" srcOrd="1" destOrd="0" parTransId="{05280444-4272-4AF1-B9D5-F5ACD5A2398C}" sibTransId="{47A9994C-4703-4776-B984-3C4BA767F630}"/>
    <dgm:cxn modelId="{02D06356-A430-4B94-83FD-BAA4FB6ABC28}" srcId="{1FB07975-1809-41BE-823E-00F687A9C9AE}" destId="{2D3D240F-3D75-4E47-BEC1-CD25D65AED31}" srcOrd="3" destOrd="0" parTransId="{C1C7D818-A1DB-4FDF-A430-6E92E3CA0360}" sibTransId="{C513F24A-64F3-464E-902A-2308F6DAD086}"/>
    <dgm:cxn modelId="{054DC8EE-FED8-4D4C-88A4-FDD53C83A1C0}" type="presOf" srcId="{289FDB6C-CB9A-4574-BF63-4F99DE508285}" destId="{EFF7D9CC-C01B-4BBF-A1EF-AE17F5354893}" srcOrd="0" destOrd="0" presId="urn:microsoft.com/office/officeart/2005/8/layout/hierarchy2"/>
    <dgm:cxn modelId="{D7B53D22-5A02-4109-858B-79192B99B385}" type="presOf" srcId="{3ADF9EDA-A930-45C3-89C3-6425F12E1AD8}" destId="{0E43AB82-3B63-43A6-926B-564A825EA6A1}" srcOrd="0" destOrd="0" presId="urn:microsoft.com/office/officeart/2005/8/layout/hierarchy2"/>
    <dgm:cxn modelId="{2FACDB41-8EA1-43DC-A02F-3220AB392742}" srcId="{1FB07975-1809-41BE-823E-00F687A9C9AE}" destId="{F7BBDD2D-3DE1-4601-BA61-C82D2860DC53}" srcOrd="2" destOrd="0" parTransId="{289FDB6C-CB9A-4574-BF63-4F99DE508285}" sibTransId="{057FCFB5-61C8-4119-97D8-A6CBE6A3B02E}"/>
    <dgm:cxn modelId="{87F4A978-374F-4B04-8925-DFB93ECD5FF9}" type="presOf" srcId="{1FB07975-1809-41BE-823E-00F687A9C9AE}" destId="{42F9E24E-38F3-40C6-886E-5C1CDB34D127}" srcOrd="0" destOrd="0" presId="urn:microsoft.com/office/officeart/2005/8/layout/hierarchy2"/>
    <dgm:cxn modelId="{5F7F7F12-554F-4A42-9560-FA029E5BAF6A}" type="presOf" srcId="{C1C7D818-A1DB-4FDF-A430-6E92E3CA0360}" destId="{831CF964-E826-43B1-97D3-B44AADB9A50D}" srcOrd="0" destOrd="0" presId="urn:microsoft.com/office/officeart/2005/8/layout/hierarchy2"/>
    <dgm:cxn modelId="{202C89EE-922B-4A5F-87D5-560562A10F56}" type="presOf" srcId="{05280444-4272-4AF1-B9D5-F5ACD5A2398C}" destId="{1192D187-D36E-4682-B3CF-82B1E7C9260A}" srcOrd="0" destOrd="0" presId="urn:microsoft.com/office/officeart/2005/8/layout/hierarchy2"/>
    <dgm:cxn modelId="{4E6E5DB0-E7B5-44C4-ACF6-EF351694B0F9}" srcId="{1FB07975-1809-41BE-823E-00F687A9C9AE}" destId="{F9A6987B-81E0-4912-8313-B10B603C10B6}" srcOrd="0" destOrd="0" parTransId="{30A0B025-3374-4C58-A7F0-70A334662FAF}" sibTransId="{7A14C26E-0805-4191-805C-48520B00F226}"/>
    <dgm:cxn modelId="{8D294C92-07A3-40A8-BCDC-CDFC659A5E54}" type="presOf" srcId="{30A0B025-3374-4C58-A7F0-70A334662FAF}" destId="{CD893B77-A6C7-492D-94F7-066042F3EB31}" srcOrd="1" destOrd="0" presId="urn:microsoft.com/office/officeart/2005/8/layout/hierarchy2"/>
    <dgm:cxn modelId="{71A9A2B5-110A-4505-94F9-A58FB716663A}" srcId="{9F20ED4A-8D5B-4459-B06E-A6FB89154D72}" destId="{1FB07975-1809-41BE-823E-00F687A9C9AE}" srcOrd="0" destOrd="0" parTransId="{498DED41-6652-4234-99B4-D87C0CA75172}" sibTransId="{57655C78-D192-4AB5-8AD0-D30210632DB1}"/>
    <dgm:cxn modelId="{595FE509-FFF4-4EA3-B070-00CDFDA9FF1E}" type="presOf" srcId="{30A0B025-3374-4C58-A7F0-70A334662FAF}" destId="{A5018DFF-9129-4181-94A1-8DD8BC07B264}" srcOrd="0" destOrd="0" presId="urn:microsoft.com/office/officeart/2005/8/layout/hierarchy2"/>
    <dgm:cxn modelId="{496A4DD1-E001-4247-BB65-E6729971BD71}" type="presOf" srcId="{2D3D240F-3D75-4E47-BEC1-CD25D65AED31}" destId="{D77DEDDD-E71A-4BC8-8E2B-323A5FDE1E2D}" srcOrd="0" destOrd="0" presId="urn:microsoft.com/office/officeart/2005/8/layout/hierarchy2"/>
    <dgm:cxn modelId="{A417E17D-0878-4FBC-87B4-0BF4AA715D3A}" type="presOf" srcId="{F7BBDD2D-3DE1-4601-BA61-C82D2860DC53}" destId="{BA3C6808-DE42-407A-B610-DD7D61F0FC57}" srcOrd="0" destOrd="0" presId="urn:microsoft.com/office/officeart/2005/8/layout/hierarchy2"/>
    <dgm:cxn modelId="{56465C00-1FED-4253-8744-3650B8284D09}" type="presOf" srcId="{C1C7D818-A1DB-4FDF-A430-6E92E3CA0360}" destId="{17ADB840-86AC-4959-B708-5ABE0B9DEF30}" srcOrd="1" destOrd="0" presId="urn:microsoft.com/office/officeart/2005/8/layout/hierarchy2"/>
    <dgm:cxn modelId="{E2EB60ED-C1ED-48C2-A4D6-1C0B43905B6D}" type="presOf" srcId="{9F20ED4A-8D5B-4459-B06E-A6FB89154D72}" destId="{440436AE-7D42-4003-8640-C3EE46331A78}" srcOrd="0" destOrd="0" presId="urn:microsoft.com/office/officeart/2005/8/layout/hierarchy2"/>
    <dgm:cxn modelId="{2E040D83-6A4A-4C08-90C2-29744C6DA79F}" type="presOf" srcId="{05280444-4272-4AF1-B9D5-F5ACD5A2398C}" destId="{8C5CE2EC-6652-4EE3-9FDF-29954333A968}" srcOrd="1" destOrd="0" presId="urn:microsoft.com/office/officeart/2005/8/layout/hierarchy2"/>
    <dgm:cxn modelId="{7875E172-4AC3-4394-BF46-88874A920D47}" type="presOf" srcId="{F9A6987B-81E0-4912-8313-B10B603C10B6}" destId="{7CAC738C-9777-4CCF-B563-4F57A6059ED4}" srcOrd="0" destOrd="0" presId="urn:microsoft.com/office/officeart/2005/8/layout/hierarchy2"/>
    <dgm:cxn modelId="{32BA5887-8072-442B-AAA3-8D0F65077332}" type="presOf" srcId="{289FDB6C-CB9A-4574-BF63-4F99DE508285}" destId="{B7B89713-155D-4BB5-98ED-CF8F88E19897}" srcOrd="1" destOrd="0" presId="urn:microsoft.com/office/officeart/2005/8/layout/hierarchy2"/>
    <dgm:cxn modelId="{FE21B51E-8C0A-4A64-AC94-C0B0F812B766}" type="presParOf" srcId="{440436AE-7D42-4003-8640-C3EE46331A78}" destId="{17E31ED7-7404-478C-9E1C-179F9E645CD4}" srcOrd="0" destOrd="0" presId="urn:microsoft.com/office/officeart/2005/8/layout/hierarchy2"/>
    <dgm:cxn modelId="{0D79364C-504F-44B7-AB6D-C4A7B67FA8A0}" type="presParOf" srcId="{17E31ED7-7404-478C-9E1C-179F9E645CD4}" destId="{42F9E24E-38F3-40C6-886E-5C1CDB34D127}" srcOrd="0" destOrd="0" presId="urn:microsoft.com/office/officeart/2005/8/layout/hierarchy2"/>
    <dgm:cxn modelId="{0DA5078F-BFB9-4DCA-8F46-92072598089F}" type="presParOf" srcId="{17E31ED7-7404-478C-9E1C-179F9E645CD4}" destId="{D498B6B5-5863-4C19-89E5-123308DE29B4}" srcOrd="1" destOrd="0" presId="urn:microsoft.com/office/officeart/2005/8/layout/hierarchy2"/>
    <dgm:cxn modelId="{89DC601B-C51E-488C-AE21-28667D27FADC}" type="presParOf" srcId="{D498B6B5-5863-4C19-89E5-123308DE29B4}" destId="{A5018DFF-9129-4181-94A1-8DD8BC07B264}" srcOrd="0" destOrd="0" presId="urn:microsoft.com/office/officeart/2005/8/layout/hierarchy2"/>
    <dgm:cxn modelId="{936E6859-F849-4ED6-B235-D74B6D4D3FB2}" type="presParOf" srcId="{A5018DFF-9129-4181-94A1-8DD8BC07B264}" destId="{CD893B77-A6C7-492D-94F7-066042F3EB31}" srcOrd="0" destOrd="0" presId="urn:microsoft.com/office/officeart/2005/8/layout/hierarchy2"/>
    <dgm:cxn modelId="{EE579AA8-01AE-40A9-887F-8C30F9B110BA}" type="presParOf" srcId="{D498B6B5-5863-4C19-89E5-123308DE29B4}" destId="{605B82BD-7F56-4F1F-A7A0-C1DC1CE94CD0}" srcOrd="1" destOrd="0" presId="urn:microsoft.com/office/officeart/2005/8/layout/hierarchy2"/>
    <dgm:cxn modelId="{996DEF5E-852C-49D2-9267-127C73280377}" type="presParOf" srcId="{605B82BD-7F56-4F1F-A7A0-C1DC1CE94CD0}" destId="{7CAC738C-9777-4CCF-B563-4F57A6059ED4}" srcOrd="0" destOrd="0" presId="urn:microsoft.com/office/officeart/2005/8/layout/hierarchy2"/>
    <dgm:cxn modelId="{0E2BFC58-019F-44FE-90E9-012895A905F6}" type="presParOf" srcId="{605B82BD-7F56-4F1F-A7A0-C1DC1CE94CD0}" destId="{176BB893-2D78-4832-805D-DCDE08810867}" srcOrd="1" destOrd="0" presId="urn:microsoft.com/office/officeart/2005/8/layout/hierarchy2"/>
    <dgm:cxn modelId="{7FC7272B-F932-42A4-B572-99D118762F1B}" type="presParOf" srcId="{D498B6B5-5863-4C19-89E5-123308DE29B4}" destId="{1192D187-D36E-4682-B3CF-82B1E7C9260A}" srcOrd="2" destOrd="0" presId="urn:microsoft.com/office/officeart/2005/8/layout/hierarchy2"/>
    <dgm:cxn modelId="{77923597-E2E1-41E4-8961-DF14B80BBE6C}" type="presParOf" srcId="{1192D187-D36E-4682-B3CF-82B1E7C9260A}" destId="{8C5CE2EC-6652-4EE3-9FDF-29954333A968}" srcOrd="0" destOrd="0" presId="urn:microsoft.com/office/officeart/2005/8/layout/hierarchy2"/>
    <dgm:cxn modelId="{7EC1DA9B-381E-4F48-A3BA-2A01CB12D445}" type="presParOf" srcId="{D498B6B5-5863-4C19-89E5-123308DE29B4}" destId="{A0D3C26B-409B-4037-9540-E62A95FB348A}" srcOrd="3" destOrd="0" presId="urn:microsoft.com/office/officeart/2005/8/layout/hierarchy2"/>
    <dgm:cxn modelId="{6B7DB588-B23E-4CA6-9AFA-4AD6BDE8FC11}" type="presParOf" srcId="{A0D3C26B-409B-4037-9540-E62A95FB348A}" destId="{0E43AB82-3B63-43A6-926B-564A825EA6A1}" srcOrd="0" destOrd="0" presId="urn:microsoft.com/office/officeart/2005/8/layout/hierarchy2"/>
    <dgm:cxn modelId="{D9A618C9-8D4F-45B1-89A9-B4A72DB0FC15}" type="presParOf" srcId="{A0D3C26B-409B-4037-9540-E62A95FB348A}" destId="{3A0A8DC3-A95C-4548-B98F-EF2750ACC9CD}" srcOrd="1" destOrd="0" presId="urn:microsoft.com/office/officeart/2005/8/layout/hierarchy2"/>
    <dgm:cxn modelId="{C525CB4E-0541-47CB-BA99-D1019E9F78F3}" type="presParOf" srcId="{D498B6B5-5863-4C19-89E5-123308DE29B4}" destId="{EFF7D9CC-C01B-4BBF-A1EF-AE17F5354893}" srcOrd="4" destOrd="0" presId="urn:microsoft.com/office/officeart/2005/8/layout/hierarchy2"/>
    <dgm:cxn modelId="{EB7F20A2-B43B-42FC-848E-B177E16D36DC}" type="presParOf" srcId="{EFF7D9CC-C01B-4BBF-A1EF-AE17F5354893}" destId="{B7B89713-155D-4BB5-98ED-CF8F88E19897}" srcOrd="0" destOrd="0" presId="urn:microsoft.com/office/officeart/2005/8/layout/hierarchy2"/>
    <dgm:cxn modelId="{A2F279FA-436B-4C9D-8F53-17D449674655}" type="presParOf" srcId="{D498B6B5-5863-4C19-89E5-123308DE29B4}" destId="{8112CE23-A9B6-4E66-940E-AF4A7ACA217D}" srcOrd="5" destOrd="0" presId="urn:microsoft.com/office/officeart/2005/8/layout/hierarchy2"/>
    <dgm:cxn modelId="{266E8687-CA0D-4B61-8D11-B03051BD352B}" type="presParOf" srcId="{8112CE23-A9B6-4E66-940E-AF4A7ACA217D}" destId="{BA3C6808-DE42-407A-B610-DD7D61F0FC57}" srcOrd="0" destOrd="0" presId="urn:microsoft.com/office/officeart/2005/8/layout/hierarchy2"/>
    <dgm:cxn modelId="{D260CDCA-C238-4DE1-95C5-F8BF286D3153}" type="presParOf" srcId="{8112CE23-A9B6-4E66-940E-AF4A7ACA217D}" destId="{064655D0-673E-40A7-8490-62C031596317}" srcOrd="1" destOrd="0" presId="urn:microsoft.com/office/officeart/2005/8/layout/hierarchy2"/>
    <dgm:cxn modelId="{42D2C38C-FD32-4C7E-8012-3132B7F90BF3}" type="presParOf" srcId="{D498B6B5-5863-4C19-89E5-123308DE29B4}" destId="{831CF964-E826-43B1-97D3-B44AADB9A50D}" srcOrd="6" destOrd="0" presId="urn:microsoft.com/office/officeart/2005/8/layout/hierarchy2"/>
    <dgm:cxn modelId="{C93BB5D4-B762-43DF-BD2A-14A89F655DA2}" type="presParOf" srcId="{831CF964-E826-43B1-97D3-B44AADB9A50D}" destId="{17ADB840-86AC-4959-B708-5ABE0B9DEF30}" srcOrd="0" destOrd="0" presId="urn:microsoft.com/office/officeart/2005/8/layout/hierarchy2"/>
    <dgm:cxn modelId="{D714CC93-ADAC-4207-AF99-6E76B80E5609}" type="presParOf" srcId="{D498B6B5-5863-4C19-89E5-123308DE29B4}" destId="{203FAC5C-8255-47C1-B73C-55AAB89EBAF6}" srcOrd="7" destOrd="0" presId="urn:microsoft.com/office/officeart/2005/8/layout/hierarchy2"/>
    <dgm:cxn modelId="{D92399C6-DF3B-41F5-92A3-83E5A0BB122C}" type="presParOf" srcId="{203FAC5C-8255-47C1-B73C-55AAB89EBAF6}" destId="{D77DEDDD-E71A-4BC8-8E2B-323A5FDE1E2D}" srcOrd="0" destOrd="0" presId="urn:microsoft.com/office/officeart/2005/8/layout/hierarchy2"/>
    <dgm:cxn modelId="{8B422C4B-C7FA-4C2B-B295-2BFCCBE8EAE2}"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140"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18"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1BFA6C6D-3937-42FB-B27E-24E3B274003C}" srcId="{84B98E40-1235-4625-88E6-1B3D03E64A7C}" destId="{21FF79F3-4708-48EA-B45F-B6B6FAC44811}" srcOrd="2" destOrd="0" parTransId="{32351E8E-FBEC-4A28-900B-221FC15A8364}" sibTransId="{B9F74CFF-35C4-41E3-BA81-D4DC8169D76D}"/>
    <dgm:cxn modelId="{4B72D292-3AEC-4DBB-A0E4-9A276DBC505E}" type="presOf" srcId="{32351E8E-FBEC-4A28-900B-221FC15A8364}" destId="{033E40DE-CAC0-47CD-9596-9DC3321C6A36}" srcOrd="0" destOrd="0" presId="urn:microsoft.com/office/officeart/2009/3/layout/HorizontalOrganizationChart"/>
    <dgm:cxn modelId="{C3BADDBA-B4F4-469E-B876-92C1BFA81D54}" type="presOf" srcId="{445EB964-E0BA-4A5D-9C54-F6BC75F54428}" destId="{952D323D-8C5C-472E-80E1-37E378556BC2}" srcOrd="0" destOrd="0" presId="urn:microsoft.com/office/officeart/2009/3/layout/HorizontalOrganizationChart"/>
    <dgm:cxn modelId="{2941467A-51F4-4C16-A343-2C6144A997F2}" type="presOf" srcId="{52378FC2-CBD8-403A-AD87-00EBE718EA8D}" destId="{DEC8B82D-0BC4-472B-A447-1353F6496838}" srcOrd="0" destOrd="0" presId="urn:microsoft.com/office/officeart/2009/3/layout/HorizontalOrganizationChart"/>
    <dgm:cxn modelId="{F8E63BE8-AC39-4DC1-9FC7-2A55BF4B82BB}" srcId="{84B98E40-1235-4625-88E6-1B3D03E64A7C}" destId="{AF9FF3D4-E159-474F-AEF4-68677A8E3E6C}" srcOrd="1" destOrd="0" parTransId="{D649D024-B028-4D79-A6AA-CC5E3C27B35D}" sibTransId="{0776033F-0509-4CDD-AFD1-D0804025CDAF}"/>
    <dgm:cxn modelId="{C5CF669A-EF42-4AA8-AD8E-30657F61A95E}" srcId="{84B98E40-1235-4625-88E6-1B3D03E64A7C}" destId="{F7C68FC2-9784-41FF-ADDC-F5290E58DA32}" srcOrd="0" destOrd="0" parTransId="{0F669386-ED1D-4103-BBAE-03DE3F205CD9}" sibTransId="{40E2532B-FA83-4677-90DC-0A49F84F3BAA}"/>
    <dgm:cxn modelId="{74D96CAC-42A7-4747-AFE4-8CC56F0BCAC6}" type="presOf" srcId="{F7C68FC2-9784-41FF-ADDC-F5290E58DA32}" destId="{60A33E77-5A38-4D1F-BA68-FD1428B0B92D}" srcOrd="1" destOrd="0" presId="urn:microsoft.com/office/officeart/2009/3/layout/HorizontalOrganizationChart"/>
    <dgm:cxn modelId="{21F53913-2EA7-499A-9F9C-9B388C459175}" type="presOf" srcId="{F7C68FC2-9784-41FF-ADDC-F5290E58DA32}" destId="{7BEE8A27-1D68-426E-A927-1D764EF4E003}" srcOrd="0" destOrd="0" presId="urn:microsoft.com/office/officeart/2009/3/layout/HorizontalOrganizationChart"/>
    <dgm:cxn modelId="{80BB461F-D762-47E0-8F2E-CF098CA600D6}" type="presOf" srcId="{2C762137-593E-4773-9BF0-77E3D29074D2}" destId="{20C8F477-87AC-41F7-B480-0B24850E9394}" srcOrd="0" destOrd="0" presId="urn:microsoft.com/office/officeart/2009/3/layout/HorizontalOrganizationChart"/>
    <dgm:cxn modelId="{E3C4C090-875B-4410-8BF0-D2911A87C720}" type="presOf" srcId="{7326291B-1C63-4191-894B-0D7AC1676219}" destId="{BA9E7B32-24EF-4CE9-A79E-BC5ECD9277FE}" srcOrd="0" destOrd="0" presId="urn:microsoft.com/office/officeart/2009/3/layout/HorizontalOrganizationChart"/>
    <dgm:cxn modelId="{025C2F2E-D379-4EF3-9A3B-6BF66179BB7A}" type="presOf" srcId="{AF9FF3D4-E159-474F-AEF4-68677A8E3E6C}" destId="{0229DB44-A561-47AD-8D62-3686DFB75D0E}" srcOrd="0" destOrd="0" presId="urn:microsoft.com/office/officeart/2009/3/layout/HorizontalOrganizationChart"/>
    <dgm:cxn modelId="{5E713932-B04B-4062-86C2-90F51F0606A2}" type="presOf" srcId="{21FF79F3-4708-48EA-B45F-B6B6FAC44811}" destId="{FA3CF19C-FD93-4F6A-940B-CFF77E302008}" srcOrd="1" destOrd="0" presId="urn:microsoft.com/office/officeart/2009/3/layout/HorizontalOrganizationChart"/>
    <dgm:cxn modelId="{E718A4FF-5792-4F22-9526-A661BAE3B23C}" type="presOf" srcId="{84B98E40-1235-4625-88E6-1B3D03E64A7C}" destId="{E34647F5-55CD-4586-810F-D80D70BDDA00}" srcOrd="0" destOrd="0" presId="urn:microsoft.com/office/officeart/2009/3/layout/HorizontalOrganizationChart"/>
    <dgm:cxn modelId="{DEB60B99-33D9-4467-88E9-7119F5E66351}" type="presOf" srcId="{0194EEC5-349B-4085-A2B8-B3065EF6780C}" destId="{C5E03ABF-4E38-4AE1-A688-A9156FDA1E82}" srcOrd="0"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06E0AB09-7953-4610-9A43-814072A97655}" type="presOf" srcId="{21FF79F3-4708-48EA-B45F-B6B6FAC44811}" destId="{768E0722-BE78-4A3B-80F5-12F88735C7A5}" srcOrd="0" destOrd="0" presId="urn:microsoft.com/office/officeart/2009/3/layout/HorizontalOrganizationChart"/>
    <dgm:cxn modelId="{D0504C22-B031-4507-965E-7448488FBC9D}" srcId="{61229014-43B7-4156-9AC9-3F870334541A}" destId="{52378FC2-CBD8-403A-AD87-00EBE718EA8D}" srcOrd="0" destOrd="0" parTransId="{0194EEC5-349B-4085-A2B8-B3065EF6780C}" sibTransId="{9F6B1027-6F9B-4A17-B696-06A8F198BE49}"/>
    <dgm:cxn modelId="{F428D801-35E2-4E0D-A1D5-12CA5128A28B}" type="presOf" srcId="{61229014-43B7-4156-9AC9-3F870334541A}" destId="{2AFB02D2-FAC6-4261-808E-CCB9AE1EF0C8}" srcOrd="1" destOrd="0" presId="urn:microsoft.com/office/officeart/2009/3/layout/HorizontalOrganizationChart"/>
    <dgm:cxn modelId="{7DE85B4C-4369-4E3C-8640-AEF63A1F4108}" srcId="{61229014-43B7-4156-9AC9-3F870334541A}" destId="{7326291B-1C63-4191-894B-0D7AC1676219}" srcOrd="2" destOrd="0" parTransId="{1CC64076-418B-445A-9D7A-BFAEA9E91A90}" sibTransId="{92B0235C-175C-4442-8A7A-BB6A06F6D653}"/>
    <dgm:cxn modelId="{71209F12-6FB3-4285-8BC4-3FA73D08C4A5}" type="presOf" srcId="{0F669386-ED1D-4103-BBAE-03DE3F205CD9}" destId="{6939AE35-1CF7-462E-B1D5-E37730B7709A}" srcOrd="0" destOrd="0" presId="urn:microsoft.com/office/officeart/2009/3/layout/HorizontalOrganizationChart"/>
    <dgm:cxn modelId="{8C086A44-1DB5-4B63-A1AD-378D64F2902D}" type="presOf" srcId="{61229014-43B7-4156-9AC9-3F870334541A}" destId="{39DDE941-ABEA-42AD-AF01-8CA53DE00903}" srcOrd="0" destOrd="0" presId="urn:microsoft.com/office/officeart/2009/3/layout/HorizontalOrganizationChart"/>
    <dgm:cxn modelId="{A6F8AFF4-C14E-49A1-A993-5B3F8CCC760F}" type="presOf" srcId="{52378FC2-CBD8-403A-AD87-00EBE718EA8D}" destId="{3252FFAB-3744-463B-B1ED-DE6FA70F0B34}" srcOrd="1" destOrd="0" presId="urn:microsoft.com/office/officeart/2009/3/layout/HorizontalOrganizationChart"/>
    <dgm:cxn modelId="{38292877-0BCD-47C1-AADE-84FCF2C1921B}" type="presOf" srcId="{84B98E40-1235-4625-88E6-1B3D03E64A7C}" destId="{E9A068F0-30DA-497B-8910-73B9DC219EA2}" srcOrd="1" destOrd="0" presId="urn:microsoft.com/office/officeart/2009/3/layout/HorizontalOrganizationChart"/>
    <dgm:cxn modelId="{088D3940-4A86-4AF2-9B47-CE8923060458}" type="presOf" srcId="{AF9FF3D4-E159-474F-AEF4-68677A8E3E6C}" destId="{D9FC4FC7-80B4-4A27-AA44-0C75AE66ED8A}" srcOrd="1" destOrd="0" presId="urn:microsoft.com/office/officeart/2009/3/layout/HorizontalOrganizationChart"/>
    <dgm:cxn modelId="{70A44065-7CFD-4FFF-8CB7-E72BBB324D40}" type="presOf" srcId="{D649D024-B028-4D79-A6AA-CC5E3C27B35D}" destId="{D806081A-E5DB-44D6-807B-5AE11411C907}" srcOrd="0"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3281B9DD-164F-4CB0-9A47-B891924FF1C2}" type="presOf" srcId="{7326291B-1C63-4191-894B-0D7AC1676219}" destId="{9EABEC91-C29E-4A79-BAD5-A34B02B32342}" srcOrd="1" destOrd="0" presId="urn:microsoft.com/office/officeart/2009/3/layout/HorizontalOrganizationChart"/>
    <dgm:cxn modelId="{AE3EBE4D-AF6A-4678-B196-50F8024DFAAD}" type="presOf" srcId="{1CC64076-418B-445A-9D7A-BFAEA9E91A90}" destId="{A1078D78-B03B-4243-A9F8-C10A6A9FD365}" srcOrd="0" destOrd="0" presId="urn:microsoft.com/office/officeart/2009/3/layout/HorizontalOrganizationChart"/>
    <dgm:cxn modelId="{6A61743D-2B3E-4F1E-8F76-BC52BF7260E2}" type="presParOf" srcId="{20C8F477-87AC-41F7-B480-0B24850E9394}" destId="{0E682000-86EF-4088-AA6A-F9AD5B1AA280}" srcOrd="0" destOrd="0" presId="urn:microsoft.com/office/officeart/2009/3/layout/HorizontalOrganizationChart"/>
    <dgm:cxn modelId="{F43B5E52-2531-42E2-A775-8F473CF4CE00}" type="presParOf" srcId="{0E682000-86EF-4088-AA6A-F9AD5B1AA280}" destId="{DAA90C01-D1B6-4AB2-AFD9-13CF55989794}" srcOrd="0" destOrd="0" presId="urn:microsoft.com/office/officeart/2009/3/layout/HorizontalOrganizationChart"/>
    <dgm:cxn modelId="{9E71DBDF-2F77-4995-AE63-F705ADBCDA38}" type="presParOf" srcId="{DAA90C01-D1B6-4AB2-AFD9-13CF55989794}" destId="{39DDE941-ABEA-42AD-AF01-8CA53DE00903}" srcOrd="0" destOrd="0" presId="urn:microsoft.com/office/officeart/2009/3/layout/HorizontalOrganizationChart"/>
    <dgm:cxn modelId="{CC69C33D-2E90-4B79-BFA4-0048213F8187}" type="presParOf" srcId="{DAA90C01-D1B6-4AB2-AFD9-13CF55989794}" destId="{2AFB02D2-FAC6-4261-808E-CCB9AE1EF0C8}" srcOrd="1" destOrd="0" presId="urn:microsoft.com/office/officeart/2009/3/layout/HorizontalOrganizationChart"/>
    <dgm:cxn modelId="{DB4BFE34-58DD-46D6-AA7E-24D8DFC5D015}" type="presParOf" srcId="{0E682000-86EF-4088-AA6A-F9AD5B1AA280}" destId="{EC2024E0-12B9-4E0E-AEF5-75F18ADC96C9}" srcOrd="1" destOrd="0" presId="urn:microsoft.com/office/officeart/2009/3/layout/HorizontalOrganizationChart"/>
    <dgm:cxn modelId="{13C4648C-7667-4BB4-B49A-37FC2DCD5724}" type="presParOf" srcId="{EC2024E0-12B9-4E0E-AEF5-75F18ADC96C9}" destId="{952D323D-8C5C-472E-80E1-37E378556BC2}" srcOrd="0" destOrd="0" presId="urn:microsoft.com/office/officeart/2009/3/layout/HorizontalOrganizationChart"/>
    <dgm:cxn modelId="{7550C004-7609-4109-814D-799E09F1F55F}" type="presParOf" srcId="{EC2024E0-12B9-4E0E-AEF5-75F18ADC96C9}" destId="{0C0F6173-5A05-4685-A5D8-1756A99B7DE2}" srcOrd="1" destOrd="0" presId="urn:microsoft.com/office/officeart/2009/3/layout/HorizontalOrganizationChart"/>
    <dgm:cxn modelId="{CF440A5B-8526-4E96-B1F3-784FE3D5CE76}" type="presParOf" srcId="{0C0F6173-5A05-4685-A5D8-1756A99B7DE2}" destId="{95E3845C-5B11-46BA-A936-08DBE74242F1}" srcOrd="0" destOrd="0" presId="urn:microsoft.com/office/officeart/2009/3/layout/HorizontalOrganizationChart"/>
    <dgm:cxn modelId="{C54F6227-A303-428C-934F-0F0D60D35065}" type="presParOf" srcId="{95E3845C-5B11-46BA-A936-08DBE74242F1}" destId="{E34647F5-55CD-4586-810F-D80D70BDDA00}" srcOrd="0" destOrd="0" presId="urn:microsoft.com/office/officeart/2009/3/layout/HorizontalOrganizationChart"/>
    <dgm:cxn modelId="{EA17C98C-56B1-43AB-AEDE-A6FABBEA419F}" type="presParOf" srcId="{95E3845C-5B11-46BA-A936-08DBE74242F1}" destId="{E9A068F0-30DA-497B-8910-73B9DC219EA2}" srcOrd="1" destOrd="0" presId="urn:microsoft.com/office/officeart/2009/3/layout/HorizontalOrganizationChart"/>
    <dgm:cxn modelId="{3F1C0554-CDED-484A-88EE-95FAD4C3F704}" type="presParOf" srcId="{0C0F6173-5A05-4685-A5D8-1756A99B7DE2}" destId="{7CC473A8-9684-49CB-A160-70A59B17C7E6}" srcOrd="1" destOrd="0" presId="urn:microsoft.com/office/officeart/2009/3/layout/HorizontalOrganizationChart"/>
    <dgm:cxn modelId="{5D62A293-62B0-46E2-8D84-85F9A4EFB154}" type="presParOf" srcId="{7CC473A8-9684-49CB-A160-70A59B17C7E6}" destId="{6939AE35-1CF7-462E-B1D5-E37730B7709A}" srcOrd="0" destOrd="0" presId="urn:microsoft.com/office/officeart/2009/3/layout/HorizontalOrganizationChart"/>
    <dgm:cxn modelId="{479C051E-6C2B-4504-BD8D-DBB1349FDD1E}" type="presParOf" srcId="{7CC473A8-9684-49CB-A160-70A59B17C7E6}" destId="{BC87BCA7-E683-4BF2-8D9E-49884EEB6AC0}" srcOrd="1" destOrd="0" presId="urn:microsoft.com/office/officeart/2009/3/layout/HorizontalOrganizationChart"/>
    <dgm:cxn modelId="{6D0F89C6-8C5C-45F1-8C2E-8775DB5499E4}" type="presParOf" srcId="{BC87BCA7-E683-4BF2-8D9E-49884EEB6AC0}" destId="{18800D8D-6898-437E-A9BA-423C82541506}" srcOrd="0" destOrd="0" presId="urn:microsoft.com/office/officeart/2009/3/layout/HorizontalOrganizationChart"/>
    <dgm:cxn modelId="{92C3ABC3-FF87-4974-B78C-C9BD37C8EF63}" type="presParOf" srcId="{18800D8D-6898-437E-A9BA-423C82541506}" destId="{7BEE8A27-1D68-426E-A927-1D764EF4E003}" srcOrd="0" destOrd="0" presId="urn:microsoft.com/office/officeart/2009/3/layout/HorizontalOrganizationChart"/>
    <dgm:cxn modelId="{25EDB688-1EEC-41D4-92F5-A6636D0D429D}" type="presParOf" srcId="{18800D8D-6898-437E-A9BA-423C82541506}" destId="{60A33E77-5A38-4D1F-BA68-FD1428B0B92D}" srcOrd="1" destOrd="0" presId="urn:microsoft.com/office/officeart/2009/3/layout/HorizontalOrganizationChart"/>
    <dgm:cxn modelId="{15E84EFE-4115-4EC4-80E3-C578B770D41B}" type="presParOf" srcId="{BC87BCA7-E683-4BF2-8D9E-49884EEB6AC0}" destId="{C9D25951-B30B-457E-B8FF-5A33069D0729}" srcOrd="1" destOrd="0" presId="urn:microsoft.com/office/officeart/2009/3/layout/HorizontalOrganizationChart"/>
    <dgm:cxn modelId="{95184D2A-8FCF-450C-B4F7-258491ED6C52}" type="presParOf" srcId="{BC87BCA7-E683-4BF2-8D9E-49884EEB6AC0}" destId="{A665234C-2D50-4F07-9598-723E4486743C}" srcOrd="2" destOrd="0" presId="urn:microsoft.com/office/officeart/2009/3/layout/HorizontalOrganizationChart"/>
    <dgm:cxn modelId="{E12D0B5E-C81A-4C67-BB77-266C1347FA9C}" type="presParOf" srcId="{7CC473A8-9684-49CB-A160-70A59B17C7E6}" destId="{033E40DE-CAC0-47CD-9596-9DC3321C6A36}" srcOrd="2" destOrd="0" presId="urn:microsoft.com/office/officeart/2009/3/layout/HorizontalOrganizationChart"/>
    <dgm:cxn modelId="{173310E6-EFE7-490C-96F2-D7E81B4FCF69}" type="presParOf" srcId="{7CC473A8-9684-49CB-A160-70A59B17C7E6}" destId="{78E7A230-48D0-4D42-9A4C-C857A87A8A9C}" srcOrd="3" destOrd="0" presId="urn:microsoft.com/office/officeart/2009/3/layout/HorizontalOrganizationChart"/>
    <dgm:cxn modelId="{619B89EE-1A6D-49DA-A23B-D1213C84EBFD}" type="presParOf" srcId="{78E7A230-48D0-4D42-9A4C-C857A87A8A9C}" destId="{2557DDEA-2316-4E98-9228-02E8E5674B7E}" srcOrd="0" destOrd="0" presId="urn:microsoft.com/office/officeart/2009/3/layout/HorizontalOrganizationChart"/>
    <dgm:cxn modelId="{01D82755-FA14-4E68-8AB9-FD188235ABB9}" type="presParOf" srcId="{2557DDEA-2316-4E98-9228-02E8E5674B7E}" destId="{768E0722-BE78-4A3B-80F5-12F88735C7A5}" srcOrd="0" destOrd="0" presId="urn:microsoft.com/office/officeart/2009/3/layout/HorizontalOrganizationChart"/>
    <dgm:cxn modelId="{CADAB2C4-45B9-49BA-A245-F6C9B643FDC5}" type="presParOf" srcId="{2557DDEA-2316-4E98-9228-02E8E5674B7E}" destId="{FA3CF19C-FD93-4F6A-940B-CFF77E302008}" srcOrd="1" destOrd="0" presId="urn:microsoft.com/office/officeart/2009/3/layout/HorizontalOrganizationChart"/>
    <dgm:cxn modelId="{02518561-62B7-4C71-BFA5-F2C7A6EE1DD8}" type="presParOf" srcId="{78E7A230-48D0-4D42-9A4C-C857A87A8A9C}" destId="{4320B6BB-C495-4E2B-A0B4-43BCEB2B4077}" srcOrd="1" destOrd="0" presId="urn:microsoft.com/office/officeart/2009/3/layout/HorizontalOrganizationChart"/>
    <dgm:cxn modelId="{0CC5B2F6-AF56-47EA-82EF-1B0EAB2ADF6C}" type="presParOf" srcId="{78E7A230-48D0-4D42-9A4C-C857A87A8A9C}" destId="{4611B139-DFE4-4568-A45B-312909C6CAE3}" srcOrd="2" destOrd="0" presId="urn:microsoft.com/office/officeart/2009/3/layout/HorizontalOrganizationChart"/>
    <dgm:cxn modelId="{8632535E-A7E9-4081-A12C-6F232875D11E}" type="presParOf" srcId="{0C0F6173-5A05-4685-A5D8-1756A99B7DE2}" destId="{3803354C-6CBC-4C36-9898-A094178CBE9E}" srcOrd="2" destOrd="0" presId="urn:microsoft.com/office/officeart/2009/3/layout/HorizontalOrganizationChart"/>
    <dgm:cxn modelId="{B9D946D6-9B51-4D01-B0BB-1EE9F3D2A1DE}" type="presParOf" srcId="{3803354C-6CBC-4C36-9898-A094178CBE9E}" destId="{D806081A-E5DB-44D6-807B-5AE11411C907}" srcOrd="0" destOrd="0" presId="urn:microsoft.com/office/officeart/2009/3/layout/HorizontalOrganizationChart"/>
    <dgm:cxn modelId="{7D33D141-0696-473A-A550-5035EF561DA3}" type="presParOf" srcId="{3803354C-6CBC-4C36-9898-A094178CBE9E}" destId="{4D4CBCCC-B347-414C-9B4E-D5BD89F61F26}" srcOrd="1" destOrd="0" presId="urn:microsoft.com/office/officeart/2009/3/layout/HorizontalOrganizationChart"/>
    <dgm:cxn modelId="{5D679222-BE8A-4D8A-8C89-A5D052E16134}" type="presParOf" srcId="{4D4CBCCC-B347-414C-9B4E-D5BD89F61F26}" destId="{2FC56ECE-50B7-426D-9D59-C6CA4D09DFED}" srcOrd="0" destOrd="0" presId="urn:microsoft.com/office/officeart/2009/3/layout/HorizontalOrganizationChart"/>
    <dgm:cxn modelId="{0F93A12E-F503-49F4-B43D-1D4F2E32C326}" type="presParOf" srcId="{2FC56ECE-50B7-426D-9D59-C6CA4D09DFED}" destId="{0229DB44-A561-47AD-8D62-3686DFB75D0E}" srcOrd="0" destOrd="0" presId="urn:microsoft.com/office/officeart/2009/3/layout/HorizontalOrganizationChart"/>
    <dgm:cxn modelId="{ED7EB24D-D60D-4EA8-8D1A-9BCEA9A15EA6}" type="presParOf" srcId="{2FC56ECE-50B7-426D-9D59-C6CA4D09DFED}" destId="{D9FC4FC7-80B4-4A27-AA44-0C75AE66ED8A}" srcOrd="1" destOrd="0" presId="urn:microsoft.com/office/officeart/2009/3/layout/HorizontalOrganizationChart"/>
    <dgm:cxn modelId="{96FBDCD9-026D-4C5A-84E6-30030C20AD1D}" type="presParOf" srcId="{4D4CBCCC-B347-414C-9B4E-D5BD89F61F26}" destId="{FBA37337-CDDD-499A-823C-600844320159}" srcOrd="1" destOrd="0" presId="urn:microsoft.com/office/officeart/2009/3/layout/HorizontalOrganizationChart"/>
    <dgm:cxn modelId="{CC8317DE-AF0C-4F20-AD4C-36FADFA30C85}" type="presParOf" srcId="{4D4CBCCC-B347-414C-9B4E-D5BD89F61F26}" destId="{4F72646B-16E7-44E6-BC97-2A9D86EE9E45}" srcOrd="2" destOrd="0" presId="urn:microsoft.com/office/officeart/2009/3/layout/HorizontalOrganizationChart"/>
    <dgm:cxn modelId="{18E62D60-BEB2-4CA4-8706-E58C505601DD}" type="presParOf" srcId="{EC2024E0-12B9-4E0E-AEF5-75F18ADC96C9}" destId="{A1078D78-B03B-4243-A9F8-C10A6A9FD365}" srcOrd="2" destOrd="0" presId="urn:microsoft.com/office/officeart/2009/3/layout/HorizontalOrganizationChart"/>
    <dgm:cxn modelId="{B9A6C93C-CA70-480E-9BF4-48CFCEA06146}" type="presParOf" srcId="{EC2024E0-12B9-4E0E-AEF5-75F18ADC96C9}" destId="{6AC6BEF7-088C-4A8C-B670-5E2AF15169CE}" srcOrd="3" destOrd="0" presId="urn:microsoft.com/office/officeart/2009/3/layout/HorizontalOrganizationChart"/>
    <dgm:cxn modelId="{3D9C0FB0-4458-4D4B-A3D7-E5BCAF69E31C}" type="presParOf" srcId="{6AC6BEF7-088C-4A8C-B670-5E2AF15169CE}" destId="{FAA9A139-7864-4001-AF08-CDAA829E5ED0}" srcOrd="0" destOrd="0" presId="urn:microsoft.com/office/officeart/2009/3/layout/HorizontalOrganizationChart"/>
    <dgm:cxn modelId="{2EF82583-E867-4397-8398-08E6FD49FB04}" type="presParOf" srcId="{FAA9A139-7864-4001-AF08-CDAA829E5ED0}" destId="{BA9E7B32-24EF-4CE9-A79E-BC5ECD9277FE}" srcOrd="0" destOrd="0" presId="urn:microsoft.com/office/officeart/2009/3/layout/HorizontalOrganizationChart"/>
    <dgm:cxn modelId="{DF01416B-B100-4B77-9941-1C7470DBF949}" type="presParOf" srcId="{FAA9A139-7864-4001-AF08-CDAA829E5ED0}" destId="{9EABEC91-C29E-4A79-BAD5-A34B02B32342}" srcOrd="1" destOrd="0" presId="urn:microsoft.com/office/officeart/2009/3/layout/HorizontalOrganizationChart"/>
    <dgm:cxn modelId="{F6D49651-4F62-4323-8544-7C9B47A3CF62}" type="presParOf" srcId="{6AC6BEF7-088C-4A8C-B670-5E2AF15169CE}" destId="{71111C2C-B6AD-40D5-9989-BA5792067379}" srcOrd="1" destOrd="0" presId="urn:microsoft.com/office/officeart/2009/3/layout/HorizontalOrganizationChart"/>
    <dgm:cxn modelId="{CB9D43FA-1B63-4000-9121-20A7B435E2D2}" type="presParOf" srcId="{6AC6BEF7-088C-4A8C-B670-5E2AF15169CE}" destId="{4DB038D6-F973-446C-AC43-D9DB7470E409}" srcOrd="2" destOrd="0" presId="urn:microsoft.com/office/officeart/2009/3/layout/HorizontalOrganizationChart"/>
    <dgm:cxn modelId="{7F1C76F1-5FB5-4262-8171-B917ECF96B1C}" type="presParOf" srcId="{0E682000-86EF-4088-AA6A-F9AD5B1AA280}" destId="{CC0BDA2C-44E2-46B3-B85D-038AD6FC962B}" srcOrd="2" destOrd="0" presId="urn:microsoft.com/office/officeart/2009/3/layout/HorizontalOrganizationChart"/>
    <dgm:cxn modelId="{8D240DBC-89F4-46B8-96D6-78BCDCE4E4E7}" type="presParOf" srcId="{CC0BDA2C-44E2-46B3-B85D-038AD6FC962B}" destId="{C5E03ABF-4E38-4AE1-A688-A9156FDA1E82}" srcOrd="0" destOrd="0" presId="urn:microsoft.com/office/officeart/2009/3/layout/HorizontalOrganizationChart"/>
    <dgm:cxn modelId="{305E0369-68B3-42D5-91D3-D09BA520C4CA}" type="presParOf" srcId="{CC0BDA2C-44E2-46B3-B85D-038AD6FC962B}" destId="{95686ED6-864F-4178-99C8-97F447C1B3B6}" srcOrd="1" destOrd="0" presId="urn:microsoft.com/office/officeart/2009/3/layout/HorizontalOrganizationChart"/>
    <dgm:cxn modelId="{40EE9462-818C-42D1-8423-731F68956BE1}" type="presParOf" srcId="{95686ED6-864F-4178-99C8-97F447C1B3B6}" destId="{39302932-19AA-4686-8000-E6B370091F16}" srcOrd="0" destOrd="0" presId="urn:microsoft.com/office/officeart/2009/3/layout/HorizontalOrganizationChart"/>
    <dgm:cxn modelId="{7516F0D9-52F3-420D-8938-B714DBE602C6}" type="presParOf" srcId="{39302932-19AA-4686-8000-E6B370091F16}" destId="{DEC8B82D-0BC4-472B-A447-1353F6496838}" srcOrd="0" destOrd="0" presId="urn:microsoft.com/office/officeart/2009/3/layout/HorizontalOrganizationChart"/>
    <dgm:cxn modelId="{675968D4-B64F-4F78-BB63-F5D8F6628177}" type="presParOf" srcId="{39302932-19AA-4686-8000-E6B370091F16}" destId="{3252FFAB-3744-463B-B1ED-DE6FA70F0B34}" srcOrd="1" destOrd="0" presId="urn:microsoft.com/office/officeart/2009/3/layout/HorizontalOrganizationChart"/>
    <dgm:cxn modelId="{D1166EB7-EC65-468C-95D4-916DC4779053}" type="presParOf" srcId="{95686ED6-864F-4178-99C8-97F447C1B3B6}" destId="{117E40E7-1A6B-4AED-AF21-0B93D4190C03}" srcOrd="1" destOrd="0" presId="urn:microsoft.com/office/officeart/2009/3/layout/HorizontalOrganizationChart"/>
    <dgm:cxn modelId="{B8CDA253-C8AA-47DD-BD7D-DB2A2DEAA022}"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145"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19"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6231A107-25A8-4B65-995C-4BB7EC4E4C5C}" srcId="{DDCF8B81-F445-4554-A205-A41AADF85684}" destId="{087D825C-27D5-44CA-843B-94AD71A045B3}" srcOrd="1" destOrd="0" parTransId="{8C660B2A-5B2F-4EE6-BB11-066A507F2EDB}" sibTransId="{484483F8-CAFF-41C3-99E8-25B2DACA1EDA}"/>
    <dgm:cxn modelId="{BF4F2EBD-DFC7-4816-9E2A-212588A7ED28}" type="presOf" srcId="{6318CD4F-435C-479B-8D3A-CA96D04E9997}" destId="{E1BAF07B-614F-4967-A905-47488716BFF4}" srcOrd="0" destOrd="0" presId="urn:microsoft.com/office/officeart/2005/8/layout/process1"/>
    <dgm:cxn modelId="{BE296E65-6DF1-4F2B-B615-F7FD45E7394C}" type="presOf" srcId="{087D825C-27D5-44CA-843B-94AD71A045B3}" destId="{BA8EAAD8-C9F6-45A2-9396-26CB3C03B0E9}" srcOrd="0" destOrd="0" presId="urn:microsoft.com/office/officeart/2005/8/layout/process1"/>
    <dgm:cxn modelId="{A47C9A80-C0E3-4511-9DE5-071F569CACDA}" type="presOf" srcId="{6318CD4F-435C-479B-8D3A-CA96D04E9997}" destId="{6537D6DB-675B-490E-BD07-2F1EB6950F8F}" srcOrd="1" destOrd="0" presId="urn:microsoft.com/office/officeart/2005/8/layout/process1"/>
    <dgm:cxn modelId="{2D6FB6F6-ECCE-4F51-8852-283C969C4A40}" type="presOf" srcId="{DDCF8B81-F445-4554-A205-A41AADF85684}" destId="{33FFD636-DB83-44D8-B4CA-C50AC785D62E}" srcOrd="0"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2FC5DF81-E3C4-4552-B6B3-950D27FCD01F}" type="presOf" srcId="{F567EE29-267C-4DA0-B724-AC0F701B297B}" destId="{BC2F0B48-5F8B-4FB6-B313-88EA2C8D707D}" srcOrd="0" destOrd="0" presId="urn:microsoft.com/office/officeart/2005/8/layout/process1"/>
    <dgm:cxn modelId="{321B2E18-B2C6-4654-A525-FF6C3525AB68}" type="presParOf" srcId="{33FFD636-DB83-44D8-B4CA-C50AC785D62E}" destId="{BC2F0B48-5F8B-4FB6-B313-88EA2C8D707D}" srcOrd="0" destOrd="0" presId="urn:microsoft.com/office/officeart/2005/8/layout/process1"/>
    <dgm:cxn modelId="{5580EE7C-5225-45CA-92D8-94BF48B1C52C}" type="presParOf" srcId="{33FFD636-DB83-44D8-B4CA-C50AC785D62E}" destId="{E1BAF07B-614F-4967-A905-47488716BFF4}" srcOrd="1" destOrd="0" presId="urn:microsoft.com/office/officeart/2005/8/layout/process1"/>
    <dgm:cxn modelId="{0558FA5D-64BA-4C97-93B8-C6BC06000630}" type="presParOf" srcId="{E1BAF07B-614F-4967-A905-47488716BFF4}" destId="{6537D6DB-675B-490E-BD07-2F1EB6950F8F}" srcOrd="0" destOrd="0" presId="urn:microsoft.com/office/officeart/2005/8/layout/process1"/>
    <dgm:cxn modelId="{303970C5-0D98-4D80-BD4A-C55354290F41}"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150"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20"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0A6FDF70-B958-4081-AD4F-4B0FBA46E4B0}" type="presOf" srcId="{A8550D8D-06B3-46F8-BE9B-80A19C43973C}" destId="{898C6A51-F838-45D7-B0B7-91928D1E0526}" srcOrd="0" destOrd="0" presId="urn:microsoft.com/office/officeart/2005/8/layout/process1"/>
    <dgm:cxn modelId="{8419AA37-EC36-4A7E-9FD7-73042C092D5D}" type="presOf" srcId="{5D17E1D5-716C-4848-8B0A-31CD69C2711A}" destId="{BE0EDFA5-649D-4947-B804-3FEF9396317E}" srcOrd="0" destOrd="0" presId="urn:microsoft.com/office/officeart/2005/8/layout/process1"/>
    <dgm:cxn modelId="{E39A5801-E853-4351-A450-5A9C8712F65B}" type="presOf" srcId="{23C25427-FA36-43CB-ADC8-5BA2F1D6FDE2}" destId="{C35B2586-4908-45E7-B6EE-AB790F016076}" srcOrd="0" destOrd="0" presId="urn:microsoft.com/office/officeart/2005/8/layout/process1"/>
    <dgm:cxn modelId="{4C52A66D-E085-424B-83EF-2480E98BE86F}" type="presOf" srcId="{CCC2129C-68DF-4B20-93E5-9586CFAD0546}" destId="{2302C603-BAC2-432E-9FE9-DC7A7E2CA7D6}" srcOrd="0"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E27D899B-DC93-4227-99BA-A1F24E99049A}" type="presOf" srcId="{CCC2129C-68DF-4B20-93E5-9586CFAD0546}" destId="{B0C76E19-B13E-4F10-B52A-10D9C7653C50}" srcOrd="1" destOrd="0" presId="urn:microsoft.com/office/officeart/2005/8/layout/process1"/>
    <dgm:cxn modelId="{BDFC4ADD-8010-4055-B559-8F08BE254DB8}" srcId="{02E8BF92-4BCC-43DB-BD1B-BA1D96022B52}" destId="{6D9277D2-1DFC-4E4B-B57E-59F97A0F78CD}" srcOrd="1" destOrd="0" parTransId="{FAB72E6F-B68F-4ADD-8CEE-49EE8916E5BE}" sibTransId="{CCC2129C-68DF-4B20-93E5-9586CFAD0546}"/>
    <dgm:cxn modelId="{B1FA6359-F31B-4F23-BEC4-EABB14578995}" srcId="{02E8BF92-4BCC-43DB-BD1B-BA1D96022B52}" destId="{5D17E1D5-716C-4848-8B0A-31CD69C2711A}" srcOrd="0" destOrd="0" parTransId="{0C22162C-9BB3-4727-903E-6B09C1A28CF6}" sibTransId="{23C25427-FA36-43CB-ADC8-5BA2F1D6FDE2}"/>
    <dgm:cxn modelId="{7F66CF6F-C825-4657-8130-45377A463CD4}" type="presOf" srcId="{6D9277D2-1DFC-4E4B-B57E-59F97A0F78CD}" destId="{45E6A9EC-2D15-4F60-AF75-2C0026B61B8A}" srcOrd="0" destOrd="0" presId="urn:microsoft.com/office/officeart/2005/8/layout/process1"/>
    <dgm:cxn modelId="{8B77EE0C-71AF-49A8-A9E3-B9DA23266E6C}" type="presOf" srcId="{23C25427-FA36-43CB-ADC8-5BA2F1D6FDE2}" destId="{ED20286A-AD77-4135-ABCC-3FE943F27219}" srcOrd="1" destOrd="0" presId="urn:microsoft.com/office/officeart/2005/8/layout/process1"/>
    <dgm:cxn modelId="{E11F5805-095D-468C-8D81-EAC408F9AD77}" type="presOf" srcId="{02E8BF92-4BCC-43DB-BD1B-BA1D96022B52}" destId="{7F199B5C-EC02-4464-B48C-2608A6F93DC1}" srcOrd="0" destOrd="0" presId="urn:microsoft.com/office/officeart/2005/8/layout/process1"/>
    <dgm:cxn modelId="{DB322134-06BA-411A-B163-28E0066BF7DE}" type="presParOf" srcId="{7F199B5C-EC02-4464-B48C-2608A6F93DC1}" destId="{BE0EDFA5-649D-4947-B804-3FEF9396317E}" srcOrd="0" destOrd="0" presId="urn:microsoft.com/office/officeart/2005/8/layout/process1"/>
    <dgm:cxn modelId="{96CE5D9B-4128-4E26-81F4-20E85ED67430}" type="presParOf" srcId="{7F199B5C-EC02-4464-B48C-2608A6F93DC1}" destId="{C35B2586-4908-45E7-B6EE-AB790F016076}" srcOrd="1" destOrd="0" presId="urn:microsoft.com/office/officeart/2005/8/layout/process1"/>
    <dgm:cxn modelId="{39445841-9766-4EB3-8188-AD29BEDDD259}" type="presParOf" srcId="{C35B2586-4908-45E7-B6EE-AB790F016076}" destId="{ED20286A-AD77-4135-ABCC-3FE943F27219}" srcOrd="0" destOrd="0" presId="urn:microsoft.com/office/officeart/2005/8/layout/process1"/>
    <dgm:cxn modelId="{52563E3B-B78E-4C51-82BC-872CF801D53D}" type="presParOf" srcId="{7F199B5C-EC02-4464-B48C-2608A6F93DC1}" destId="{45E6A9EC-2D15-4F60-AF75-2C0026B61B8A}" srcOrd="2" destOrd="0" presId="urn:microsoft.com/office/officeart/2005/8/layout/process1"/>
    <dgm:cxn modelId="{2EEDC74D-6911-47C5-B960-78A78567ED2B}" type="presParOf" srcId="{7F199B5C-EC02-4464-B48C-2608A6F93DC1}" destId="{2302C603-BAC2-432E-9FE9-DC7A7E2CA7D6}" srcOrd="3" destOrd="0" presId="urn:microsoft.com/office/officeart/2005/8/layout/process1"/>
    <dgm:cxn modelId="{6BD7FC17-2A16-42B1-A229-A5D09C8AF99B}" type="presParOf" srcId="{2302C603-BAC2-432E-9FE9-DC7A7E2CA7D6}" destId="{B0C76E19-B13E-4F10-B52A-10D9C7653C50}" srcOrd="0" destOrd="0" presId="urn:microsoft.com/office/officeart/2005/8/layout/process1"/>
    <dgm:cxn modelId="{C693B352-201C-4612-822C-4ABCBF1F83F9}"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155"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21"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endParaRPr lang="sk-SK"/>
        </a:p>
      </dgm:t>
    </dgm:pt>
    <dgm:pt modelId="{AAFDBC7D-670A-463F-8285-9D5FCFC2F8FE}" type="sibTrans" cxnId="{41C314B8-F058-4EAF-A2CC-84269241E2EC}">
      <dgm:prSet/>
      <dgm:spPr/>
      <dgm:t>
        <a:bodyPr/>
        <a:lstStyle/>
        <a:p>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endParaRPr lang="sk-SK"/>
        </a:p>
      </dgm:t>
    </dgm:pt>
    <dgm:pt modelId="{0C364FF1-29E3-4F40-AB82-86C4A0A8C6F5}" type="sibTrans" cxnId="{49FFCB19-D8DB-4C58-ABCC-643EDE5F2BB8}">
      <dgm:prSet/>
      <dgm:spPr/>
      <dgm:t>
        <a:bodyPr/>
        <a:lstStyle/>
        <a:p>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gm:t>
    </dgm:pt>
    <dgm:pt modelId="{1B2C1FF9-B19F-4970-83E7-3082E1C7DA30}" type="parTrans" cxnId="{06C3C58F-EEF9-47D5-96FD-A241A7A352CF}">
      <dgm:prSet/>
      <dgm:spPr/>
      <dgm:t>
        <a:bodyPr/>
        <a:lstStyle/>
        <a:p>
          <a:endParaRPr lang="sk-SK"/>
        </a:p>
      </dgm:t>
    </dgm:pt>
    <dgm:pt modelId="{22B78418-7454-4959-9841-36DF334BAD0F}" type="sibTrans" cxnId="{06C3C58F-EEF9-47D5-96FD-A241A7A352CF}">
      <dgm:prSet/>
      <dgm:spPr/>
      <dgm:t>
        <a:bodyPr/>
        <a:lstStyle/>
        <a:p>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endParaRPr lang="sk-SK"/>
        </a:p>
      </dgm:t>
    </dgm:pt>
    <dgm:pt modelId="{0024234A-BE40-4C70-B9E0-97E84142571E}" type="sibTrans" cxnId="{BF887CF6-3CCC-48E7-91E5-3CBA13743FE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2"/>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2"/>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2"/>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2"/>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2"/>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2"/>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2"/>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2"/>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2"/>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2"/>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2"/>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2"/>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6C4DAB5B-2B6B-4721-9508-5464C03BD35D}" type="presOf" srcId="{3B03ADFE-6244-4F26-B1E0-EBD9DD7B0454}" destId="{6DFC72CE-1E05-4B24-9436-C256157B293D}" srcOrd="0" destOrd="0" presId="urn:microsoft.com/office/officeart/2005/8/layout/hierarchy5"/>
    <dgm:cxn modelId="{0A843D9B-AF3A-46AB-85E2-08CDE04FD546}" type="presOf" srcId="{DE0F5B3D-96C3-4C19-BC2E-9E831BD33581}" destId="{E5221418-266B-45AC-8670-4339EA026590}" srcOrd="0" destOrd="0" presId="urn:microsoft.com/office/officeart/2005/8/layout/hierarchy5"/>
    <dgm:cxn modelId="{9F7DCD88-9B64-44EA-9F2B-4D99A8155B1F}" type="presOf" srcId="{FB6F5BA1-6705-4826-B996-0A8368815D6C}" destId="{1E51B4D9-F719-493C-B222-3DEA320BAF8A}" srcOrd="0" destOrd="0" presId="urn:microsoft.com/office/officeart/2005/8/layout/hierarchy5"/>
    <dgm:cxn modelId="{D352C6FA-1CA7-4E3F-BF54-0D26AF55CBFF}" type="presOf" srcId="{E4CF8B7B-BAAD-4BC9-B0E9-1197BD4E21A3}" destId="{FFD1E179-1C02-475B-B1C9-1F84DD5B0B53}" srcOrd="0"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CFB4755E-943B-4F86-8A1B-5909926C7F5E}" type="presOf" srcId="{ACDDA0CF-969B-42D1-8CCD-5B4B015D2625}" destId="{77D67C4C-5D7C-4BD5-95E4-FD879A7B8A0E}" srcOrd="0" destOrd="0" presId="urn:microsoft.com/office/officeart/2005/8/layout/hierarchy5"/>
    <dgm:cxn modelId="{F0600CF9-B3FA-46B2-9D70-C56775630CF8}" srcId="{819E9790-B9B0-4E20-8599-4613BC08C63B}" destId="{3B03ADFE-6244-4F26-B1E0-EBD9DD7B0454}" srcOrd="1" destOrd="0" parTransId="{ACDDA0CF-969B-42D1-8CCD-5B4B015D2625}" sibTransId="{5925484D-09E9-4888-B79D-74BFD58C7ADA}"/>
    <dgm:cxn modelId="{D1FD6945-8103-4BA9-87DE-7A5F210F7ED8}" type="presOf" srcId="{819E9790-B9B0-4E20-8599-4613BC08C63B}" destId="{0D31CD98-29FF-4224-A29E-10C285D51CA6}" srcOrd="0" destOrd="0" presId="urn:microsoft.com/office/officeart/2005/8/layout/hierarchy5"/>
    <dgm:cxn modelId="{06C3C58F-EEF9-47D5-96FD-A241A7A352CF}" srcId="{E4CF8B7B-BAAD-4BC9-B0E9-1197BD4E21A3}" destId="{E4A011C3-E9A3-4404-8885-30407BFE4F87}" srcOrd="2" destOrd="0" parTransId="{1B2C1FF9-B19F-4970-83E7-3082E1C7DA30}" sibTransId="{22B78418-7454-4959-9841-36DF334BAD0F}"/>
    <dgm:cxn modelId="{875349B8-7AC4-4A2F-AAD5-EBC49C38A127}" type="presOf" srcId="{0C1CE4C0-E185-4341-A761-36A6036C0F15}" destId="{976DF92B-139A-4935-BC78-46761D9D6906}" srcOrd="1"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05582735-542A-4F89-B676-050326C6AE74}" type="presOf" srcId="{B3AD6999-6D2F-4CE8-8F43-1ACF42844D03}" destId="{420C5760-F6D4-4E33-9E92-CC5FC2347AA4}" srcOrd="0" destOrd="0" presId="urn:microsoft.com/office/officeart/2005/8/layout/hierarchy5"/>
    <dgm:cxn modelId="{62BC3D99-F6FD-4635-B1AE-D0878AB080AC}" type="presOf" srcId="{86971321-9FA5-4497-B0DF-6AFC6919DEC9}" destId="{CE6F9805-CD42-4066-8BC6-1A5DA7E148DC}" srcOrd="1" destOrd="0" presId="urn:microsoft.com/office/officeart/2005/8/layout/hierarchy5"/>
    <dgm:cxn modelId="{2A5B6BAF-DF40-42BE-B261-3A254D4083FA}" type="presOf" srcId="{6B756D5B-F6CE-4139-A80A-50ED57EBAB5D}" destId="{CBB74F52-46D1-4A57-9467-63B04889449A}" srcOrd="0"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F198A6D1-D388-4B72-A900-8A2448CDEA7A}" type="presOf" srcId="{ACDDA0CF-969B-42D1-8CCD-5B4B015D2625}" destId="{57449D9D-C9DD-43EB-89AB-2C4FD0E3F68B}" srcOrd="1"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E7FE5DBE-C929-4197-BCFE-70A4B208A6D6}" type="presOf" srcId="{58339698-9B34-4B1C-B6CB-9D85BBB8DC88}" destId="{3C24602F-739A-4A41-83C2-FD4DDB649A43}" srcOrd="1" destOrd="0" presId="urn:microsoft.com/office/officeart/2005/8/layout/hierarchy5"/>
    <dgm:cxn modelId="{25F884F4-9B90-4096-B859-B339507BA073}" type="presOf" srcId="{86971321-9FA5-4497-B0DF-6AFC6919DEC9}" destId="{00605370-0F04-4F12-BF9D-D757366801F9}"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E36BF636-F3C7-4AA6-96C4-12298B0D7440}" type="presOf" srcId="{DE0F5B3D-96C3-4C19-BC2E-9E831BD33581}" destId="{27EC8BF3-2791-4300-8F42-6BF6D94A9F8E}" srcOrd="1" destOrd="0" presId="urn:microsoft.com/office/officeart/2005/8/layout/hierarchy5"/>
    <dgm:cxn modelId="{41C314B8-F058-4EAF-A2CC-84269241E2EC}" srcId="{E4CF8B7B-BAAD-4BC9-B0E9-1197BD4E21A3}" destId="{819E9790-B9B0-4E20-8599-4613BC08C63B}" srcOrd="0" destOrd="0" parTransId="{080CE536-5278-49DC-B051-41A13C01F847}" sibTransId="{AAFDBC7D-670A-463F-8285-9D5FCFC2F8FE}"/>
    <dgm:cxn modelId="{E4DA03B5-0E80-40C2-85E3-18F3E9F9CAA9}" type="presOf" srcId="{B3AD6999-6D2F-4CE8-8F43-1ACF42844D03}" destId="{25B94E88-5678-49B1-B1AF-6259629B977E}" srcOrd="1" destOrd="0" presId="urn:microsoft.com/office/officeart/2005/8/layout/hierarchy5"/>
    <dgm:cxn modelId="{62C17D0D-596C-41AF-AE04-B0DAD689CD47}" type="presOf" srcId="{E4A011C3-E9A3-4404-8885-30407BFE4F87}" destId="{22F108C5-1AD4-4959-BB9A-653877F4F9BA}" srcOrd="0" destOrd="0" presId="urn:microsoft.com/office/officeart/2005/8/layout/hierarchy5"/>
    <dgm:cxn modelId="{BA9F2252-8E2F-4033-880A-4932DD89FB32}" type="presOf" srcId="{213FCE09-FA7E-4202-819F-971D08978DEA}" destId="{B532B90A-11FB-4447-AF5A-1B8BA28AB80F}" srcOrd="0" destOrd="0" presId="urn:microsoft.com/office/officeart/2005/8/layout/hierarchy5"/>
    <dgm:cxn modelId="{03D70F17-526C-4856-97BF-D21B611C5993}" type="presOf" srcId="{E4A011C3-E9A3-4404-8885-30407BFE4F87}" destId="{09ADB426-4675-4602-A171-7BCF1FEFF7FE}" srcOrd="1" destOrd="0" presId="urn:microsoft.com/office/officeart/2005/8/layout/hierarchy5"/>
    <dgm:cxn modelId="{FF480944-27AB-4ED5-811F-0EA8B26C645C}" type="presOf" srcId="{58339698-9B34-4B1C-B6CB-9D85BBB8DC88}" destId="{42333FC6-BB87-490A-A3A4-667559264987}" srcOrd="0" destOrd="0" presId="urn:microsoft.com/office/officeart/2005/8/layout/hierarchy5"/>
    <dgm:cxn modelId="{3A04AEEF-0CBE-4508-BCC4-27C8D34FFBD5}" type="presOf" srcId="{0C1CE4C0-E185-4341-A761-36A6036C0F15}" destId="{2EC89471-AB93-42C0-9C06-16FFECEB3B3E}" srcOrd="0" destOrd="0" presId="urn:microsoft.com/office/officeart/2005/8/layout/hierarchy5"/>
    <dgm:cxn modelId="{0139E367-8E10-4228-9419-659A97F11EDA}" type="presParOf" srcId="{FFD1E179-1C02-475B-B1C9-1F84DD5B0B53}" destId="{829D0807-3902-4F3F-B66C-8556A3299D2F}" srcOrd="0" destOrd="0" presId="urn:microsoft.com/office/officeart/2005/8/layout/hierarchy5"/>
    <dgm:cxn modelId="{82D58DC8-F21E-4575-BCE1-579DF7C49CE1}" type="presParOf" srcId="{829D0807-3902-4F3F-B66C-8556A3299D2F}" destId="{68A33365-3A9F-4D24-8D00-6ED510526340}" srcOrd="0" destOrd="0" presId="urn:microsoft.com/office/officeart/2005/8/layout/hierarchy5"/>
    <dgm:cxn modelId="{70E4CFFF-51E8-4131-8419-14F6D620B3C7}" type="presParOf" srcId="{829D0807-3902-4F3F-B66C-8556A3299D2F}" destId="{EE38AF92-E425-4C92-8325-4239B3B392E0}" srcOrd="1" destOrd="0" presId="urn:microsoft.com/office/officeart/2005/8/layout/hierarchy5"/>
    <dgm:cxn modelId="{92173533-A53A-4E3D-851A-7601BD09F837}" type="presParOf" srcId="{EE38AF92-E425-4C92-8325-4239B3B392E0}" destId="{A2768B73-5292-4E00-BD92-BD8FC8A53BBB}" srcOrd="0" destOrd="0" presId="urn:microsoft.com/office/officeart/2005/8/layout/hierarchy5"/>
    <dgm:cxn modelId="{7C58C82D-9ED1-4286-899B-9B097C64D9CD}" type="presParOf" srcId="{A2768B73-5292-4E00-BD92-BD8FC8A53BBB}" destId="{0D31CD98-29FF-4224-A29E-10C285D51CA6}" srcOrd="0" destOrd="0" presId="urn:microsoft.com/office/officeart/2005/8/layout/hierarchy5"/>
    <dgm:cxn modelId="{EACF9A86-6081-4F1A-B192-F7CA8F6DB567}" type="presParOf" srcId="{A2768B73-5292-4E00-BD92-BD8FC8A53BBB}" destId="{2BE3835A-8206-430A-85D9-FAD9488B04F6}" srcOrd="1" destOrd="0" presId="urn:microsoft.com/office/officeart/2005/8/layout/hierarchy5"/>
    <dgm:cxn modelId="{49406DDB-5CD0-4103-ACF1-D2929B74FD71}" type="presParOf" srcId="{2BE3835A-8206-430A-85D9-FAD9488B04F6}" destId="{E5221418-266B-45AC-8670-4339EA026590}" srcOrd="0" destOrd="0" presId="urn:microsoft.com/office/officeart/2005/8/layout/hierarchy5"/>
    <dgm:cxn modelId="{EB4041EA-97DF-474D-B6F4-ECA144EEF081}" type="presParOf" srcId="{E5221418-266B-45AC-8670-4339EA026590}" destId="{27EC8BF3-2791-4300-8F42-6BF6D94A9F8E}" srcOrd="0" destOrd="0" presId="urn:microsoft.com/office/officeart/2005/8/layout/hierarchy5"/>
    <dgm:cxn modelId="{A4CCD01B-180C-4ABD-BA3E-67EA5D792296}" type="presParOf" srcId="{2BE3835A-8206-430A-85D9-FAD9488B04F6}" destId="{95B78803-1A45-4A75-AEF9-E108492F88DB}" srcOrd="1" destOrd="0" presId="urn:microsoft.com/office/officeart/2005/8/layout/hierarchy5"/>
    <dgm:cxn modelId="{FAE257CB-6FC3-4557-B866-ADB3D308483F}" type="presParOf" srcId="{95B78803-1A45-4A75-AEF9-E108492F88DB}" destId="{1E51B4D9-F719-493C-B222-3DEA320BAF8A}" srcOrd="0" destOrd="0" presId="urn:microsoft.com/office/officeart/2005/8/layout/hierarchy5"/>
    <dgm:cxn modelId="{C1F445F6-A53B-4119-9330-DC9BBA2A9E42}" type="presParOf" srcId="{95B78803-1A45-4A75-AEF9-E108492F88DB}" destId="{CE4B4A94-0A6B-4E0B-8BE4-C67700DFF264}" srcOrd="1" destOrd="0" presId="urn:microsoft.com/office/officeart/2005/8/layout/hierarchy5"/>
    <dgm:cxn modelId="{ED8DB81B-0D67-401D-8D37-8D17C2E555E1}" type="presParOf" srcId="{CE4B4A94-0A6B-4E0B-8BE4-C67700DFF264}" destId="{00605370-0F04-4F12-BF9D-D757366801F9}" srcOrd="0" destOrd="0" presId="urn:microsoft.com/office/officeart/2005/8/layout/hierarchy5"/>
    <dgm:cxn modelId="{721F156A-9439-4425-B708-638AB54E317D}" type="presParOf" srcId="{00605370-0F04-4F12-BF9D-D757366801F9}" destId="{CE6F9805-CD42-4066-8BC6-1A5DA7E148DC}" srcOrd="0" destOrd="0" presId="urn:microsoft.com/office/officeart/2005/8/layout/hierarchy5"/>
    <dgm:cxn modelId="{39ADA343-7C7F-4BC0-97DD-35C4E6C2CDDB}" type="presParOf" srcId="{CE4B4A94-0A6B-4E0B-8BE4-C67700DFF264}" destId="{4DFDF8C0-510C-411E-85F9-F5F736BC5D15}" srcOrd="1" destOrd="0" presId="urn:microsoft.com/office/officeart/2005/8/layout/hierarchy5"/>
    <dgm:cxn modelId="{A68CF56D-53CE-452E-82A0-F414A8B16588}" type="presParOf" srcId="{4DFDF8C0-510C-411E-85F9-F5F736BC5D15}" destId="{B532B90A-11FB-4447-AF5A-1B8BA28AB80F}" srcOrd="0" destOrd="0" presId="urn:microsoft.com/office/officeart/2005/8/layout/hierarchy5"/>
    <dgm:cxn modelId="{5E959725-7462-437B-9F21-DF00F0F3D1AC}" type="presParOf" srcId="{4DFDF8C0-510C-411E-85F9-F5F736BC5D15}" destId="{7A5AF608-2689-4140-8FF8-C0577E2B8C6D}" srcOrd="1" destOrd="0" presId="urn:microsoft.com/office/officeart/2005/8/layout/hierarchy5"/>
    <dgm:cxn modelId="{7C0DF378-2CD4-4EDF-9A2E-87A2258E38D6}" type="presParOf" srcId="{2BE3835A-8206-430A-85D9-FAD9488B04F6}" destId="{77D67C4C-5D7C-4BD5-95E4-FD879A7B8A0E}" srcOrd="2" destOrd="0" presId="urn:microsoft.com/office/officeart/2005/8/layout/hierarchy5"/>
    <dgm:cxn modelId="{9358E8DC-575F-481B-A470-E28CCB2D8EE2}" type="presParOf" srcId="{77D67C4C-5D7C-4BD5-95E4-FD879A7B8A0E}" destId="{57449D9D-C9DD-43EB-89AB-2C4FD0E3F68B}" srcOrd="0" destOrd="0" presId="urn:microsoft.com/office/officeart/2005/8/layout/hierarchy5"/>
    <dgm:cxn modelId="{BD5778BF-D9C6-447F-83C7-6C2C8BE8EFA0}" type="presParOf" srcId="{2BE3835A-8206-430A-85D9-FAD9488B04F6}" destId="{C83EE591-D75A-4DB6-861E-BC2175B01F35}" srcOrd="3" destOrd="0" presId="urn:microsoft.com/office/officeart/2005/8/layout/hierarchy5"/>
    <dgm:cxn modelId="{B9F53535-8B5E-444C-A751-C1D73FACA11C}" type="presParOf" srcId="{C83EE591-D75A-4DB6-861E-BC2175B01F35}" destId="{6DFC72CE-1E05-4B24-9436-C256157B293D}" srcOrd="0" destOrd="0" presId="urn:microsoft.com/office/officeart/2005/8/layout/hierarchy5"/>
    <dgm:cxn modelId="{31D1F0E3-568A-434B-8619-FD393600673F}" type="presParOf" srcId="{C83EE591-D75A-4DB6-861E-BC2175B01F35}" destId="{29143D13-11E3-4D6E-A4EE-B6C70B6946CD}" srcOrd="1" destOrd="0" presId="urn:microsoft.com/office/officeart/2005/8/layout/hierarchy5"/>
    <dgm:cxn modelId="{D72CA86E-633B-4C46-9E2E-819D4F105ED1}" type="presParOf" srcId="{29143D13-11E3-4D6E-A4EE-B6C70B6946CD}" destId="{420C5760-F6D4-4E33-9E92-CC5FC2347AA4}" srcOrd="0" destOrd="0" presId="urn:microsoft.com/office/officeart/2005/8/layout/hierarchy5"/>
    <dgm:cxn modelId="{83F04EED-1B65-4553-AEBD-5474C436C08C}" type="presParOf" srcId="{420C5760-F6D4-4E33-9E92-CC5FC2347AA4}" destId="{25B94E88-5678-49B1-B1AF-6259629B977E}" srcOrd="0" destOrd="0" presId="urn:microsoft.com/office/officeart/2005/8/layout/hierarchy5"/>
    <dgm:cxn modelId="{F1C37BEE-C021-4592-8C72-0BACC22F1D30}" type="presParOf" srcId="{29143D13-11E3-4D6E-A4EE-B6C70B6946CD}" destId="{F3EED942-85FC-475D-B81A-4D8444AB37DD}" srcOrd="1" destOrd="0" presId="urn:microsoft.com/office/officeart/2005/8/layout/hierarchy5"/>
    <dgm:cxn modelId="{172AC6D4-4707-46D7-BC6E-33A570B33C1D}" type="presParOf" srcId="{F3EED942-85FC-475D-B81A-4D8444AB37DD}" destId="{CBB74F52-46D1-4A57-9467-63B04889449A}" srcOrd="0" destOrd="0" presId="urn:microsoft.com/office/officeart/2005/8/layout/hierarchy5"/>
    <dgm:cxn modelId="{25297A94-756F-40D8-80B3-4B5929FC78F4}" type="presParOf" srcId="{F3EED942-85FC-475D-B81A-4D8444AB37DD}" destId="{000B29D7-E7D2-4932-9513-357CC248786E}" srcOrd="1" destOrd="0" presId="urn:microsoft.com/office/officeart/2005/8/layout/hierarchy5"/>
    <dgm:cxn modelId="{55E1BE09-30C2-4D7D-A77C-F1A914383294}" type="presParOf" srcId="{FFD1E179-1C02-475B-B1C9-1F84DD5B0B53}" destId="{8437D2B0-06CE-4657-AEA7-9425E128DFE3}" srcOrd="1" destOrd="0" presId="urn:microsoft.com/office/officeart/2005/8/layout/hierarchy5"/>
    <dgm:cxn modelId="{2079A347-0DB3-4E7D-9156-A1D1B53F9F16}" type="presParOf" srcId="{8437D2B0-06CE-4657-AEA7-9425E128DFE3}" destId="{7BD12BC2-CC31-4CA6-B968-86443A351B93}" srcOrd="0" destOrd="0" presId="urn:microsoft.com/office/officeart/2005/8/layout/hierarchy5"/>
    <dgm:cxn modelId="{3B2084CB-BD76-478F-B663-7F63F15CE2B1}" type="presParOf" srcId="{7BD12BC2-CC31-4CA6-B968-86443A351B93}" destId="{42333FC6-BB87-490A-A3A4-667559264987}" srcOrd="0" destOrd="0" presId="urn:microsoft.com/office/officeart/2005/8/layout/hierarchy5"/>
    <dgm:cxn modelId="{72613B7C-05E9-4B5A-8E31-DE028ED9E2C6}" type="presParOf" srcId="{7BD12BC2-CC31-4CA6-B968-86443A351B93}" destId="{3C24602F-739A-4A41-83C2-FD4DDB649A43}" srcOrd="1" destOrd="0" presId="urn:microsoft.com/office/officeart/2005/8/layout/hierarchy5"/>
    <dgm:cxn modelId="{E9173F43-AA6C-4590-922D-0DFA10372D8B}" type="presParOf" srcId="{8437D2B0-06CE-4657-AEA7-9425E128DFE3}" destId="{1454292B-BC22-45E1-A956-E7FB9AC1DA3D}" srcOrd="1" destOrd="0" presId="urn:microsoft.com/office/officeart/2005/8/layout/hierarchy5"/>
    <dgm:cxn modelId="{1BC4DA04-B569-4BC7-A629-BBF9767B9428}" type="presParOf" srcId="{1454292B-BC22-45E1-A956-E7FB9AC1DA3D}" destId="{B0F40B4D-3E29-4029-8C51-55A0A363D08F}" srcOrd="0" destOrd="0" presId="urn:microsoft.com/office/officeart/2005/8/layout/hierarchy5"/>
    <dgm:cxn modelId="{16850E8D-86D8-4A14-9271-F47C594FD0B8}" type="presParOf" srcId="{8437D2B0-06CE-4657-AEA7-9425E128DFE3}" destId="{A344D1AA-D199-4B36-AFCB-B3F6F1CFEE87}" srcOrd="2" destOrd="0" presId="urn:microsoft.com/office/officeart/2005/8/layout/hierarchy5"/>
    <dgm:cxn modelId="{7FA6DC30-CC49-4B5B-ADA4-FEF698DAA6A6}" type="presParOf" srcId="{A344D1AA-D199-4B36-AFCB-B3F6F1CFEE87}" destId="{22F108C5-1AD4-4959-BB9A-653877F4F9BA}" srcOrd="0" destOrd="0" presId="urn:microsoft.com/office/officeart/2005/8/layout/hierarchy5"/>
    <dgm:cxn modelId="{DDAAB976-8DE1-439F-ACE5-B9A55C7FBB8F}" type="presParOf" srcId="{A344D1AA-D199-4B36-AFCB-B3F6F1CFEE87}" destId="{09ADB426-4675-4602-A171-7BCF1FEFF7FE}" srcOrd="1" destOrd="0" presId="urn:microsoft.com/office/officeart/2005/8/layout/hierarchy5"/>
    <dgm:cxn modelId="{178E6BFB-97CF-4900-8528-BC033C0555EB}" type="presParOf" srcId="{8437D2B0-06CE-4657-AEA7-9425E128DFE3}" destId="{0F2A277D-FE31-4837-8988-6A7B3676B425}" srcOrd="3" destOrd="0" presId="urn:microsoft.com/office/officeart/2005/8/layout/hierarchy5"/>
    <dgm:cxn modelId="{7C3C5D4A-88FE-498A-94E3-E220EED399A6}" type="presParOf" srcId="{0F2A277D-FE31-4837-8988-6A7B3676B425}" destId="{39E3D758-4115-4417-95D9-AB4D5DA7CA48}" srcOrd="0" destOrd="0" presId="urn:microsoft.com/office/officeart/2005/8/layout/hierarchy5"/>
    <dgm:cxn modelId="{99C6F127-57E5-4BBD-B45E-3234F6938FBC}" type="presParOf" srcId="{8437D2B0-06CE-4657-AEA7-9425E128DFE3}" destId="{84F6BAD5-6BD5-4B58-AC05-4E046CFEC0BC}" srcOrd="4" destOrd="0" presId="urn:microsoft.com/office/officeart/2005/8/layout/hierarchy5"/>
    <dgm:cxn modelId="{565254CC-2DCD-49CE-BD60-A38D60AAA1EE}" type="presParOf" srcId="{84F6BAD5-6BD5-4B58-AC05-4E046CFEC0BC}" destId="{2EC89471-AB93-42C0-9C06-16FFECEB3B3E}" srcOrd="0" destOrd="0" presId="urn:microsoft.com/office/officeart/2005/8/layout/hierarchy5"/>
    <dgm:cxn modelId="{7BC00771-198D-47B4-A32F-22560068C13A}"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160"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2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Zasatvenie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Začatie konania</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4A631A1C-99C2-4F94-83D2-CD766AB52537}" type="presOf" srcId="{9A01D2D3-7E16-4FF3-9512-00AD597285C8}" destId="{AB1736B8-64DD-4B32-99F2-9818227E0D7E}" srcOrd="0" destOrd="0" presId="urn:microsoft.com/office/officeart/2005/8/layout/hierarchy5"/>
    <dgm:cxn modelId="{A18BCAD4-7ED0-48B0-91CA-95A4D0134F05}" type="presOf" srcId="{6BE68E5D-C8C2-4819-B518-4F7ADE6181D0}" destId="{32FB7F9A-62B7-4940-9008-9918D9FE922E}" srcOrd="0" destOrd="0" presId="urn:microsoft.com/office/officeart/2005/8/layout/hierarchy5"/>
    <dgm:cxn modelId="{3C8C41CA-50E0-42DE-94EC-39ED77C39C03}" type="presOf" srcId="{769F0801-8619-4E97-A786-799A21D536DF}" destId="{51F4DE41-4A80-4621-944B-B0474FCE2043}" srcOrd="1" destOrd="0" presId="urn:microsoft.com/office/officeart/2005/8/layout/hierarchy5"/>
    <dgm:cxn modelId="{AD618EE0-2537-4655-98F5-1C72E04A16D2}" type="presOf" srcId="{68CC8FF0-BD30-4E33-871E-11CE731DD1D1}" destId="{397D37EC-7E71-424E-9526-502AC82B6044}" srcOrd="0" destOrd="0" presId="urn:microsoft.com/office/officeart/2005/8/layout/hierarchy5"/>
    <dgm:cxn modelId="{82BE0B6C-5A54-47FA-ACD3-F150B0173745}" type="presOf" srcId="{CE70E4B5-40F0-4EB7-B9DC-015CDA129FEC}" destId="{61621494-2F79-48E9-A2F5-C3D01A086EBF}" srcOrd="0" destOrd="0" presId="urn:microsoft.com/office/officeart/2005/8/layout/hierarchy5"/>
    <dgm:cxn modelId="{3ECFE9A8-457F-4829-B8EA-60B1E490C4C3}" type="presOf" srcId="{2AB4E0D8-C0D8-46AA-800B-C4CBC74A76BE}" destId="{31F82807-4254-4B36-A981-28D631594415}" srcOrd="0" destOrd="0" presId="urn:microsoft.com/office/officeart/2005/8/layout/hierarchy5"/>
    <dgm:cxn modelId="{E858E6B6-F53D-403D-AD91-2652CE8A046B}" type="presOf" srcId="{FBF7DDD0-472E-492F-864F-2CBC0070EDC2}" destId="{6123A899-1981-4811-B61B-F5B58EC34ADF}" srcOrd="0" destOrd="0" presId="urn:microsoft.com/office/officeart/2005/8/layout/hierarchy5"/>
    <dgm:cxn modelId="{448CCB32-61E2-4751-A7E3-2A097253D293}" type="presOf" srcId="{EC5905AD-E0CB-4668-BC9B-B630C1F72FE1}" destId="{EA03E1D1-53F1-4F10-BF8C-EBE63A73C9D2}" srcOrd="0" destOrd="0" presId="urn:microsoft.com/office/officeart/2005/8/layout/hierarchy5"/>
    <dgm:cxn modelId="{AE3AA8A0-01CB-4682-B93C-2F98C8698A9F}" type="presOf" srcId="{CC4E2AD5-84EC-450B-9A95-593056BCB906}" destId="{B7BABC7C-586C-4226-99DD-711516406030}" srcOrd="0" destOrd="0" presId="urn:microsoft.com/office/officeart/2005/8/layout/hierarchy5"/>
    <dgm:cxn modelId="{3D9194A7-55AC-49BD-88CA-2837EEF9D8B5}" type="presOf" srcId="{74BA75BF-0177-4FDB-B78E-90BB47E580F4}" destId="{88CB7554-D6B3-4131-A390-44B15EDD0977}"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1A1D5DDC-3C57-4216-B871-CD4DC297A650}" srcId="{CC4E2AD5-84EC-450B-9A95-593056BCB906}" destId="{6BE68E5D-C8C2-4819-B518-4F7ADE6181D0}" srcOrd="3" destOrd="0" parTransId="{D2BE62DF-2E04-483B-A2E7-A41FBCF354B8}" sibTransId="{57EDEFCB-EDC3-4C9A-B64E-AABEFEDE91CD}"/>
    <dgm:cxn modelId="{17698B91-370F-423D-8332-0D0B241F2B68}" type="presOf" srcId="{A1523E2B-4221-4C06-B525-83C1E97365E7}" destId="{8D38CDDF-D0AF-4342-9487-328C0D3F2678}" srcOrd="0" destOrd="0" presId="urn:microsoft.com/office/officeart/2005/8/layout/hierarchy5"/>
    <dgm:cxn modelId="{5972284C-45CB-4AD9-A632-682A7AB4C5A4}" type="presOf" srcId="{F9D6C526-C0FD-4319-8876-023F8058C07D}" destId="{74203028-C6F5-4D41-9A16-58EFA7475944}" srcOrd="1"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6C8A95A6-E00A-4F56-8B19-3A203F1A94F5}" type="presOf" srcId="{2AB4E0D8-C0D8-46AA-800B-C4CBC74A76BE}" destId="{989588F2-6412-4B20-A6F0-1BA3822FD76B}" srcOrd="1" destOrd="0" presId="urn:microsoft.com/office/officeart/2005/8/layout/hierarchy5"/>
    <dgm:cxn modelId="{FB1011C9-57EB-4B9B-9C53-639566120A48}" type="presOf" srcId="{A1523E2B-4221-4C06-B525-83C1E97365E7}" destId="{09E69E2A-9FC5-4A68-AC59-A6AC3EAFC577}" srcOrd="1"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3D23A8B2-B645-4559-974E-2F5A215C5AE7}" type="presOf" srcId="{EC5905AD-E0CB-4668-BC9B-B630C1F72FE1}" destId="{2D5EDB39-10B7-4B69-8E1B-3CD7481A67F9}" srcOrd="1"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5C385F99-D488-45B1-A807-EFB31D7CDD7C}" type="presOf" srcId="{6BE68E5D-C8C2-4819-B518-4F7ADE6181D0}" destId="{C57797D0-A426-4DAF-9E81-24C85E345C6E}" srcOrd="1"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CAAE54EF-FDD1-4460-9675-BB812ACF517E}" type="presOf" srcId="{A6FD6FC3-757A-4034-83F4-F5815AED78B5}" destId="{106AE4E6-7E7C-4D71-B4B3-2483ECCAFB7C}" srcOrd="1" destOrd="0" presId="urn:microsoft.com/office/officeart/2005/8/layout/hierarchy5"/>
    <dgm:cxn modelId="{B016DD03-2D13-4524-808F-755F35CC610F}" type="presOf" srcId="{F9D6C526-C0FD-4319-8876-023F8058C07D}" destId="{69CB27F3-E3AB-45C0-BD01-F6B165856594}" srcOrd="0" destOrd="0" presId="urn:microsoft.com/office/officeart/2005/8/layout/hierarchy5"/>
    <dgm:cxn modelId="{1D41CCF3-29AB-41AE-A6B5-DC3D27872656}" type="presOf" srcId="{A6FD6FC3-757A-4034-83F4-F5815AED78B5}" destId="{AD3E104C-AA9C-4F5B-87FE-AD740B3B762A}" srcOrd="0" destOrd="0" presId="urn:microsoft.com/office/officeart/2005/8/layout/hierarchy5"/>
    <dgm:cxn modelId="{A9BB4E5D-E160-428A-939F-5779334CDB88}" type="presOf" srcId="{0CC2321A-4AF9-4416-B029-9CE4D2658A71}" destId="{FABA2C1E-4207-482A-BFB4-23EED98FE964}" srcOrd="0" destOrd="0" presId="urn:microsoft.com/office/officeart/2005/8/layout/hierarchy5"/>
    <dgm:cxn modelId="{701B44D9-9C36-4BF6-BC01-9F4C21239356}" type="presOf" srcId="{769F0801-8619-4E97-A786-799A21D536DF}" destId="{0DBE3391-EB4B-499F-BF3D-FACE7211C1AA}" srcOrd="0" destOrd="0" presId="urn:microsoft.com/office/officeart/2005/8/layout/hierarchy5"/>
    <dgm:cxn modelId="{DE5672E0-1F4C-4FF3-90EE-C356190E1E66}" type="presOf" srcId="{4EC804CC-9FE3-404B-910B-189DFE13A6D3}" destId="{7E8E03CF-62C8-43C0-9317-AE19A41F8847}" srcOrd="0" destOrd="0" presId="urn:microsoft.com/office/officeart/2005/8/layout/hierarchy5"/>
    <dgm:cxn modelId="{F22D333D-755F-439A-B1AB-0AC39D72592C}" type="presOf" srcId="{CE70E4B5-40F0-4EB7-B9DC-015CDA129FEC}" destId="{FE6DFA0A-F2A5-4BB3-BEA2-57CF7F9EBD50}" srcOrd="1" destOrd="0" presId="urn:microsoft.com/office/officeart/2005/8/layout/hierarchy5"/>
    <dgm:cxn modelId="{9F7B3FCC-8CBF-4994-B060-38F8B7AE083A}" type="presParOf" srcId="{B7BABC7C-586C-4226-99DD-711516406030}" destId="{C4665741-0FE5-4A80-8B06-49621A73186C}" srcOrd="0" destOrd="0" presId="urn:microsoft.com/office/officeart/2005/8/layout/hierarchy5"/>
    <dgm:cxn modelId="{8671B350-3E91-4B8C-B3AF-2FF1410F1914}" type="presParOf" srcId="{C4665741-0FE5-4A80-8B06-49621A73186C}" destId="{0CA9C538-32D4-493D-BC89-C657D212141A}" srcOrd="0" destOrd="0" presId="urn:microsoft.com/office/officeart/2005/8/layout/hierarchy5"/>
    <dgm:cxn modelId="{A468C016-F750-4B20-9551-CB95EB017103}" type="presParOf" srcId="{C4665741-0FE5-4A80-8B06-49621A73186C}" destId="{B94A66F2-A8AE-4484-AAB4-1ED692D9B096}" srcOrd="1" destOrd="0" presId="urn:microsoft.com/office/officeart/2005/8/layout/hierarchy5"/>
    <dgm:cxn modelId="{493ECBCE-8F6B-43C2-AB71-0F152882EC7C}" type="presParOf" srcId="{B94A66F2-A8AE-4484-AAB4-1ED692D9B096}" destId="{4C66C3EF-5E03-434F-83B6-02623492B254}" srcOrd="0" destOrd="0" presId="urn:microsoft.com/office/officeart/2005/8/layout/hierarchy5"/>
    <dgm:cxn modelId="{3A7FE215-1250-49AD-9A35-2E2F507C31CD}" type="presParOf" srcId="{4C66C3EF-5E03-434F-83B6-02623492B254}" destId="{FABA2C1E-4207-482A-BFB4-23EED98FE964}" srcOrd="0" destOrd="0" presId="urn:microsoft.com/office/officeart/2005/8/layout/hierarchy5"/>
    <dgm:cxn modelId="{01C9C583-4E81-4472-AB62-C5E7C309AE93}" type="presParOf" srcId="{4C66C3EF-5E03-434F-83B6-02623492B254}" destId="{B27406FA-3F3C-409E-AC66-965A75497897}" srcOrd="1" destOrd="0" presId="urn:microsoft.com/office/officeart/2005/8/layout/hierarchy5"/>
    <dgm:cxn modelId="{72BF1577-3AD5-48F4-B6A4-0A7D1E062BC1}" type="presParOf" srcId="{B27406FA-3F3C-409E-AC66-965A75497897}" destId="{8D38CDDF-D0AF-4342-9487-328C0D3F2678}" srcOrd="0" destOrd="0" presId="urn:microsoft.com/office/officeart/2005/8/layout/hierarchy5"/>
    <dgm:cxn modelId="{23763C3A-215E-4070-B765-BCD0723FE674}" type="presParOf" srcId="{8D38CDDF-D0AF-4342-9487-328C0D3F2678}" destId="{09E69E2A-9FC5-4A68-AC59-A6AC3EAFC577}" srcOrd="0" destOrd="0" presId="urn:microsoft.com/office/officeart/2005/8/layout/hierarchy5"/>
    <dgm:cxn modelId="{99FE5C6C-2C67-467B-BD39-B842DD925A2F}" type="presParOf" srcId="{B27406FA-3F3C-409E-AC66-965A75497897}" destId="{19C7E2B7-2AE3-4C79-94D2-8EDDC166CA7F}" srcOrd="1" destOrd="0" presId="urn:microsoft.com/office/officeart/2005/8/layout/hierarchy5"/>
    <dgm:cxn modelId="{20E2359F-2500-41C0-9ADA-0E946C7F9A3B}" type="presParOf" srcId="{19C7E2B7-2AE3-4C79-94D2-8EDDC166CA7F}" destId="{AB1736B8-64DD-4B32-99F2-9818227E0D7E}" srcOrd="0" destOrd="0" presId="urn:microsoft.com/office/officeart/2005/8/layout/hierarchy5"/>
    <dgm:cxn modelId="{55140DE1-AA6B-4EF8-9C06-F19BA31555A0}" type="presParOf" srcId="{19C7E2B7-2AE3-4C79-94D2-8EDDC166CA7F}" destId="{F84F487D-89AF-4DB3-BA5A-25E981F581F3}" srcOrd="1" destOrd="0" presId="urn:microsoft.com/office/officeart/2005/8/layout/hierarchy5"/>
    <dgm:cxn modelId="{791C21B4-2C0A-44AF-BF93-60E213DF3B3B}" type="presParOf" srcId="{F84F487D-89AF-4DB3-BA5A-25E981F581F3}" destId="{EA03E1D1-53F1-4F10-BF8C-EBE63A73C9D2}" srcOrd="0" destOrd="0" presId="urn:microsoft.com/office/officeart/2005/8/layout/hierarchy5"/>
    <dgm:cxn modelId="{137143DC-9C7B-4A73-A3DA-D9A6B725DEFF}" type="presParOf" srcId="{EA03E1D1-53F1-4F10-BF8C-EBE63A73C9D2}" destId="{2D5EDB39-10B7-4B69-8E1B-3CD7481A67F9}" srcOrd="0" destOrd="0" presId="urn:microsoft.com/office/officeart/2005/8/layout/hierarchy5"/>
    <dgm:cxn modelId="{DD64F4F8-96DB-4261-8A6D-42C51A6457AE}" type="presParOf" srcId="{F84F487D-89AF-4DB3-BA5A-25E981F581F3}" destId="{41A76406-453B-4934-B118-1AA2212D190E}" srcOrd="1" destOrd="0" presId="urn:microsoft.com/office/officeart/2005/8/layout/hierarchy5"/>
    <dgm:cxn modelId="{EDCD16C7-0C6B-4098-B807-5F5722876E87}" type="presParOf" srcId="{41A76406-453B-4934-B118-1AA2212D190E}" destId="{88CB7554-D6B3-4131-A390-44B15EDD0977}" srcOrd="0" destOrd="0" presId="urn:microsoft.com/office/officeart/2005/8/layout/hierarchy5"/>
    <dgm:cxn modelId="{703A33E1-F7EC-4266-AE6A-996B064515FA}" type="presParOf" srcId="{41A76406-453B-4934-B118-1AA2212D190E}" destId="{DAB12DB2-EC32-4D9F-9B8C-F4121B66C36D}" srcOrd="1" destOrd="0" presId="urn:microsoft.com/office/officeart/2005/8/layout/hierarchy5"/>
    <dgm:cxn modelId="{7C040D48-AE0C-4511-8D0F-A05E6D09B6FF}" type="presParOf" srcId="{F84F487D-89AF-4DB3-BA5A-25E981F581F3}" destId="{AD3E104C-AA9C-4F5B-87FE-AD740B3B762A}" srcOrd="2" destOrd="0" presId="urn:microsoft.com/office/officeart/2005/8/layout/hierarchy5"/>
    <dgm:cxn modelId="{C12013D5-048A-45BD-915E-ACBE8E6E6EBE}" type="presParOf" srcId="{AD3E104C-AA9C-4F5B-87FE-AD740B3B762A}" destId="{106AE4E6-7E7C-4D71-B4B3-2483ECCAFB7C}" srcOrd="0" destOrd="0" presId="urn:microsoft.com/office/officeart/2005/8/layout/hierarchy5"/>
    <dgm:cxn modelId="{B71CEC80-A578-4BCD-AF29-2A78435BF7BD}" type="presParOf" srcId="{F84F487D-89AF-4DB3-BA5A-25E981F581F3}" destId="{9DC1C173-B493-4BE7-A964-2576B0B8045A}" srcOrd="3" destOrd="0" presId="urn:microsoft.com/office/officeart/2005/8/layout/hierarchy5"/>
    <dgm:cxn modelId="{07801777-C54A-44D8-BC48-B22524240A60}" type="presParOf" srcId="{9DC1C173-B493-4BE7-A964-2576B0B8045A}" destId="{6123A899-1981-4811-B61B-F5B58EC34ADF}" srcOrd="0" destOrd="0" presId="urn:microsoft.com/office/officeart/2005/8/layout/hierarchy5"/>
    <dgm:cxn modelId="{901A3105-5425-49D8-959C-55FAF9060DAC}" type="presParOf" srcId="{9DC1C173-B493-4BE7-A964-2576B0B8045A}" destId="{CA7C1AD9-6072-4165-AC8B-1FB05C6EC434}" srcOrd="1" destOrd="0" presId="urn:microsoft.com/office/officeart/2005/8/layout/hierarchy5"/>
    <dgm:cxn modelId="{3F07952B-1589-4EA9-B562-7BE9B3BED10A}" type="presParOf" srcId="{B27406FA-3F3C-409E-AC66-965A75497897}" destId="{31F82807-4254-4B36-A981-28D631594415}" srcOrd="2" destOrd="0" presId="urn:microsoft.com/office/officeart/2005/8/layout/hierarchy5"/>
    <dgm:cxn modelId="{F2D7C9B8-B5D1-4E55-B3E0-56C4A54B1CD4}" type="presParOf" srcId="{31F82807-4254-4B36-A981-28D631594415}" destId="{989588F2-6412-4B20-A6F0-1BA3822FD76B}" srcOrd="0" destOrd="0" presId="urn:microsoft.com/office/officeart/2005/8/layout/hierarchy5"/>
    <dgm:cxn modelId="{F0511129-6614-45E3-85A1-777E6148B9CB}" type="presParOf" srcId="{B27406FA-3F3C-409E-AC66-965A75497897}" destId="{05ED1DDB-517A-4071-AF5F-59FA09B2F3F1}" srcOrd="3" destOrd="0" presId="urn:microsoft.com/office/officeart/2005/8/layout/hierarchy5"/>
    <dgm:cxn modelId="{58C80103-C7BA-4B97-9301-7F40B3436623}" type="presParOf" srcId="{05ED1DDB-517A-4071-AF5F-59FA09B2F3F1}" destId="{7E8E03CF-62C8-43C0-9317-AE19A41F8847}" srcOrd="0" destOrd="0" presId="urn:microsoft.com/office/officeart/2005/8/layout/hierarchy5"/>
    <dgm:cxn modelId="{A9267DC0-59C0-474A-B912-7D5AB826E113}" type="presParOf" srcId="{05ED1DDB-517A-4071-AF5F-59FA09B2F3F1}" destId="{5E68CB4E-3431-4B1B-B0BB-5079B4F17A28}" srcOrd="1" destOrd="0" presId="urn:microsoft.com/office/officeart/2005/8/layout/hierarchy5"/>
    <dgm:cxn modelId="{0641B65E-E9BD-4088-9215-653D43B6DD1E}" type="presParOf" srcId="{5E68CB4E-3431-4B1B-B0BB-5079B4F17A28}" destId="{61621494-2F79-48E9-A2F5-C3D01A086EBF}" srcOrd="0" destOrd="0" presId="urn:microsoft.com/office/officeart/2005/8/layout/hierarchy5"/>
    <dgm:cxn modelId="{F8778608-6747-4A34-818A-FD5C53F7ED70}" type="presParOf" srcId="{61621494-2F79-48E9-A2F5-C3D01A086EBF}" destId="{FE6DFA0A-F2A5-4BB3-BEA2-57CF7F9EBD50}" srcOrd="0" destOrd="0" presId="urn:microsoft.com/office/officeart/2005/8/layout/hierarchy5"/>
    <dgm:cxn modelId="{5B8AC59C-4F06-4B56-91AF-DC9A247BD3BB}" type="presParOf" srcId="{5E68CB4E-3431-4B1B-B0BB-5079B4F17A28}" destId="{8C270462-5DCC-4BE6-A287-BBF96FDA693B}" srcOrd="1" destOrd="0" presId="urn:microsoft.com/office/officeart/2005/8/layout/hierarchy5"/>
    <dgm:cxn modelId="{46981E38-E111-422A-A362-B9B97581D1CF}" type="presParOf" srcId="{8C270462-5DCC-4BE6-A287-BBF96FDA693B}" destId="{397D37EC-7E71-424E-9526-502AC82B6044}" srcOrd="0" destOrd="0" presId="urn:microsoft.com/office/officeart/2005/8/layout/hierarchy5"/>
    <dgm:cxn modelId="{F66605B5-5518-4B4C-8E66-30D56A862128}" type="presParOf" srcId="{8C270462-5DCC-4BE6-A287-BBF96FDA693B}" destId="{9548773A-E91C-4708-B7A3-4AA161CF706D}" srcOrd="1" destOrd="0" presId="urn:microsoft.com/office/officeart/2005/8/layout/hierarchy5"/>
    <dgm:cxn modelId="{88C04D79-02B1-42E1-883F-1FFF34F62C58}" type="presParOf" srcId="{B7BABC7C-586C-4226-99DD-711516406030}" destId="{020E1132-9235-4B81-9DB1-108668B2869D}" srcOrd="1" destOrd="0" presId="urn:microsoft.com/office/officeart/2005/8/layout/hierarchy5"/>
    <dgm:cxn modelId="{6953A34D-8963-4737-ACF0-75BBCF95A243}" type="presParOf" srcId="{020E1132-9235-4B81-9DB1-108668B2869D}" destId="{23FD5147-0F1C-4E2D-8147-AE4372871EAA}" srcOrd="0" destOrd="0" presId="urn:microsoft.com/office/officeart/2005/8/layout/hierarchy5"/>
    <dgm:cxn modelId="{3FBB862D-AC20-489D-912F-1614FBD85EC3}" type="presParOf" srcId="{23FD5147-0F1C-4E2D-8147-AE4372871EAA}" destId="{0DBE3391-EB4B-499F-BF3D-FACE7211C1AA}" srcOrd="0" destOrd="0" presId="urn:microsoft.com/office/officeart/2005/8/layout/hierarchy5"/>
    <dgm:cxn modelId="{8875A9DB-B9AE-4F26-AF16-4B11860F07C7}" type="presParOf" srcId="{23FD5147-0F1C-4E2D-8147-AE4372871EAA}" destId="{51F4DE41-4A80-4621-944B-B0474FCE2043}" srcOrd="1" destOrd="0" presId="urn:microsoft.com/office/officeart/2005/8/layout/hierarchy5"/>
    <dgm:cxn modelId="{5FCEF5F6-8147-4151-85AE-B1BC467401A1}" type="presParOf" srcId="{020E1132-9235-4B81-9DB1-108668B2869D}" destId="{49B53456-80DD-47F0-A0C4-E6C05181FC54}" srcOrd="1" destOrd="0" presId="urn:microsoft.com/office/officeart/2005/8/layout/hierarchy5"/>
    <dgm:cxn modelId="{CD182ABF-1863-43BD-B827-26CA39DDC488}" type="presParOf" srcId="{49B53456-80DD-47F0-A0C4-E6C05181FC54}" destId="{C02F579F-0890-448A-BFDB-FC3715AF5B28}" srcOrd="0" destOrd="0" presId="urn:microsoft.com/office/officeart/2005/8/layout/hierarchy5"/>
    <dgm:cxn modelId="{061F57CB-2651-4819-BC2D-AEE93264EAE3}" type="presParOf" srcId="{020E1132-9235-4B81-9DB1-108668B2869D}" destId="{FA2A0261-9B00-422E-A0E1-1843DEBD48E0}" srcOrd="2" destOrd="0" presId="urn:microsoft.com/office/officeart/2005/8/layout/hierarchy5"/>
    <dgm:cxn modelId="{9DAC2D46-128E-478F-8B49-03245AAC54A1}" type="presParOf" srcId="{FA2A0261-9B00-422E-A0E1-1843DEBD48E0}" destId="{69CB27F3-E3AB-45C0-BD01-F6B165856594}" srcOrd="0" destOrd="0" presId="urn:microsoft.com/office/officeart/2005/8/layout/hierarchy5"/>
    <dgm:cxn modelId="{D6DBAEFD-8316-4574-80E6-B952099E7F43}" type="presParOf" srcId="{FA2A0261-9B00-422E-A0E1-1843DEBD48E0}" destId="{74203028-C6F5-4D41-9A16-58EFA7475944}" srcOrd="1" destOrd="0" presId="urn:microsoft.com/office/officeart/2005/8/layout/hierarchy5"/>
    <dgm:cxn modelId="{45F1E2F1-CAAA-4B7D-8A08-7CF12729E554}" type="presParOf" srcId="{020E1132-9235-4B81-9DB1-108668B2869D}" destId="{F98028A4-207B-40E2-8704-DBD05D626EEB}" srcOrd="3" destOrd="0" presId="urn:microsoft.com/office/officeart/2005/8/layout/hierarchy5"/>
    <dgm:cxn modelId="{7C5D5CD8-8D16-4165-9D1D-3F04DA487DE0}" type="presParOf" srcId="{F98028A4-207B-40E2-8704-DBD05D626EEB}" destId="{6217D80A-88E6-47CF-AF21-AC1DC342FDD9}" srcOrd="0" destOrd="0" presId="urn:microsoft.com/office/officeart/2005/8/layout/hierarchy5"/>
    <dgm:cxn modelId="{5183F889-433A-4E88-A3A3-6BA43D45E8B8}" type="presParOf" srcId="{020E1132-9235-4B81-9DB1-108668B2869D}" destId="{42DB89BC-72EE-4C3B-94EC-314D7D461BDC}" srcOrd="4" destOrd="0" presId="urn:microsoft.com/office/officeart/2005/8/layout/hierarchy5"/>
    <dgm:cxn modelId="{116D260F-F5C8-40DB-BEB8-6DF265DAFD28}" type="presParOf" srcId="{42DB89BC-72EE-4C3B-94EC-314D7D461BDC}" destId="{32FB7F9A-62B7-4940-9008-9918D9FE922E}" srcOrd="0" destOrd="0" presId="urn:microsoft.com/office/officeart/2005/8/layout/hierarchy5"/>
    <dgm:cxn modelId="{60CF87F1-714B-4343-88B6-DE4FA5AFC359}"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65"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D51C2AE1-D995-4A64-AC58-B91E4C4861B9}" type="doc">
      <dgm:prSet loTypeId="urn:microsoft.com/office/officeart/2005/8/layout/arrow2" loCatId="process" qsTypeId="urn:microsoft.com/office/officeart/2005/8/quickstyle/simple1#2" qsCatId="simple" csTypeId="urn:microsoft.com/office/officeart/2005/8/colors/accent1_2#23" csCatId="accent1" phldr="1"/>
      <dgm:spPr/>
      <dgm:t>
        <a:bodyPr/>
        <a:lstStyle/>
        <a:p>
          <a:endParaRPr lang="sk-SK"/>
        </a:p>
      </dgm:t>
    </dgm:pt>
    <dgm:pt modelId="{E30EEB01-E6A4-4DCB-9FD0-C5971C3963FF}">
      <dgm:prSet phldrT="[Text]" custT="1"/>
      <dgm:spPr/>
      <dgm:t>
        <a:bodyPr/>
        <a:lstStyle/>
        <a:p>
          <a:r>
            <a:rPr lang="sk-SK" sz="600" i="1">
              <a:solidFill>
                <a:schemeClr val="accent2">
                  <a:lumMod val="50000"/>
                </a:schemeClr>
              </a:solidFill>
            </a:rPr>
            <a:t>Účinná zmluva o NFP/ právoplatné Rozhodnutie o schválení NFP v prípadoch, ak prijímateľ a RO je tá istá osoba </a:t>
          </a:r>
        </a:p>
      </dgm:t>
    </dgm:pt>
    <dgm:pt modelId="{3917ED12-A178-4C70-A8C6-D4764DE4A904}" type="parTrans" cxnId="{622A4F08-4969-4C1E-ADE0-99487DF28448}">
      <dgm:prSet/>
      <dgm:spPr/>
      <dgm:t>
        <a:bodyPr/>
        <a:lstStyle/>
        <a:p>
          <a:endParaRPr lang="sk-SK" sz="600"/>
        </a:p>
      </dgm:t>
    </dgm:pt>
    <dgm:pt modelId="{7CA0ECC1-4999-4C11-AC8F-5A3DC6A14E55}" type="sibTrans" cxnId="{622A4F08-4969-4C1E-ADE0-99487DF28448}">
      <dgm:prSet/>
      <dgm:spPr/>
      <dgm:t>
        <a:bodyPr/>
        <a:lstStyle/>
        <a:p>
          <a:endParaRPr lang="sk-SK" sz="600"/>
        </a:p>
      </dgm:t>
    </dgm:pt>
    <dgm:pt modelId="{C6F3FEA4-A34E-470C-991F-329780AC7A7D}">
      <dgm:prSet phldrT="[Text]" custT="1"/>
      <dgm:spPr/>
      <dgm:t>
        <a:bodyPr/>
        <a:lstStyle/>
        <a:p>
          <a:r>
            <a:rPr lang="sk-SK" sz="600" i="1">
              <a:solidFill>
                <a:schemeClr val="accent2">
                  <a:lumMod val="50000"/>
                </a:schemeClr>
              </a:solidFill>
            </a:rPr>
            <a:t>Realizácia projektu (realizácia aktivít projektu + finančné uhrádzanie/preplácanie výdavkov)</a:t>
          </a:r>
        </a:p>
      </dgm:t>
    </dgm:pt>
    <dgm:pt modelId="{390C2F8E-8AA8-4D53-9FD4-E85EA96B37DE}" type="parTrans" cxnId="{5AE88F92-F637-4A09-8B1C-04DABEB809FE}">
      <dgm:prSet/>
      <dgm:spPr/>
      <dgm:t>
        <a:bodyPr/>
        <a:lstStyle/>
        <a:p>
          <a:endParaRPr lang="sk-SK" sz="600"/>
        </a:p>
      </dgm:t>
    </dgm:pt>
    <dgm:pt modelId="{148391E9-E177-4102-83BD-97046BE467BC}" type="sibTrans" cxnId="{5AE88F92-F637-4A09-8B1C-04DABEB809FE}">
      <dgm:prSet/>
      <dgm:spPr/>
      <dgm:t>
        <a:bodyPr/>
        <a:lstStyle/>
        <a:p>
          <a:endParaRPr lang="sk-SK" sz="600"/>
        </a:p>
      </dgm:t>
    </dgm:pt>
    <dgm:pt modelId="{5EBC2E34-D291-4A82-8606-EE31D9F9C9D5}">
      <dgm:prSet phldrT="[Text]" custT="1"/>
      <dgm:spPr/>
      <dgm:t>
        <a:bodyPr/>
        <a:lstStyle/>
        <a:p>
          <a:r>
            <a:rPr lang="sk-SK" sz="600" i="1">
              <a:solidFill>
                <a:schemeClr val="accent2">
                  <a:lumMod val="50000"/>
                </a:schemeClr>
              </a:solidFill>
            </a:rPr>
            <a:t>Začatie plynutia udržateľnosti  projektu po ukončení realizácie projektu</a:t>
          </a:r>
        </a:p>
      </dgm:t>
    </dgm:pt>
    <dgm:pt modelId="{700ECD0D-9FFD-4E20-AAA6-96C5709BA13B}" type="parTrans" cxnId="{586C87D2-0CA8-45E2-AF01-EB8832E8D1FC}">
      <dgm:prSet/>
      <dgm:spPr/>
      <dgm:t>
        <a:bodyPr/>
        <a:lstStyle/>
        <a:p>
          <a:endParaRPr lang="sk-SK" sz="600"/>
        </a:p>
      </dgm:t>
    </dgm:pt>
    <dgm:pt modelId="{DB3A02E8-3B88-4D20-84EE-332425C56904}" type="sibTrans" cxnId="{586C87D2-0CA8-45E2-AF01-EB8832E8D1FC}">
      <dgm:prSet/>
      <dgm:spPr/>
      <dgm:t>
        <a:bodyPr/>
        <a:lstStyle/>
        <a:p>
          <a:endParaRPr lang="sk-SK" sz="600"/>
        </a:p>
      </dgm:t>
    </dgm:pt>
    <dgm:pt modelId="{9105DCB5-1BF5-4A8B-B631-FC7645A909C8}">
      <dgm:prSet custT="1"/>
      <dgm:spPr/>
      <dgm:t>
        <a:bodyPr/>
        <a:lstStyle/>
        <a:p>
          <a:r>
            <a:rPr lang="sk-SK" sz="600" i="1">
              <a:solidFill>
                <a:schemeClr val="accent2">
                  <a:lumMod val="50000"/>
                </a:schemeClr>
              </a:solidFill>
            </a:rPr>
            <a:t>Úkony  od plánovania výzvy/vyzvania až do vypracovania návrhu zmluvy o NFP/rozhodnutia o schválení NFPv prípadoch, ak prijímateľ a RO je tá istá osoba </a:t>
          </a:r>
        </a:p>
      </dgm:t>
    </dgm:pt>
    <dgm:pt modelId="{72E7DA94-47D4-407B-94CC-C9679FEF5E07}" type="parTrans" cxnId="{1FCE0E48-8D58-4290-912C-CFBA4ECACB19}">
      <dgm:prSet/>
      <dgm:spPr/>
      <dgm:t>
        <a:bodyPr/>
        <a:lstStyle/>
        <a:p>
          <a:endParaRPr lang="sk-SK" sz="600"/>
        </a:p>
      </dgm:t>
    </dgm:pt>
    <dgm:pt modelId="{F7446410-237A-434F-95C3-B59C305F6E06}" type="sibTrans" cxnId="{1FCE0E48-8D58-4290-912C-CFBA4ECACB19}">
      <dgm:prSet/>
      <dgm:spPr/>
      <dgm:t>
        <a:bodyPr/>
        <a:lstStyle/>
        <a:p>
          <a:endParaRPr lang="sk-SK" sz="600"/>
        </a:p>
      </dgm:t>
    </dgm:pt>
    <dgm:pt modelId="{D727AC5F-C3F5-4C8B-AEBB-8CA2B43B3D63}" type="pres">
      <dgm:prSet presAssocID="{D51C2AE1-D995-4A64-AC58-B91E4C4861B9}" presName="arrowDiagram" presStyleCnt="0">
        <dgm:presLayoutVars>
          <dgm:chMax val="5"/>
          <dgm:dir/>
          <dgm:resizeHandles val="exact"/>
        </dgm:presLayoutVars>
      </dgm:prSet>
      <dgm:spPr/>
      <dgm:t>
        <a:bodyPr/>
        <a:lstStyle/>
        <a:p>
          <a:endParaRPr lang="sk-SK"/>
        </a:p>
      </dgm:t>
    </dgm:pt>
    <dgm:pt modelId="{2B550529-C524-4B56-86CB-C4DFFB9A8D20}" type="pres">
      <dgm:prSet presAssocID="{D51C2AE1-D995-4A64-AC58-B91E4C4861B9}" presName="arrow" presStyleLbl="bgShp" presStyleIdx="0" presStyleCnt="1" custLinFactNeighborY="-4167"/>
      <dgm:spPr>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scene3d>
          <a:camera prst="orthographicFront"/>
          <a:lightRig rig="threePt" dir="t"/>
        </a:scene3d>
        <a:sp3d>
          <a:bevelT w="127000" h="127000"/>
          <a:bevelB/>
        </a:sp3d>
      </dgm:spPr>
    </dgm:pt>
    <dgm:pt modelId="{5F01B68A-2598-458E-99AC-881E63C98D21}" type="pres">
      <dgm:prSet presAssocID="{D51C2AE1-D995-4A64-AC58-B91E4C4861B9}" presName="arrowDiagram4" presStyleCnt="0"/>
      <dgm:spPr/>
    </dgm:pt>
    <dgm:pt modelId="{727DF83E-7678-49ED-B0A2-8F58AB6D5D91}" type="pres">
      <dgm:prSet presAssocID="{9105DCB5-1BF5-4A8B-B631-FC7645A909C8}" presName="bullet4a" presStyleLbl="node1" presStyleIdx="0" presStyleCnt="4"/>
      <dgm:spPr/>
    </dgm:pt>
    <dgm:pt modelId="{E142B6E2-7C61-4B2F-99AF-E2DD2582223A}" type="pres">
      <dgm:prSet presAssocID="{9105DCB5-1BF5-4A8B-B631-FC7645A909C8}" presName="textBox4a" presStyleLbl="revTx" presStyleIdx="0" presStyleCnt="4" custScaleY="70433">
        <dgm:presLayoutVars>
          <dgm:bulletEnabled val="1"/>
        </dgm:presLayoutVars>
      </dgm:prSet>
      <dgm:spPr/>
      <dgm:t>
        <a:bodyPr/>
        <a:lstStyle/>
        <a:p>
          <a:endParaRPr lang="sk-SK"/>
        </a:p>
      </dgm:t>
    </dgm:pt>
    <dgm:pt modelId="{DE27D38C-3021-4DFD-B3C0-FBBC800D127C}" type="pres">
      <dgm:prSet presAssocID="{E30EEB01-E6A4-4DCB-9FD0-C5971C3963FF}" presName="bullet4b" presStyleLbl="node1" presStyleIdx="1" presStyleCnt="4"/>
      <dgm:spPr/>
    </dgm:pt>
    <dgm:pt modelId="{D69A44F0-B1D1-4AA7-AAFE-A17C851BA17F}" type="pres">
      <dgm:prSet presAssocID="{E30EEB01-E6A4-4DCB-9FD0-C5971C3963FF}" presName="textBox4b" presStyleLbl="revTx" presStyleIdx="1" presStyleCnt="4" custScaleY="46511">
        <dgm:presLayoutVars>
          <dgm:bulletEnabled val="1"/>
        </dgm:presLayoutVars>
      </dgm:prSet>
      <dgm:spPr/>
      <dgm:t>
        <a:bodyPr/>
        <a:lstStyle/>
        <a:p>
          <a:endParaRPr lang="sk-SK"/>
        </a:p>
      </dgm:t>
    </dgm:pt>
    <dgm:pt modelId="{4353D4FC-FB58-404C-AE44-D5E631012830}" type="pres">
      <dgm:prSet presAssocID="{C6F3FEA4-A34E-470C-991F-329780AC7A7D}" presName="bullet4c" presStyleLbl="node1" presStyleIdx="2" presStyleCnt="4"/>
      <dgm:spPr/>
    </dgm:pt>
    <dgm:pt modelId="{D6E0E7BC-1FF4-468A-A56F-25065F13EC64}" type="pres">
      <dgm:prSet presAssocID="{C6F3FEA4-A34E-470C-991F-329780AC7A7D}" presName="textBox4c" presStyleLbl="revTx" presStyleIdx="2" presStyleCnt="4" custScaleY="33477" custLinFactNeighborX="-1102" custLinFactNeighborY="-13784">
        <dgm:presLayoutVars>
          <dgm:bulletEnabled val="1"/>
        </dgm:presLayoutVars>
      </dgm:prSet>
      <dgm:spPr/>
      <dgm:t>
        <a:bodyPr/>
        <a:lstStyle/>
        <a:p>
          <a:endParaRPr lang="sk-SK"/>
        </a:p>
      </dgm:t>
    </dgm:pt>
    <dgm:pt modelId="{FB271237-096B-4093-A49F-5557FDA4B8D8}" type="pres">
      <dgm:prSet presAssocID="{5EBC2E34-D291-4A82-8606-EE31D9F9C9D5}" presName="bullet4d" presStyleLbl="node1" presStyleIdx="3" presStyleCnt="4"/>
      <dgm:spPr/>
    </dgm:pt>
    <dgm:pt modelId="{C6DFBD77-7D6D-47F1-95D5-B39FC6C3AB19}" type="pres">
      <dgm:prSet presAssocID="{5EBC2E34-D291-4A82-8606-EE31D9F9C9D5}" presName="textBox4d" presStyleLbl="revTx" presStyleIdx="3" presStyleCnt="4" custScaleX="83288" custScaleY="35431" custLinFactNeighborX="-31415" custLinFactNeighborY="-4391">
        <dgm:presLayoutVars>
          <dgm:bulletEnabled val="1"/>
        </dgm:presLayoutVars>
      </dgm:prSet>
      <dgm:spPr/>
      <dgm:t>
        <a:bodyPr/>
        <a:lstStyle/>
        <a:p>
          <a:endParaRPr lang="sk-SK"/>
        </a:p>
      </dgm:t>
    </dgm:pt>
  </dgm:ptLst>
  <dgm:cxnLst>
    <dgm:cxn modelId="{1FCE0E48-8D58-4290-912C-CFBA4ECACB19}" srcId="{D51C2AE1-D995-4A64-AC58-B91E4C4861B9}" destId="{9105DCB5-1BF5-4A8B-B631-FC7645A909C8}" srcOrd="0" destOrd="0" parTransId="{72E7DA94-47D4-407B-94CC-C9679FEF5E07}" sibTransId="{F7446410-237A-434F-95C3-B59C305F6E06}"/>
    <dgm:cxn modelId="{3E554D65-E679-4A61-8387-4073D611A351}" type="presOf" srcId="{E30EEB01-E6A4-4DCB-9FD0-C5971C3963FF}" destId="{D69A44F0-B1D1-4AA7-AAFE-A17C851BA17F}" srcOrd="0" destOrd="0" presId="urn:microsoft.com/office/officeart/2005/8/layout/arrow2"/>
    <dgm:cxn modelId="{622A4F08-4969-4C1E-ADE0-99487DF28448}" srcId="{D51C2AE1-D995-4A64-AC58-B91E4C4861B9}" destId="{E30EEB01-E6A4-4DCB-9FD0-C5971C3963FF}" srcOrd="1" destOrd="0" parTransId="{3917ED12-A178-4C70-A8C6-D4764DE4A904}" sibTransId="{7CA0ECC1-4999-4C11-AC8F-5A3DC6A14E55}"/>
    <dgm:cxn modelId="{5AE88F92-F637-4A09-8B1C-04DABEB809FE}" srcId="{D51C2AE1-D995-4A64-AC58-B91E4C4861B9}" destId="{C6F3FEA4-A34E-470C-991F-329780AC7A7D}" srcOrd="2" destOrd="0" parTransId="{390C2F8E-8AA8-4D53-9FD4-E85EA96B37DE}" sibTransId="{148391E9-E177-4102-83BD-97046BE467BC}"/>
    <dgm:cxn modelId="{60A547D3-D840-495E-BAAD-93FEA24E886A}" type="presOf" srcId="{9105DCB5-1BF5-4A8B-B631-FC7645A909C8}" destId="{E142B6E2-7C61-4B2F-99AF-E2DD2582223A}" srcOrd="0" destOrd="0" presId="urn:microsoft.com/office/officeart/2005/8/layout/arrow2"/>
    <dgm:cxn modelId="{72E4FDEA-0E0D-4877-9042-1A735997D5D9}" type="presOf" srcId="{C6F3FEA4-A34E-470C-991F-329780AC7A7D}" destId="{D6E0E7BC-1FF4-468A-A56F-25065F13EC64}" srcOrd="0" destOrd="0" presId="urn:microsoft.com/office/officeart/2005/8/layout/arrow2"/>
    <dgm:cxn modelId="{4466DB68-BEF4-44CD-BFF3-818FD709F65B}" type="presOf" srcId="{5EBC2E34-D291-4A82-8606-EE31D9F9C9D5}" destId="{C6DFBD77-7D6D-47F1-95D5-B39FC6C3AB19}" srcOrd="0" destOrd="0" presId="urn:microsoft.com/office/officeart/2005/8/layout/arrow2"/>
    <dgm:cxn modelId="{586C87D2-0CA8-45E2-AF01-EB8832E8D1FC}" srcId="{D51C2AE1-D995-4A64-AC58-B91E4C4861B9}" destId="{5EBC2E34-D291-4A82-8606-EE31D9F9C9D5}" srcOrd="3" destOrd="0" parTransId="{700ECD0D-9FFD-4E20-AAA6-96C5709BA13B}" sibTransId="{DB3A02E8-3B88-4D20-84EE-332425C56904}"/>
    <dgm:cxn modelId="{B7A74482-CD54-4824-A0E7-0F6CC6360AEE}" type="presOf" srcId="{D51C2AE1-D995-4A64-AC58-B91E4C4861B9}" destId="{D727AC5F-C3F5-4C8B-AEBB-8CA2B43B3D63}" srcOrd="0" destOrd="0" presId="urn:microsoft.com/office/officeart/2005/8/layout/arrow2"/>
    <dgm:cxn modelId="{E8FFEEBF-EAF4-43F1-891F-CC421AA54811}" type="presParOf" srcId="{D727AC5F-C3F5-4C8B-AEBB-8CA2B43B3D63}" destId="{2B550529-C524-4B56-86CB-C4DFFB9A8D20}" srcOrd="0" destOrd="0" presId="urn:microsoft.com/office/officeart/2005/8/layout/arrow2"/>
    <dgm:cxn modelId="{2D482277-8F2B-4DEF-957E-3B2BEEFDD00F}" type="presParOf" srcId="{D727AC5F-C3F5-4C8B-AEBB-8CA2B43B3D63}" destId="{5F01B68A-2598-458E-99AC-881E63C98D21}" srcOrd="1" destOrd="0" presId="urn:microsoft.com/office/officeart/2005/8/layout/arrow2"/>
    <dgm:cxn modelId="{C721824A-3D36-4FCD-8D23-44B5C5C6D80A}" type="presParOf" srcId="{5F01B68A-2598-458E-99AC-881E63C98D21}" destId="{727DF83E-7678-49ED-B0A2-8F58AB6D5D91}" srcOrd="0" destOrd="0" presId="urn:microsoft.com/office/officeart/2005/8/layout/arrow2"/>
    <dgm:cxn modelId="{8052E6D1-AE59-44CD-975D-312356DCD647}" type="presParOf" srcId="{5F01B68A-2598-458E-99AC-881E63C98D21}" destId="{E142B6E2-7C61-4B2F-99AF-E2DD2582223A}" srcOrd="1" destOrd="0" presId="urn:microsoft.com/office/officeart/2005/8/layout/arrow2"/>
    <dgm:cxn modelId="{DBFE4D74-004B-4713-B623-8756148F9AF8}" type="presParOf" srcId="{5F01B68A-2598-458E-99AC-881E63C98D21}" destId="{DE27D38C-3021-4DFD-B3C0-FBBC800D127C}" srcOrd="2" destOrd="0" presId="urn:microsoft.com/office/officeart/2005/8/layout/arrow2"/>
    <dgm:cxn modelId="{14D01F62-C720-43FE-9705-7F3B15783BA0}" type="presParOf" srcId="{5F01B68A-2598-458E-99AC-881E63C98D21}" destId="{D69A44F0-B1D1-4AA7-AAFE-A17C851BA17F}" srcOrd="3" destOrd="0" presId="urn:microsoft.com/office/officeart/2005/8/layout/arrow2"/>
    <dgm:cxn modelId="{0D39073F-9C2B-4F90-8CE3-70875FE47C9A}" type="presParOf" srcId="{5F01B68A-2598-458E-99AC-881E63C98D21}" destId="{4353D4FC-FB58-404C-AE44-D5E631012830}" srcOrd="4" destOrd="0" presId="urn:microsoft.com/office/officeart/2005/8/layout/arrow2"/>
    <dgm:cxn modelId="{8A24948E-AE12-40CA-A62A-DFE3AD3BF0C3}" type="presParOf" srcId="{5F01B68A-2598-458E-99AC-881E63C98D21}" destId="{D6E0E7BC-1FF4-468A-A56F-25065F13EC64}" srcOrd="5" destOrd="0" presId="urn:microsoft.com/office/officeart/2005/8/layout/arrow2"/>
    <dgm:cxn modelId="{C2D212C5-D02E-4CE8-B832-40D8B9311EAD}" type="presParOf" srcId="{5F01B68A-2598-458E-99AC-881E63C98D21}" destId="{FB271237-096B-4093-A49F-5557FDA4B8D8}" srcOrd="6" destOrd="0" presId="urn:microsoft.com/office/officeart/2005/8/layout/arrow2"/>
    <dgm:cxn modelId="{7AD22974-BDA9-40E8-BFA3-17FE43B7EF41}" type="presParOf" srcId="{5F01B68A-2598-458E-99AC-881E63C98D21}" destId="{C6DFBD77-7D6D-47F1-95D5-B39FC6C3AB19}" srcOrd="7" destOrd="0" presId="urn:microsoft.com/office/officeart/2005/8/layout/arrow2"/>
  </dgm:cxnLst>
  <dgm:bg/>
  <dgm:whole/>
  <dgm:extLst>
    <a:ext uri="http://schemas.microsoft.com/office/drawing/2008/diagram">
      <dsp:dataModelExt xmlns:dsp="http://schemas.microsoft.com/office/drawing/2008/diagram" relId="rId170"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AE0015F6-7E1A-48E7-B6C0-771D31959E1F}" type="doc">
      <dgm:prSet loTypeId="urn:microsoft.com/office/officeart/2005/8/layout/hList3" loCatId="list" qsTypeId="urn:microsoft.com/office/officeart/2005/8/quickstyle/simple1#3" qsCatId="simple" csTypeId="urn:microsoft.com/office/officeart/2005/8/colors/accent1_2#24" csCatId="accent1" phldr="1"/>
      <dgm:spPr/>
      <dgm:t>
        <a:bodyPr/>
        <a:lstStyle/>
        <a:p>
          <a:endParaRPr lang="sk-SK"/>
        </a:p>
      </dgm:t>
    </dgm:pt>
    <dgm:pt modelId="{36C5CB33-15FC-4B9F-B999-32D905C66FB1}">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balanced" dir="t"/>
        </a:scene3d>
        <a:sp3d>
          <a:bevelT w="190500" h="190500"/>
          <a:bevelB/>
        </a:sp3d>
      </dgm:spPr>
      <dgm:t>
        <a:bodyPr/>
        <a:lstStyle/>
        <a:p>
          <a:r>
            <a:rPr lang="sk-SK" sz="2000" b="1" i="1">
              <a:solidFill>
                <a:schemeClr val="accent4">
                  <a:lumMod val="75000"/>
                </a:schemeClr>
              </a:solidFill>
            </a:rPr>
            <a:t>Časové vykonávanie  kontroly na úrovni RO</a:t>
          </a:r>
        </a:p>
      </dgm:t>
    </dgm:pt>
    <dgm:pt modelId="{AB6487FC-1FC4-41B7-BA50-706A5B962FE7}" type="parTrans" cxnId="{85BF52EE-174C-4AE9-97D5-5C5316CF8825}">
      <dgm:prSet/>
      <dgm:spPr/>
      <dgm:t>
        <a:bodyPr/>
        <a:lstStyle/>
        <a:p>
          <a:endParaRPr lang="sk-SK"/>
        </a:p>
      </dgm:t>
    </dgm:pt>
    <dgm:pt modelId="{71AC8452-A136-4468-B016-A08E99D9B555}" type="sibTrans" cxnId="{85BF52EE-174C-4AE9-97D5-5C5316CF8825}">
      <dgm:prSet/>
      <dgm:spPr/>
      <dgm:t>
        <a:bodyPr/>
        <a:lstStyle/>
        <a:p>
          <a:endParaRPr lang="sk-SK"/>
        </a:p>
      </dgm:t>
    </dgm:pt>
    <dgm:pt modelId="{C9AAD6A5-0DEA-4ECA-8C91-190E3BB1C4AD}">
      <dgm:prSet phldrT="[Text]" custT="1"/>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po ukončení realizácie projektu do skončenia účinnosti zmluvy o NFP</a:t>
          </a:r>
        </a:p>
        <a:p>
          <a:r>
            <a:rPr lang="sk-SK" sz="1400" i="1">
              <a:solidFill>
                <a:schemeClr val="accent4">
                  <a:lumMod val="75000"/>
                </a:schemeClr>
              </a:solidFill>
            </a:rPr>
            <a:t>-  </a:t>
          </a:r>
          <a:r>
            <a:rPr lang="sk-SK" sz="1000" i="1">
              <a:solidFill>
                <a:schemeClr val="accent4">
                  <a:lumMod val="75000"/>
                </a:schemeClr>
              </a:solidFill>
            </a:rPr>
            <a:t>základná finančná kontrola</a:t>
          </a:r>
        </a:p>
        <a:p>
          <a:r>
            <a:rPr lang="sk-SK" sz="1000" i="1">
              <a:solidFill>
                <a:schemeClr val="accent4">
                  <a:lumMod val="75000"/>
                </a:schemeClr>
              </a:solidFill>
            </a:rPr>
            <a:t>- administratívna finančná kontrola </a:t>
          </a:r>
        </a:p>
        <a:p>
          <a:r>
            <a:rPr lang="sk-SK" sz="1000" i="1">
              <a:solidFill>
                <a:schemeClr val="accent4">
                  <a:lumMod val="75000"/>
                </a:schemeClr>
              </a:solidFill>
            </a:rPr>
            <a:t>- finančná kontrola na mieste</a:t>
          </a:r>
        </a:p>
      </dgm:t>
    </dgm:pt>
    <dgm:pt modelId="{DEE42A91-7223-4EEF-B846-82C2C7F9FF3A}" type="sibTrans" cxnId="{01BADFFC-978D-4BEE-8812-63E54A32C796}">
      <dgm:prSet/>
      <dgm:spPr/>
      <dgm:t>
        <a:bodyPr/>
        <a:lstStyle/>
        <a:p>
          <a:endParaRPr lang="sk-SK"/>
        </a:p>
      </dgm:t>
    </dgm:pt>
    <dgm:pt modelId="{FBFB6254-1797-40C3-B341-C4F9348CE7C3}" type="parTrans" cxnId="{01BADFFC-978D-4BEE-8812-63E54A32C796}">
      <dgm:prSet/>
      <dgm:spPr/>
      <dgm:t>
        <a:bodyPr/>
        <a:lstStyle/>
        <a:p>
          <a:endParaRPr lang="sk-SK"/>
        </a:p>
      </dgm:t>
    </dgm:pt>
    <dgm:pt modelId="{70C73672-CF73-4B8E-AE19-C04CFC36FAA7}">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pPr algn="ctr"/>
          <a:r>
            <a:rPr lang="sk-SK" sz="1200" b="1" i="1">
              <a:solidFill>
                <a:schemeClr val="accent4">
                  <a:lumMod val="75000"/>
                </a:schemeClr>
              </a:solidFill>
            </a:rPr>
            <a:t>Kontrola od účinnosti zmluvy o NFP do momentu ukončenia realizácie projektu</a:t>
          </a:r>
        </a:p>
        <a:p>
          <a:pPr algn="ctr"/>
          <a:r>
            <a:rPr lang="sk-SK" sz="1400" i="1">
              <a:solidFill>
                <a:schemeClr val="accent4">
                  <a:lumMod val="75000"/>
                </a:schemeClr>
              </a:solidFill>
            </a:rPr>
            <a:t>- </a:t>
          </a:r>
          <a:r>
            <a:rPr lang="sk-SK" sz="1000" i="1">
              <a:solidFill>
                <a:schemeClr val="accent4">
                  <a:lumMod val="75000"/>
                </a:schemeClr>
              </a:solidFill>
            </a:rPr>
            <a:t>základná finančná kontrola</a:t>
          </a:r>
        </a:p>
        <a:p>
          <a:pPr algn="ctr"/>
          <a:r>
            <a:rPr lang="sk-SK" sz="1000" i="1">
              <a:solidFill>
                <a:schemeClr val="accent4">
                  <a:lumMod val="75000"/>
                </a:schemeClr>
              </a:solidFill>
            </a:rPr>
            <a:t>- administratívna finančná kontrola </a:t>
          </a:r>
        </a:p>
        <a:p>
          <a:pPr algn="ctr"/>
          <a:r>
            <a:rPr lang="sk-SK" sz="1000" i="1">
              <a:solidFill>
                <a:schemeClr val="accent4">
                  <a:lumMod val="75000"/>
                </a:schemeClr>
              </a:solidFill>
            </a:rPr>
            <a:t>- finančná kontrola na mieste</a:t>
          </a:r>
        </a:p>
      </dgm:t>
    </dgm:pt>
    <dgm:pt modelId="{9F3962D0-88B8-4180-9F1E-AA7138408B60}" type="sibTrans" cxnId="{02264B80-3C97-49D3-80CF-3C13AEA3E1DD}">
      <dgm:prSet/>
      <dgm:spPr/>
      <dgm:t>
        <a:bodyPr/>
        <a:lstStyle/>
        <a:p>
          <a:endParaRPr lang="sk-SK"/>
        </a:p>
      </dgm:t>
    </dgm:pt>
    <dgm:pt modelId="{72214487-C226-4441-9A66-A543C492EF4A}" type="parTrans" cxnId="{02264B80-3C97-49D3-80CF-3C13AEA3E1DD}">
      <dgm:prSet/>
      <dgm:spPr/>
      <dgm:t>
        <a:bodyPr/>
        <a:lstStyle/>
        <a:p>
          <a:endParaRPr lang="sk-SK"/>
        </a:p>
      </dgm:t>
    </dgm:pt>
    <dgm:pt modelId="{2E2B187E-5051-4BCD-BD91-F1FEC4CF41AE}">
      <dgm:prSet/>
      <dgm:spPr/>
      <dgm:t>
        <a:bodyPr/>
        <a:lstStyle/>
        <a:p>
          <a:endParaRPr lang="sk-SK"/>
        </a:p>
      </dgm:t>
    </dgm:pt>
    <dgm:pt modelId="{301F1E11-B4B5-473E-B845-B241A8468B4E}" type="parTrans" cxnId="{6E535D67-152E-4A7A-88F0-591EB62DFA41}">
      <dgm:prSet/>
      <dgm:spPr/>
      <dgm:t>
        <a:bodyPr/>
        <a:lstStyle/>
        <a:p>
          <a:endParaRPr lang="sk-SK"/>
        </a:p>
      </dgm:t>
    </dgm:pt>
    <dgm:pt modelId="{C173D8AC-917B-4D48-A432-26792D6AA257}" type="sibTrans" cxnId="{6E535D67-152E-4A7A-88F0-591EB62DFA41}">
      <dgm:prSet/>
      <dgm:spPr/>
      <dgm:t>
        <a:bodyPr/>
        <a:lstStyle/>
        <a:p>
          <a:endParaRPr lang="sk-SK"/>
        </a:p>
      </dgm:t>
    </dgm:pt>
    <dgm:pt modelId="{CD8127EC-927C-441F-B283-B2DB07A383CB}">
      <dgm:prSet/>
      <dgm:spPr/>
      <dgm:t>
        <a:bodyPr/>
        <a:lstStyle/>
        <a:p>
          <a:endParaRPr lang="sk-SK"/>
        </a:p>
      </dgm:t>
    </dgm:pt>
    <dgm:pt modelId="{57F8ED4F-4057-410A-8AEC-678EE255E591}" type="parTrans" cxnId="{4CF17B71-751B-480E-ACCD-8C7F021862C0}">
      <dgm:prSet/>
      <dgm:spPr/>
      <dgm:t>
        <a:bodyPr/>
        <a:lstStyle/>
        <a:p>
          <a:endParaRPr lang="sk-SK"/>
        </a:p>
      </dgm:t>
    </dgm:pt>
    <dgm:pt modelId="{1727F87E-7FC2-48E2-9D78-CCC5E1649675}" type="sibTrans" cxnId="{4CF17B71-751B-480E-ACCD-8C7F021862C0}">
      <dgm:prSet/>
      <dgm:spPr/>
      <dgm:t>
        <a:bodyPr/>
        <a:lstStyle/>
        <a:p>
          <a:endParaRPr lang="sk-SK"/>
        </a:p>
      </dgm:t>
    </dgm:pt>
    <dgm:pt modelId="{5C0E71E5-E289-41AD-802B-4FA29501C8FB}">
      <dgm:prSet/>
      <dgm:spPr/>
      <dgm:t>
        <a:bodyPr/>
        <a:lstStyle/>
        <a:p>
          <a:endParaRPr lang="sk-SK"/>
        </a:p>
      </dgm:t>
    </dgm:pt>
    <dgm:pt modelId="{AD675551-5E59-4A0B-8B88-C8180DE67417}" type="parTrans" cxnId="{6EF629FB-7538-498B-8E32-C7B8DBFE367A}">
      <dgm:prSet/>
      <dgm:spPr/>
      <dgm:t>
        <a:bodyPr/>
        <a:lstStyle/>
        <a:p>
          <a:endParaRPr lang="sk-SK"/>
        </a:p>
      </dgm:t>
    </dgm:pt>
    <dgm:pt modelId="{1E36A743-343A-4608-AEB9-E6366A3E9FA4}" type="sibTrans" cxnId="{6EF629FB-7538-498B-8E32-C7B8DBFE367A}">
      <dgm:prSet/>
      <dgm:spPr/>
      <dgm:t>
        <a:bodyPr/>
        <a:lstStyle/>
        <a:p>
          <a:endParaRPr lang="sk-SK"/>
        </a:p>
      </dgm:t>
    </dgm:pt>
    <dgm:pt modelId="{AEF7B322-2EAC-43CB-A35C-C3AC50701205}">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do účinnosti zmluvy o NFP</a:t>
          </a:r>
        </a:p>
        <a:p>
          <a:r>
            <a:rPr lang="sk-SK" sz="1000" i="1">
              <a:solidFill>
                <a:schemeClr val="accent4">
                  <a:lumMod val="75000"/>
                </a:schemeClr>
              </a:solidFill>
            </a:rPr>
            <a:t> - základná finančná kontrola</a:t>
          </a:r>
        </a:p>
      </dgm:t>
    </dgm:pt>
    <dgm:pt modelId="{FE2064CB-A6E1-4FCE-B7DF-F6E40F5B1CDD}" type="parTrans" cxnId="{1C6A1595-6533-4BA1-8B45-2D5FD0AF3CA6}">
      <dgm:prSet/>
      <dgm:spPr/>
      <dgm:t>
        <a:bodyPr/>
        <a:lstStyle/>
        <a:p>
          <a:endParaRPr lang="sk-SK"/>
        </a:p>
      </dgm:t>
    </dgm:pt>
    <dgm:pt modelId="{C1929D57-3C4E-4479-95B3-9455D5443EB9}" type="sibTrans" cxnId="{1C6A1595-6533-4BA1-8B45-2D5FD0AF3CA6}">
      <dgm:prSet/>
      <dgm:spPr/>
      <dgm:t>
        <a:bodyPr/>
        <a:lstStyle/>
        <a:p>
          <a:endParaRPr lang="sk-SK"/>
        </a:p>
      </dgm:t>
    </dgm:pt>
    <dgm:pt modelId="{F36058AE-C27A-4952-AEB8-C69E065CEACD}" type="pres">
      <dgm:prSet presAssocID="{AE0015F6-7E1A-48E7-B6C0-771D31959E1F}" presName="composite" presStyleCnt="0">
        <dgm:presLayoutVars>
          <dgm:chMax val="1"/>
          <dgm:dir/>
          <dgm:resizeHandles val="exact"/>
        </dgm:presLayoutVars>
      </dgm:prSet>
      <dgm:spPr/>
      <dgm:t>
        <a:bodyPr/>
        <a:lstStyle/>
        <a:p>
          <a:endParaRPr lang="sk-SK"/>
        </a:p>
      </dgm:t>
    </dgm:pt>
    <dgm:pt modelId="{714EC99D-E305-4259-87EE-6D26A58747CC}" type="pres">
      <dgm:prSet presAssocID="{36C5CB33-15FC-4B9F-B999-32D905C66FB1}" presName="roof" presStyleLbl="dkBgShp" presStyleIdx="0" presStyleCnt="2" custScaleY="53005" custLinFactNeighborY="-3415"/>
      <dgm:spPr/>
      <dgm:t>
        <a:bodyPr/>
        <a:lstStyle/>
        <a:p>
          <a:endParaRPr lang="sk-SK"/>
        </a:p>
      </dgm:t>
    </dgm:pt>
    <dgm:pt modelId="{099DA3CE-7CB7-4756-A0DF-273147EA3AA1}" type="pres">
      <dgm:prSet presAssocID="{36C5CB33-15FC-4B9F-B999-32D905C66FB1}" presName="pillars" presStyleCnt="0"/>
      <dgm:spPr/>
    </dgm:pt>
    <dgm:pt modelId="{0F58D3C2-E40F-4C43-A4CE-0CE49E16C603}" type="pres">
      <dgm:prSet presAssocID="{36C5CB33-15FC-4B9F-B999-32D905C66FB1}" presName="pillar1" presStyleLbl="node1" presStyleIdx="0" presStyleCnt="3" custScaleX="29088" custScaleY="49273" custLinFactNeighborX="-1331" custLinFactNeighborY="-24719">
        <dgm:presLayoutVars>
          <dgm:bulletEnabled val="1"/>
        </dgm:presLayoutVars>
      </dgm:prSet>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190500" h="190500"/>
          <a:bevelB/>
        </a:sp3d>
      </dgm:spPr>
      <dgm:t>
        <a:bodyPr/>
        <a:lstStyle/>
        <a:p>
          <a:endParaRPr lang="sk-SK"/>
        </a:p>
      </dgm:t>
    </dgm:pt>
    <dgm:pt modelId="{E0F9480C-2F98-4D96-9EC4-A5A5218A9B70}" type="pres">
      <dgm:prSet presAssocID="{70C73672-CF73-4B8E-AE19-C04CFC36FAA7}" presName="pillarX" presStyleLbl="node1" presStyleIdx="1" presStyleCnt="3" custScaleX="30884" custScaleY="52312" custLinFactNeighborX="-463" custLinFactNeighborY="-14095">
        <dgm:presLayoutVars>
          <dgm:bulletEnabled val="1"/>
        </dgm:presLayoutVars>
      </dgm:prSet>
      <dgm:spPr/>
      <dgm:t>
        <a:bodyPr/>
        <a:lstStyle/>
        <a:p>
          <a:endParaRPr lang="sk-SK"/>
        </a:p>
      </dgm:t>
    </dgm:pt>
    <dgm:pt modelId="{653DBB08-B81E-4FE3-82A4-416F1E3558E1}" type="pres">
      <dgm:prSet presAssocID="{C9AAD6A5-0DEA-4ECA-8C91-190E3BB1C4AD}" presName="pillarX" presStyleLbl="node1" presStyleIdx="2" presStyleCnt="3" custScaleX="29959" custScaleY="63803" custLinFactNeighborX="663" custLinFactNeighborY="435">
        <dgm:presLayoutVars>
          <dgm:bulletEnabled val="1"/>
        </dgm:presLayoutVars>
      </dgm:prSet>
      <dgm:spPr/>
      <dgm:t>
        <a:bodyPr/>
        <a:lstStyle/>
        <a:p>
          <a:endParaRPr lang="sk-SK"/>
        </a:p>
      </dgm:t>
    </dgm:pt>
    <dgm:pt modelId="{C4C61265-FCC2-4886-91A9-739CE083C0C8}" type="pres">
      <dgm:prSet presAssocID="{36C5CB33-15FC-4B9F-B999-32D905C66FB1}" presName="base" presStyleLbl="dkBgShp" presStyleIdx="1" presStyleCnt="2" custLinFactY="-28806" custLinFactNeighborY="-100000"/>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95250" h="95250"/>
          <a:bevelB/>
        </a:sp3d>
      </dgm:spPr>
    </dgm:pt>
  </dgm:ptLst>
  <dgm:cxnLst>
    <dgm:cxn modelId="{4A4BE415-6306-4100-99DC-628899F95279}" type="presOf" srcId="{C9AAD6A5-0DEA-4ECA-8C91-190E3BB1C4AD}" destId="{653DBB08-B81E-4FE3-82A4-416F1E3558E1}" srcOrd="0" destOrd="0" presId="urn:microsoft.com/office/officeart/2005/8/layout/hList3"/>
    <dgm:cxn modelId="{1C6A1595-6533-4BA1-8B45-2D5FD0AF3CA6}" srcId="{36C5CB33-15FC-4B9F-B999-32D905C66FB1}" destId="{AEF7B322-2EAC-43CB-A35C-C3AC50701205}" srcOrd="0" destOrd="0" parTransId="{FE2064CB-A6E1-4FCE-B7DF-F6E40F5B1CDD}" sibTransId="{C1929D57-3C4E-4479-95B3-9455D5443EB9}"/>
    <dgm:cxn modelId="{4CF17B71-751B-480E-ACCD-8C7F021862C0}" srcId="{AE0015F6-7E1A-48E7-B6C0-771D31959E1F}" destId="{CD8127EC-927C-441F-B283-B2DB07A383CB}" srcOrd="2" destOrd="0" parTransId="{57F8ED4F-4057-410A-8AEC-678EE255E591}" sibTransId="{1727F87E-7FC2-48E2-9D78-CCC5E1649675}"/>
    <dgm:cxn modelId="{6E535D67-152E-4A7A-88F0-591EB62DFA41}" srcId="{AE0015F6-7E1A-48E7-B6C0-771D31959E1F}" destId="{2E2B187E-5051-4BCD-BD91-F1FEC4CF41AE}" srcOrd="1" destOrd="0" parTransId="{301F1E11-B4B5-473E-B845-B241A8468B4E}" sibTransId="{C173D8AC-917B-4D48-A432-26792D6AA257}"/>
    <dgm:cxn modelId="{6EF629FB-7538-498B-8E32-C7B8DBFE367A}" srcId="{AE0015F6-7E1A-48E7-B6C0-771D31959E1F}" destId="{5C0E71E5-E289-41AD-802B-4FA29501C8FB}" srcOrd="3" destOrd="0" parTransId="{AD675551-5E59-4A0B-8B88-C8180DE67417}" sibTransId="{1E36A743-343A-4608-AEB9-E6366A3E9FA4}"/>
    <dgm:cxn modelId="{01BADFFC-978D-4BEE-8812-63E54A32C796}" srcId="{36C5CB33-15FC-4B9F-B999-32D905C66FB1}" destId="{C9AAD6A5-0DEA-4ECA-8C91-190E3BB1C4AD}" srcOrd="2" destOrd="0" parTransId="{FBFB6254-1797-40C3-B341-C4F9348CE7C3}" sibTransId="{DEE42A91-7223-4EEF-B846-82C2C7F9FF3A}"/>
    <dgm:cxn modelId="{B2488B6B-D392-4E8D-9278-63EE7789223E}" type="presOf" srcId="{70C73672-CF73-4B8E-AE19-C04CFC36FAA7}" destId="{E0F9480C-2F98-4D96-9EC4-A5A5218A9B70}" srcOrd="0" destOrd="0" presId="urn:microsoft.com/office/officeart/2005/8/layout/hList3"/>
    <dgm:cxn modelId="{EC3D8809-497E-445E-873C-4815F935538A}" type="presOf" srcId="{AE0015F6-7E1A-48E7-B6C0-771D31959E1F}" destId="{F36058AE-C27A-4952-AEB8-C69E065CEACD}" srcOrd="0" destOrd="0" presId="urn:microsoft.com/office/officeart/2005/8/layout/hList3"/>
    <dgm:cxn modelId="{02264B80-3C97-49D3-80CF-3C13AEA3E1DD}" srcId="{36C5CB33-15FC-4B9F-B999-32D905C66FB1}" destId="{70C73672-CF73-4B8E-AE19-C04CFC36FAA7}" srcOrd="1" destOrd="0" parTransId="{72214487-C226-4441-9A66-A543C492EF4A}" sibTransId="{9F3962D0-88B8-4180-9F1E-AA7138408B60}"/>
    <dgm:cxn modelId="{85BF52EE-174C-4AE9-97D5-5C5316CF8825}" srcId="{AE0015F6-7E1A-48E7-B6C0-771D31959E1F}" destId="{36C5CB33-15FC-4B9F-B999-32D905C66FB1}" srcOrd="0" destOrd="0" parTransId="{AB6487FC-1FC4-41B7-BA50-706A5B962FE7}" sibTransId="{71AC8452-A136-4468-B016-A08E99D9B555}"/>
    <dgm:cxn modelId="{CA55E937-A412-46BA-84E4-E10E2727004B}" type="presOf" srcId="{AEF7B322-2EAC-43CB-A35C-C3AC50701205}" destId="{0F58D3C2-E40F-4C43-A4CE-0CE49E16C603}" srcOrd="0" destOrd="0" presId="urn:microsoft.com/office/officeart/2005/8/layout/hList3"/>
    <dgm:cxn modelId="{012597F3-472B-40E2-A976-BA56952ED9B0}" type="presOf" srcId="{36C5CB33-15FC-4B9F-B999-32D905C66FB1}" destId="{714EC99D-E305-4259-87EE-6D26A58747CC}" srcOrd="0" destOrd="0" presId="urn:microsoft.com/office/officeart/2005/8/layout/hList3"/>
    <dgm:cxn modelId="{D10ED3BD-1DA4-4AD3-B291-05DE06A748EF}" type="presParOf" srcId="{F36058AE-C27A-4952-AEB8-C69E065CEACD}" destId="{714EC99D-E305-4259-87EE-6D26A58747CC}" srcOrd="0" destOrd="0" presId="urn:microsoft.com/office/officeart/2005/8/layout/hList3"/>
    <dgm:cxn modelId="{24C53375-F8A4-4A58-8E25-2E8E2AC6A804}" type="presParOf" srcId="{F36058AE-C27A-4952-AEB8-C69E065CEACD}" destId="{099DA3CE-7CB7-4756-A0DF-273147EA3AA1}" srcOrd="1" destOrd="0" presId="urn:microsoft.com/office/officeart/2005/8/layout/hList3"/>
    <dgm:cxn modelId="{2ECC1362-A4AC-418C-A886-CC6B17213391}" type="presParOf" srcId="{099DA3CE-7CB7-4756-A0DF-273147EA3AA1}" destId="{0F58D3C2-E40F-4C43-A4CE-0CE49E16C603}" srcOrd="0" destOrd="0" presId="urn:microsoft.com/office/officeart/2005/8/layout/hList3"/>
    <dgm:cxn modelId="{E83D7DFB-EE12-4B1F-89C8-EB502526A45F}" type="presParOf" srcId="{099DA3CE-7CB7-4756-A0DF-273147EA3AA1}" destId="{E0F9480C-2F98-4D96-9EC4-A5A5218A9B70}" srcOrd="1" destOrd="0" presId="urn:microsoft.com/office/officeart/2005/8/layout/hList3"/>
    <dgm:cxn modelId="{54AFAA46-6C90-4542-8407-0CEFA9C0E91A}" type="presParOf" srcId="{099DA3CE-7CB7-4756-A0DF-273147EA3AA1}" destId="{653DBB08-B81E-4FE3-82A4-416F1E3558E1}" srcOrd="2" destOrd="0" presId="urn:microsoft.com/office/officeart/2005/8/layout/hList3"/>
    <dgm:cxn modelId="{57BD38B8-C31C-443D-8B81-DDC087489AD5}" type="presParOf" srcId="{F36058AE-C27A-4952-AEB8-C69E065CEACD}" destId="{C4C61265-FCC2-4886-91A9-739CE083C0C8}" srcOrd="2" destOrd="0" presId="urn:microsoft.com/office/officeart/2005/8/layout/hList3"/>
  </dgm:cxnLst>
  <dgm:bg/>
  <dgm:whole/>
  <dgm:extLst>
    <a:ext uri="http://schemas.microsoft.com/office/drawing/2008/diagram">
      <dsp:dataModelExt xmlns:dsp="http://schemas.microsoft.com/office/drawing/2008/diagram" relId="rId175" minVer="http://schemas.openxmlformats.org/drawingml/2006/diagram"/>
    </a:ext>
  </dgm:extLst>
</dgm:dataModel>
</file>

<file path=word/diagrams/data25.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4" qsCatId="simple" csTypeId="urn:microsoft.com/office/officeart/2005/8/colors/accent1_2#25"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správy/návrhu 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/správy z kontroly na vyjadrenie prijímateľa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BA34A8F3-79B7-45AB-B876-82712E13BDFE}">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Vypracovanie čiastkovej správy/správy z kontroly</a:t>
          </a:r>
        </a:p>
      </dgm:t>
    </dgm:pt>
    <dgm:pt modelId="{34532C82-5782-4205-A38C-7FD341F166A0}" type="sibTrans" cxnId="{01E9FB96-7A09-4AA7-B160-90543C802E79}">
      <dgm:prSet/>
      <dgm:spPr/>
      <dgm:t>
        <a:bodyPr/>
        <a:lstStyle/>
        <a:p>
          <a:endParaRPr lang="sk-SK"/>
        </a:p>
      </dgm:t>
    </dgm:pt>
    <dgm:pt modelId="{71E8FB8C-0456-40DC-81EF-5A9E632A2601}" type="parTrans" cxnId="{01E9FB96-7A09-4AA7-B160-90543C802E79}">
      <dgm:prSet/>
      <dgm:spPr/>
      <dgm:t>
        <a:bodyPr/>
        <a:lstStyle/>
        <a:p>
          <a:endParaRPr lang="sk-SK"/>
        </a:p>
      </dgm:t>
    </dgm:pt>
    <dgm:pt modelId="{451C0133-7C34-4673-A100-79086FF2B5F8}">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DB30818A-CD22-48EF-88DF-C7C840862E0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a:t>
          </a:r>
        </a:p>
      </dgm:t>
    </dgm:pt>
    <dgm:pt modelId="{22460A6E-4C55-431A-85D7-EA4593617A6F}" type="parTrans" cxnId="{B59B040A-960C-428A-9183-4EA1863FAFEE}">
      <dgm:prSet/>
      <dgm:spPr/>
      <dgm:t>
        <a:bodyPr/>
        <a:lstStyle/>
        <a:p>
          <a:endParaRPr lang="sk-SK"/>
        </a:p>
      </dgm:t>
    </dgm:pt>
    <dgm:pt modelId="{7D1872E2-28EB-4475-B4F1-8B0DEBF2454F}" type="sibTrans" cxnId="{B59B040A-960C-428A-9183-4EA1863FAFEE}">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5163FF57-A550-47AC-9D7D-8D5F414861EE}" srcId="{D63FDEA1-9CCA-4C10-89C5-9B23DD5C27E6}" destId="{0C59C404-5CD6-40A4-9A11-037DC780EA23}" srcOrd="1" destOrd="0" parTransId="{ECBBDC60-43BC-48AE-BE05-BB4A8BE8DCE2}" sibTransId="{EF343850-5B10-4C10-8B73-5089318E6BDC}"/>
    <dgm:cxn modelId="{ED490B31-D9F4-410F-98F0-68D8D6C88D8D}" type="presOf" srcId="{A85439DC-475D-4A2E-B4B6-264E6C6050C6}" destId="{A1CE76BB-8109-43BF-A783-4F3F66A98A6B}" srcOrd="1" destOrd="3" presId="urn:microsoft.com/office/officeart/2005/8/layout/hProcess4"/>
    <dgm:cxn modelId="{AA1325D2-A8EB-4C13-90E1-B1CFC7FAA954}" type="presOf" srcId="{924F6A27-35D5-4175-A2CD-27850CA02E77}" destId="{A1CE76BB-8109-43BF-A783-4F3F66A98A6B}" srcOrd="1" destOrd="2" presId="urn:microsoft.com/office/officeart/2005/8/layout/hProcess4"/>
    <dgm:cxn modelId="{9CB986BE-69A0-4A7B-8023-68F3BF5DBEC0}" type="presOf" srcId="{7DE71D68-071D-489A-B18A-BF1EFC0E60FB}" destId="{582E9870-9EDA-4033-9CB5-6145ADD7293B}" srcOrd="0" destOrd="0" presId="urn:microsoft.com/office/officeart/2005/8/layout/hProcess4"/>
    <dgm:cxn modelId="{711862F6-19E0-4FBA-9902-F0174965C1A0}" type="presOf" srcId="{BA34A8F3-79B7-45AB-B876-82712E13BDFE}" destId="{CA8DC8C2-902A-4C8E-98D9-C24F3DCA2CE4}" srcOrd="0" destOrd="2" presId="urn:microsoft.com/office/officeart/2005/8/layout/hProcess4"/>
    <dgm:cxn modelId="{FC9CF442-CB97-496A-B4F9-68F282D92F30}" type="presOf" srcId="{E4B6DF32-6560-49A8-BE92-0DE9687BB739}" destId="{A1CE76BB-8109-43BF-A783-4F3F66A98A6B}" srcOrd="1" destOrd="1" presId="urn:microsoft.com/office/officeart/2005/8/layout/hProcess4"/>
    <dgm:cxn modelId="{258F1862-F793-463D-B559-B809A47484FF}" type="presOf" srcId="{DAEB701C-D9D5-437A-8FA1-1800CA4614E7}" destId="{E9A9E598-D685-45E4-8D98-9AC98B6B531E}" srcOrd="1" destOrd="0" presId="urn:microsoft.com/office/officeart/2005/8/layout/hProcess4"/>
    <dgm:cxn modelId="{D2B5C64F-E702-4E23-ACAA-294DFBDE3D4E}" type="presOf" srcId="{E5A3102E-342C-49CF-BE48-8AC6B8D4CD96}" destId="{A1CE76BB-8109-43BF-A783-4F3F66A98A6B}" srcOrd="1" destOrd="0" presId="urn:microsoft.com/office/officeart/2005/8/layout/hProcess4"/>
    <dgm:cxn modelId="{1205BD41-31C3-4528-AE20-17CD084508BE}" srcId="{7DE71D68-071D-489A-B18A-BF1EFC0E60FB}" destId="{E4B6DF32-6560-49A8-BE92-0DE9687BB739}" srcOrd="1" destOrd="0" parTransId="{8DBD48CF-C6CB-4BCC-AF12-353CB0F3A5D9}" sibTransId="{793DA379-27C1-4AB1-890E-F89A7F9AD5C7}"/>
    <dgm:cxn modelId="{ABFC0F3F-BAB1-4DB9-8AF0-3633DDF4365C}" type="presOf" srcId="{41123FA9-DD27-4D98-B416-494DE4A2D8E9}" destId="{18B80A27-057A-4402-81A4-202F53D937E2}" srcOrd="0" destOrd="0" presId="urn:microsoft.com/office/officeart/2005/8/layout/hProcess4"/>
    <dgm:cxn modelId="{439AD3A3-A7A6-454E-AFA7-E6A4F4AA2C3D}" type="presOf" srcId="{DAEB701C-D9D5-437A-8FA1-1800CA4614E7}" destId="{CA8DC8C2-902A-4C8E-98D9-C24F3DCA2CE4}"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B6B0FCBB-C22A-406E-9A92-79867B7E5233}" srcId="{855C5922-552B-47A4-A9E9-43B7550532DD}" destId="{451C0133-7C34-4673-A100-79086FF2B5F8}" srcOrd="3" destOrd="0" parTransId="{9EA5EE81-4D56-4FC6-9D69-9CC568212C8F}" sibTransId="{0D61BD1F-B4C2-4C0F-859A-6E3AC54D6729}"/>
    <dgm:cxn modelId="{F5651A9E-E3B2-491C-BA19-0A885C6AE27F}" type="presOf" srcId="{855C5922-552B-47A4-A9E9-43B7550532DD}" destId="{97DC40B2-472E-447B-93FF-434AB18F15A3}" srcOrd="0" destOrd="0" presId="urn:microsoft.com/office/officeart/2005/8/layout/hProcess4"/>
    <dgm:cxn modelId="{B38555DA-8EAA-4AF1-8544-E3DB0FD8A13C}" srcId="{7DE71D68-071D-489A-B18A-BF1EFC0E60FB}" destId="{924F6A27-35D5-4175-A2CD-27850CA02E77}" srcOrd="2" destOrd="0" parTransId="{D8772577-7AC6-43B7-AD2F-E29DE88C4F95}" sibTransId="{367C994E-D30E-4190-AD6D-3BF4BE87E8BE}"/>
    <dgm:cxn modelId="{74CE8E43-DD1E-46FA-AF14-4848AAA81D44}" srcId="{D63FDEA1-9CCA-4C10-89C5-9B23DD5C27E6}" destId="{7DE71D68-071D-489A-B18A-BF1EFC0E60FB}" srcOrd="0" destOrd="0" parTransId="{88F3562D-75EF-4165-8D8D-9584E8F6BBAD}" sibTransId="{2EF78F56-FFA6-4D0A-AB89-64627C34799E}"/>
    <dgm:cxn modelId="{B3A8CEA6-4616-4D09-A647-6D794E3698CE}" type="presOf" srcId="{451C0133-7C34-4673-A100-79086FF2B5F8}" destId="{E9A9E598-D685-45E4-8D98-9AC98B6B531E}" srcOrd="1" destOrd="3" presId="urn:microsoft.com/office/officeart/2005/8/layout/hProcess4"/>
    <dgm:cxn modelId="{72D32CC3-4C2E-41B7-8A3C-4B66EBABD88B}" type="presOf" srcId="{D63FDEA1-9CCA-4C10-89C5-9B23DD5C27E6}" destId="{5E7B7702-5F62-4DE8-B040-E86BBFBCB15F}" srcOrd="0" destOrd="0" presId="urn:microsoft.com/office/officeart/2005/8/layout/hProcess4"/>
    <dgm:cxn modelId="{4EE6C8CE-11F0-4C26-98FE-3053A3C2DAF2}" type="presOf" srcId="{4296B877-9E1B-4B3F-B675-2B9CD1F7C56B}" destId="{85101C14-1AA3-4160-B3DB-B17859AE5781}" srcOrd="1" destOrd="1" presId="urn:microsoft.com/office/officeart/2005/8/layout/hProcess4"/>
    <dgm:cxn modelId="{FDE0F120-AFBB-44A4-81C7-2AF54460EAFB}" type="presOf" srcId="{A85439DC-475D-4A2E-B4B6-264E6C6050C6}" destId="{E9EFFA70-AC37-4F00-9C3A-C033D060B362}" srcOrd="0" destOrd="3"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E035DAA9-2B74-4A7D-A9F3-80E12A6907C1}" srcId="{D63FDEA1-9CCA-4C10-89C5-9B23DD5C27E6}" destId="{855C5922-552B-47A4-A9E9-43B7550532DD}" srcOrd="2" destOrd="0" parTransId="{1209FC62-5D40-4DDE-A07F-4AB6B4CF9BEA}" sibTransId="{559AF16A-0A70-47AF-A0FD-D04032FA0B00}"/>
    <dgm:cxn modelId="{D66683E1-AE21-4882-84CF-8E998765B334}" type="presOf" srcId="{DB30818A-CD22-48EF-88DF-C7C840862E07}" destId="{CA8DC8C2-902A-4C8E-98D9-C24F3DCA2CE4}" srcOrd="0" destOrd="1" presId="urn:microsoft.com/office/officeart/2005/8/layout/hProcess4"/>
    <dgm:cxn modelId="{3BBBF670-1272-44D0-8A26-BCF4B8410A88}" type="presOf" srcId="{DB30818A-CD22-48EF-88DF-C7C840862E07}" destId="{E9A9E598-D685-45E4-8D98-9AC98B6B531E}" srcOrd="1" destOrd="1" presId="urn:microsoft.com/office/officeart/2005/8/layout/hProcess4"/>
    <dgm:cxn modelId="{15A912B2-0678-4840-BE72-494BD3977505}" type="presOf" srcId="{0C59C404-5CD6-40A4-9A11-037DC780EA23}" destId="{C5C2BB8A-B954-4CE1-B001-F226211D90EB}" srcOrd="0" destOrd="0" presId="urn:microsoft.com/office/officeart/2005/8/layout/hProcess4"/>
    <dgm:cxn modelId="{D48684D1-5B86-4525-92DA-086570B05E18}" type="presOf" srcId="{EF343850-5B10-4C10-8B73-5089318E6BDC}" destId="{0D8EEC67-CFCB-4E03-A953-611E63CC3E69}" srcOrd="0" destOrd="0" presId="urn:microsoft.com/office/officeart/2005/8/layout/hProcess4"/>
    <dgm:cxn modelId="{7E24FFCC-0CB5-47CB-9791-A1D5418E5DE4}" type="presOf" srcId="{E4B6DF32-6560-49A8-BE92-0DE9687BB739}" destId="{E9EFFA70-AC37-4F00-9C3A-C033D060B362}" srcOrd="0" destOrd="1" presId="urn:microsoft.com/office/officeart/2005/8/layout/hProcess4"/>
    <dgm:cxn modelId="{01E9FB96-7A09-4AA7-B160-90543C802E79}" srcId="{855C5922-552B-47A4-A9E9-43B7550532DD}" destId="{BA34A8F3-79B7-45AB-B876-82712E13BDFE}" srcOrd="2" destOrd="0" parTransId="{71E8FB8C-0456-40DC-81EF-5A9E632A2601}" sibTransId="{34532C82-5782-4205-A38C-7FD341F166A0}"/>
    <dgm:cxn modelId="{A05BAFA2-32CE-4298-BB92-FEEE090ECF22}" type="presOf" srcId="{451C0133-7C34-4673-A100-79086FF2B5F8}" destId="{CA8DC8C2-902A-4C8E-98D9-C24F3DCA2CE4}" srcOrd="0" destOrd="3"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F20BF207-E5E0-49E1-B13E-DB2A3B5827BE}" type="presOf" srcId="{BA34A8F3-79B7-45AB-B876-82712E13BDFE}" destId="{E9A9E598-D685-45E4-8D98-9AC98B6B531E}" srcOrd="1" destOrd="2" presId="urn:microsoft.com/office/officeart/2005/8/layout/hProcess4"/>
    <dgm:cxn modelId="{7E4119D8-CD51-4E7C-80E4-551E4311415E}" type="presOf" srcId="{41123FA9-DD27-4D98-B416-494DE4A2D8E9}" destId="{85101C14-1AA3-4160-B3DB-B17859AE5781}" srcOrd="1" destOrd="0"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9925D86E-340D-4B0A-B9AC-7FFC18663D30}" type="presOf" srcId="{2EF78F56-FFA6-4D0A-AB89-64627C34799E}" destId="{BF542D47-0F73-4C39-AECB-6392B969BEE2}" srcOrd="0" destOrd="0" presId="urn:microsoft.com/office/officeart/2005/8/layout/hProcess4"/>
    <dgm:cxn modelId="{AAFA4B4C-F1E7-44C9-B46A-E31D5636F285}" type="presOf" srcId="{E5A3102E-342C-49CF-BE48-8AC6B8D4CD96}" destId="{E9EFFA70-AC37-4F00-9C3A-C033D060B362}" srcOrd="0" destOrd="0" presId="urn:microsoft.com/office/officeart/2005/8/layout/hProcess4"/>
    <dgm:cxn modelId="{2E93AB72-86BB-4C50-A86A-057D61B8506C}" type="presOf" srcId="{924F6A27-35D5-4175-A2CD-27850CA02E77}" destId="{E9EFFA70-AC37-4F00-9C3A-C033D060B362}" srcOrd="0" destOrd="2" presId="urn:microsoft.com/office/officeart/2005/8/layout/hProcess4"/>
    <dgm:cxn modelId="{6EE00E0C-2184-43B3-AA72-2ADF2F2655C4}" type="presOf" srcId="{4296B877-9E1B-4B3F-B675-2B9CD1F7C56B}" destId="{18B80A27-057A-4402-81A4-202F53D937E2}" srcOrd="0" destOrd="1" presId="urn:microsoft.com/office/officeart/2005/8/layout/hProcess4"/>
    <dgm:cxn modelId="{B59B040A-960C-428A-9183-4EA1863FAFEE}" srcId="{855C5922-552B-47A4-A9E9-43B7550532DD}" destId="{DB30818A-CD22-48EF-88DF-C7C840862E07}" srcOrd="1" destOrd="0" parTransId="{22460A6E-4C55-431A-85D7-EA4593617A6F}" sibTransId="{7D1872E2-28EB-4475-B4F1-8B0DEBF2454F}"/>
    <dgm:cxn modelId="{1AD5E7CA-FB9A-46DC-B238-90993CB5DBED}" srcId="{7DE71D68-071D-489A-B18A-BF1EFC0E60FB}" destId="{A85439DC-475D-4A2E-B4B6-264E6C6050C6}" srcOrd="3" destOrd="0" parTransId="{D7960B13-C8DB-4604-AC98-FC30C6C04C34}" sibTransId="{10787728-5989-4234-AF20-568464E0549B}"/>
    <dgm:cxn modelId="{C575F1A6-B653-44CF-94D6-8C9EF6B851FE}" type="presParOf" srcId="{5E7B7702-5F62-4DE8-B040-E86BBFBCB15F}" destId="{92F0EDAC-4066-443D-A52F-FB7190865796}" srcOrd="0" destOrd="0" presId="urn:microsoft.com/office/officeart/2005/8/layout/hProcess4"/>
    <dgm:cxn modelId="{30CDD38E-8169-45E3-A1D7-A967F1CD26A0}" type="presParOf" srcId="{5E7B7702-5F62-4DE8-B040-E86BBFBCB15F}" destId="{51597F9A-10EA-4B87-9FDE-3543F9863C23}" srcOrd="1" destOrd="0" presId="urn:microsoft.com/office/officeart/2005/8/layout/hProcess4"/>
    <dgm:cxn modelId="{400DCE67-7396-4DFB-A309-A6FDDE64AF6E}" type="presParOf" srcId="{5E7B7702-5F62-4DE8-B040-E86BBFBCB15F}" destId="{CDB428F8-DF21-4827-8153-4A1435701C4B}" srcOrd="2" destOrd="0" presId="urn:microsoft.com/office/officeart/2005/8/layout/hProcess4"/>
    <dgm:cxn modelId="{60E51CA3-06A2-40A0-81BF-FE06AE590AB9}" type="presParOf" srcId="{CDB428F8-DF21-4827-8153-4A1435701C4B}" destId="{7F608B39-B888-4B5A-8D54-57A0AE0CCEAA}" srcOrd="0" destOrd="0" presId="urn:microsoft.com/office/officeart/2005/8/layout/hProcess4"/>
    <dgm:cxn modelId="{0CD4A04D-08A5-4190-AED6-1BBBC26990C5}" type="presParOf" srcId="{7F608B39-B888-4B5A-8D54-57A0AE0CCEAA}" destId="{6B7A6191-CFFE-4E86-85BA-19C0353B79AA}" srcOrd="0" destOrd="0" presId="urn:microsoft.com/office/officeart/2005/8/layout/hProcess4"/>
    <dgm:cxn modelId="{A7EABD11-FE66-4A8B-BC31-A677E261564C}" type="presParOf" srcId="{7F608B39-B888-4B5A-8D54-57A0AE0CCEAA}" destId="{E9EFFA70-AC37-4F00-9C3A-C033D060B362}" srcOrd="1" destOrd="0" presId="urn:microsoft.com/office/officeart/2005/8/layout/hProcess4"/>
    <dgm:cxn modelId="{F0C93578-1169-44FF-907B-670D83AB3F4D}" type="presParOf" srcId="{7F608B39-B888-4B5A-8D54-57A0AE0CCEAA}" destId="{A1CE76BB-8109-43BF-A783-4F3F66A98A6B}" srcOrd="2" destOrd="0" presId="urn:microsoft.com/office/officeart/2005/8/layout/hProcess4"/>
    <dgm:cxn modelId="{7BA04741-E2AA-4CDD-9D31-2F7D29632BEB}" type="presParOf" srcId="{7F608B39-B888-4B5A-8D54-57A0AE0CCEAA}" destId="{582E9870-9EDA-4033-9CB5-6145ADD7293B}" srcOrd="3" destOrd="0" presId="urn:microsoft.com/office/officeart/2005/8/layout/hProcess4"/>
    <dgm:cxn modelId="{56B545A2-1047-4FCE-A742-1E75EBA9C4CF}" type="presParOf" srcId="{7F608B39-B888-4B5A-8D54-57A0AE0CCEAA}" destId="{E8EEBF08-7CF5-40A2-8416-972102A6159D}" srcOrd="4" destOrd="0" presId="urn:microsoft.com/office/officeart/2005/8/layout/hProcess4"/>
    <dgm:cxn modelId="{8578D16A-589F-49A8-9205-79BA0ECC3B50}" type="presParOf" srcId="{CDB428F8-DF21-4827-8153-4A1435701C4B}" destId="{BF542D47-0F73-4C39-AECB-6392B969BEE2}" srcOrd="1" destOrd="0" presId="urn:microsoft.com/office/officeart/2005/8/layout/hProcess4"/>
    <dgm:cxn modelId="{C96C662B-44EA-456B-BA02-6C5AC9C1C94A}" type="presParOf" srcId="{CDB428F8-DF21-4827-8153-4A1435701C4B}" destId="{23416E9C-8032-4BEB-95BC-4E55B284DAFA}" srcOrd="2" destOrd="0" presId="urn:microsoft.com/office/officeart/2005/8/layout/hProcess4"/>
    <dgm:cxn modelId="{A5C30396-FE86-4C15-A8F0-FDD166E3CC6F}" type="presParOf" srcId="{23416E9C-8032-4BEB-95BC-4E55B284DAFA}" destId="{793AE636-C282-403C-A614-A1555F53E53D}" srcOrd="0" destOrd="0" presId="urn:microsoft.com/office/officeart/2005/8/layout/hProcess4"/>
    <dgm:cxn modelId="{633F5DC8-1F29-4A04-90C0-2267D99E0ACB}" type="presParOf" srcId="{23416E9C-8032-4BEB-95BC-4E55B284DAFA}" destId="{18B80A27-057A-4402-81A4-202F53D937E2}" srcOrd="1" destOrd="0" presId="urn:microsoft.com/office/officeart/2005/8/layout/hProcess4"/>
    <dgm:cxn modelId="{7966FC6C-C60A-4917-92FB-E48F9E0A4E95}" type="presParOf" srcId="{23416E9C-8032-4BEB-95BC-4E55B284DAFA}" destId="{85101C14-1AA3-4160-B3DB-B17859AE5781}" srcOrd="2" destOrd="0" presId="urn:microsoft.com/office/officeart/2005/8/layout/hProcess4"/>
    <dgm:cxn modelId="{651D3C73-71B8-4914-AE65-B30105C76D30}" type="presParOf" srcId="{23416E9C-8032-4BEB-95BC-4E55B284DAFA}" destId="{C5C2BB8A-B954-4CE1-B001-F226211D90EB}" srcOrd="3" destOrd="0" presId="urn:microsoft.com/office/officeart/2005/8/layout/hProcess4"/>
    <dgm:cxn modelId="{A0E57698-AD55-408B-B06C-384690315897}" type="presParOf" srcId="{23416E9C-8032-4BEB-95BC-4E55B284DAFA}" destId="{460F609C-AF12-4DFA-B20B-724DF3FF7AE5}" srcOrd="4" destOrd="0" presId="urn:microsoft.com/office/officeart/2005/8/layout/hProcess4"/>
    <dgm:cxn modelId="{4F048DCE-1829-4A25-AFF7-8C166EF4DB1F}" type="presParOf" srcId="{CDB428F8-DF21-4827-8153-4A1435701C4B}" destId="{0D8EEC67-CFCB-4E03-A953-611E63CC3E69}" srcOrd="3" destOrd="0" presId="urn:microsoft.com/office/officeart/2005/8/layout/hProcess4"/>
    <dgm:cxn modelId="{A5A57C67-C656-4576-9B14-E985A22E2AD2}" type="presParOf" srcId="{CDB428F8-DF21-4827-8153-4A1435701C4B}" destId="{C3CD700C-D343-49FB-A2B0-F8A00136FA2B}" srcOrd="4" destOrd="0" presId="urn:microsoft.com/office/officeart/2005/8/layout/hProcess4"/>
    <dgm:cxn modelId="{C91FA338-71D4-42A6-9DC7-BC9295C3F728}" type="presParOf" srcId="{C3CD700C-D343-49FB-A2B0-F8A00136FA2B}" destId="{6BCC6CEA-7739-4153-B75D-1BD30B35634B}" srcOrd="0" destOrd="0" presId="urn:microsoft.com/office/officeart/2005/8/layout/hProcess4"/>
    <dgm:cxn modelId="{47140701-8939-4A74-839C-D6649D1065DB}" type="presParOf" srcId="{C3CD700C-D343-49FB-A2B0-F8A00136FA2B}" destId="{CA8DC8C2-902A-4C8E-98D9-C24F3DCA2CE4}" srcOrd="1" destOrd="0" presId="urn:microsoft.com/office/officeart/2005/8/layout/hProcess4"/>
    <dgm:cxn modelId="{2EAB9AB8-A6D5-4223-AAD8-6B49866A40A7}" type="presParOf" srcId="{C3CD700C-D343-49FB-A2B0-F8A00136FA2B}" destId="{E9A9E598-D685-45E4-8D98-9AC98B6B531E}" srcOrd="2" destOrd="0" presId="urn:microsoft.com/office/officeart/2005/8/layout/hProcess4"/>
    <dgm:cxn modelId="{5D3DCB50-24B8-4201-9A68-E2AFA33FCF12}" type="presParOf" srcId="{C3CD700C-D343-49FB-A2B0-F8A00136FA2B}" destId="{97DC40B2-472E-447B-93FF-434AB18F15A3}" srcOrd="3" destOrd="0" presId="urn:microsoft.com/office/officeart/2005/8/layout/hProcess4"/>
    <dgm:cxn modelId="{59A4B3BC-1075-45CA-B9A5-C18501D502AF}"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0" minVer="http://schemas.openxmlformats.org/drawingml/2006/diagram"/>
    </a:ext>
  </dgm:extLst>
</dgm:dataModel>
</file>

<file path=word/diagrams/data26.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5" qsCatId="simple" csTypeId="urn:microsoft.com/office/officeart/2005/8/colors/accent1_2#26"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KnM</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KnM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B1F84B60-8067-4949-B845-03B7A07BA9D6}" type="parTrans" cxnId="{3D424244-79D0-4B8E-A235-B87812C478FF}">
      <dgm:prSet/>
      <dgm:spPr/>
      <dgm:t>
        <a:bodyPr/>
        <a:lstStyle/>
        <a:p>
          <a:endParaRPr lang="sk-SK"/>
        </a:p>
      </dgm:t>
    </dgm:pt>
    <dgm:pt modelId="{1C581760-85E0-48B6-9ED0-7BFD97845763}" type="sibTrans" cxnId="{3D424244-79D0-4B8E-A235-B87812C478FF}">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správy/správy z kontroly prijímateľovi  </a:t>
          </a:r>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61402406-6105-461E-B2C5-2BD2B7259335}" type="presOf" srcId="{EF343850-5B10-4C10-8B73-5089318E6BDC}" destId="{0D8EEC67-CFCB-4E03-A953-611E63CC3E69}"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8A92A1D1-BFA8-4D07-BA98-24A0A0A5D5E1}" srcId="{855C5922-552B-47A4-A9E9-43B7550532DD}" destId="{DAEB701C-D9D5-437A-8FA1-1800CA4614E7}" srcOrd="0" destOrd="0" parTransId="{CB32E3B6-05FC-421C-AB36-880695BFC80A}" sibTransId="{5BC0317E-DE73-48CF-8B14-54A61367E36E}"/>
    <dgm:cxn modelId="{AD386215-2DE0-42AF-B074-95177D93F269}" type="presOf" srcId="{D63FDEA1-9CCA-4C10-89C5-9B23DD5C27E6}" destId="{5E7B7702-5F62-4DE8-B040-E86BBFBCB15F}" srcOrd="0" destOrd="0" presId="urn:microsoft.com/office/officeart/2005/8/layout/hProcess4"/>
    <dgm:cxn modelId="{3E0ADA4B-874A-472F-B727-4600D3A28374}" type="presOf" srcId="{2EF78F56-FFA6-4D0A-AB89-64627C34799E}" destId="{BF542D47-0F73-4C39-AECB-6392B969BEE2}" srcOrd="0" destOrd="0" presId="urn:microsoft.com/office/officeart/2005/8/layout/hProcess4"/>
    <dgm:cxn modelId="{7C49EDC5-1BD4-4396-9261-FA0843FC69E9}" type="presOf" srcId="{DAEB701C-D9D5-437A-8FA1-1800CA4614E7}" destId="{CA8DC8C2-902A-4C8E-98D9-C24F3DCA2CE4}" srcOrd="0" destOrd="0" presId="urn:microsoft.com/office/officeart/2005/8/layout/hProcess4"/>
    <dgm:cxn modelId="{AD28CFAF-DFD4-4356-A4EA-88B7E88A997E}" srcId="{0C59C404-5CD6-40A4-9A11-037DC780EA23}" destId="{0A0F5628-AAF8-405F-B81B-27AF1550C23D}" srcOrd="1" destOrd="0" parTransId="{919FB93E-6398-43A4-8BC1-4F5DB863A5D0}" sibTransId="{214C6BD5-EA2C-455C-9B19-B85B40D60DDC}"/>
    <dgm:cxn modelId="{85FFD111-0454-4658-923B-1B78E9BDE7DC}" type="presOf" srcId="{855C5922-552B-47A4-A9E9-43B7550532DD}" destId="{97DC40B2-472E-447B-93FF-434AB18F15A3}" srcOrd="0" destOrd="0" presId="urn:microsoft.com/office/officeart/2005/8/layout/hProcess4"/>
    <dgm:cxn modelId="{757E3F01-7083-4F36-9F8A-A1A96C0619E5}" type="presOf" srcId="{0A0F5628-AAF8-405F-B81B-27AF1550C23D}" destId="{85101C14-1AA3-4160-B3DB-B17859AE5781}" srcOrd="1" destOrd="1" presId="urn:microsoft.com/office/officeart/2005/8/layout/hProcess4"/>
    <dgm:cxn modelId="{5364670E-2945-484C-B218-CFD2E8C4705D}" type="presOf" srcId="{41123FA9-DD27-4D98-B416-494DE4A2D8E9}" destId="{85101C14-1AA3-4160-B3DB-B17859AE5781}" srcOrd="1" destOrd="0" presId="urn:microsoft.com/office/officeart/2005/8/layout/hProcess4"/>
    <dgm:cxn modelId="{24751E89-67B1-4AAB-B025-7EC274E61303}" type="presOf" srcId="{D34C4817-0101-420E-8C4E-19C90BD75778}" destId="{E9A9E598-D685-45E4-8D98-9AC98B6B531E}" srcOrd="1" destOrd="1" presId="urn:microsoft.com/office/officeart/2005/8/layout/hProcess4"/>
    <dgm:cxn modelId="{E3476184-A7EF-45F8-8547-1B21300408D8}" type="presOf" srcId="{00E34707-C1A6-46DA-9CDE-E577B858905A}" destId="{CA8DC8C2-902A-4C8E-98D9-C24F3DCA2CE4}" srcOrd="0" destOrd="3" presId="urn:microsoft.com/office/officeart/2005/8/layout/hProcess4"/>
    <dgm:cxn modelId="{B8D39CFC-5376-4572-B88E-FF8E03CC2948}" type="presOf" srcId="{E4B6DF32-6560-49A8-BE92-0DE9687BB739}" destId="{E9EFFA70-AC37-4F00-9C3A-C033D060B362}" srcOrd="0" destOrd="2" presId="urn:microsoft.com/office/officeart/2005/8/layout/hProcess4"/>
    <dgm:cxn modelId="{C4727D0A-E672-4474-A91B-3D04B2A6727B}" type="presOf" srcId="{41123FA9-DD27-4D98-B416-494DE4A2D8E9}" destId="{18B80A27-057A-4402-81A4-202F53D937E2}" srcOrd="0" destOrd="0" presId="urn:microsoft.com/office/officeart/2005/8/layout/hProcess4"/>
    <dgm:cxn modelId="{C532E44F-671C-4CCC-8B55-3D166614B45B}" type="presOf" srcId="{7DE71D68-071D-489A-B18A-BF1EFC0E60FB}" destId="{582E9870-9EDA-4033-9CB5-6145ADD7293B}" srcOrd="0" destOrd="0" presId="urn:microsoft.com/office/officeart/2005/8/layout/hProcess4"/>
    <dgm:cxn modelId="{E3503C32-494B-440A-AD41-A0A887798ED4}" srcId="{855C5922-552B-47A4-A9E9-43B7550532DD}" destId="{00E34707-C1A6-46DA-9CDE-E577B858905A}" srcOrd="3" destOrd="0" parTransId="{DB7913D9-D3AC-400C-B82B-06DAC2B1C9C1}" sibTransId="{32F4F306-7DD3-4D92-BB57-0C85023C5F5F}"/>
    <dgm:cxn modelId="{FC1214EE-90F5-4217-A0CD-331379192D54}" type="presOf" srcId="{DAEB701C-D9D5-437A-8FA1-1800CA4614E7}" destId="{E9A9E598-D685-45E4-8D98-9AC98B6B531E}" srcOrd="1" destOrd="0" presId="urn:microsoft.com/office/officeart/2005/8/layout/hProcess4"/>
    <dgm:cxn modelId="{ED0E9AC0-BE2C-4107-83C9-AE795D3499F3}" type="presOf" srcId="{71927461-3D5C-4449-9CE0-AA212BB8B146}" destId="{CA8DC8C2-902A-4C8E-98D9-C24F3DCA2CE4}" srcOrd="0" destOrd="2"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997478CF-576E-4FB6-9C0C-19E98E7E8AE0}" type="presOf" srcId="{2449D290-B413-4AE2-AC6E-05309F3979C5}" destId="{A1CE76BB-8109-43BF-A783-4F3F66A98A6B}" srcOrd="1" destOrd="1"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01ADCECA-DBFD-4506-8834-F4694FEA7CF1}" srcId="{855C5922-552B-47A4-A9E9-43B7550532DD}" destId="{71927461-3D5C-4449-9CE0-AA212BB8B146}" srcOrd="2" destOrd="0" parTransId="{AF52F99A-9AA9-46EF-A561-5CACCCA4C8E6}" sibTransId="{A6B4761F-6B87-49B0-807C-96A4A2B5614F}"/>
    <dgm:cxn modelId="{20E6190A-2A4E-4D63-BB17-A510333DFD04}" srcId="{855C5922-552B-47A4-A9E9-43B7550532DD}" destId="{D34C4817-0101-420E-8C4E-19C90BD75778}" srcOrd="1" destOrd="0" parTransId="{605CF068-811C-4A9C-8CCA-1EE2FF4B0746}" sibTransId="{9D3E4A74-19E4-4BE1-B093-D20587BE22EB}"/>
    <dgm:cxn modelId="{3D424244-79D0-4B8E-A235-B87812C478FF}" srcId="{7DE71D68-071D-489A-B18A-BF1EFC0E60FB}" destId="{DE6DF93F-CDEA-43DE-AA7F-36AAE23C578B}" srcOrd="3" destOrd="0" parTransId="{B1F84B60-8067-4949-B845-03B7A07BA9D6}" sibTransId="{1C581760-85E0-48B6-9ED0-7BFD97845763}"/>
    <dgm:cxn modelId="{8F98E5FE-32A9-4EAA-9F04-E66FCDD5646D}" type="presOf" srcId="{D34C4817-0101-420E-8C4E-19C90BD75778}" destId="{CA8DC8C2-902A-4C8E-98D9-C24F3DCA2CE4}" srcOrd="0" destOrd="1" presId="urn:microsoft.com/office/officeart/2005/8/layout/hProcess4"/>
    <dgm:cxn modelId="{AC5F0850-F9D1-47AD-805E-C305D960898E}" type="presOf" srcId="{2449D290-B413-4AE2-AC6E-05309F3979C5}" destId="{E9EFFA70-AC37-4F00-9C3A-C033D060B362}" srcOrd="0" destOrd="1" presId="urn:microsoft.com/office/officeart/2005/8/layout/hProcess4"/>
    <dgm:cxn modelId="{9E3EC7BF-AB92-4396-B998-FAC3060DAF50}" type="presOf" srcId="{00E34707-C1A6-46DA-9CDE-E577B858905A}" destId="{E9A9E598-D685-45E4-8D98-9AC98B6B531E}" srcOrd="1" destOrd="3"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0782A1AC-3593-475E-B96D-81FF43950592}" srcId="{7DE71D68-071D-489A-B18A-BF1EFC0E60FB}" destId="{2449D290-B413-4AE2-AC6E-05309F3979C5}" srcOrd="1" destOrd="0" parTransId="{B9B4DBF2-EBC1-40F9-BF95-0FDD55272BD3}" sibTransId="{ED517E8E-7016-4282-8B90-6642F9C36FF9}"/>
    <dgm:cxn modelId="{1FC62263-5FD5-41C7-B375-EEBCF833E276}" type="presOf" srcId="{71927461-3D5C-4449-9CE0-AA212BB8B146}" destId="{E9A9E598-D685-45E4-8D98-9AC98B6B531E}" srcOrd="1" destOrd="2" presId="urn:microsoft.com/office/officeart/2005/8/layout/hProcess4"/>
    <dgm:cxn modelId="{D067D539-DA51-4BFD-9CC7-C4DA4494D270}" type="presOf" srcId="{0A0F5628-AAF8-405F-B81B-27AF1550C23D}" destId="{18B80A27-057A-4402-81A4-202F53D937E2}" srcOrd="0" destOrd="1"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998A5408-4996-4903-B43B-8E5139C51516}" type="presOf" srcId="{0C59C404-5CD6-40A4-9A11-037DC780EA23}" destId="{C5C2BB8A-B954-4CE1-B001-F226211D90EB}" srcOrd="0" destOrd="0" presId="urn:microsoft.com/office/officeart/2005/8/layout/hProcess4"/>
    <dgm:cxn modelId="{3A856E96-B6A9-4E93-9E14-41D3ECE48AEE}" type="presOf" srcId="{E5A3102E-342C-49CF-BE48-8AC6B8D4CD96}" destId="{E9EFFA70-AC37-4F00-9C3A-C033D060B362}" srcOrd="0" destOrd="0" presId="urn:microsoft.com/office/officeart/2005/8/layout/hProcess4"/>
    <dgm:cxn modelId="{35906DED-9B0D-48A2-9C51-0431EFA14A28}" type="presOf" srcId="{E5A3102E-342C-49CF-BE48-8AC6B8D4CD96}" destId="{A1CE76BB-8109-43BF-A783-4F3F66A98A6B}" srcOrd="1" destOrd="0" presId="urn:microsoft.com/office/officeart/2005/8/layout/hProcess4"/>
    <dgm:cxn modelId="{BC7BA349-86E6-45E8-A1D2-927FD650392F}" type="presOf" srcId="{DE6DF93F-CDEA-43DE-AA7F-36AAE23C578B}" destId="{E9EFFA70-AC37-4F00-9C3A-C033D060B362}" srcOrd="0" destOrd="3"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7B096029-D8FF-4702-903D-AA3635261555}" type="presOf" srcId="{DE6DF93F-CDEA-43DE-AA7F-36AAE23C578B}" destId="{A1CE76BB-8109-43BF-A783-4F3F66A98A6B}" srcOrd="1" destOrd="3" presId="urn:microsoft.com/office/officeart/2005/8/layout/hProcess4"/>
    <dgm:cxn modelId="{72F68BCE-6C22-4257-B96B-C8AC9CAEDA89}" type="presOf" srcId="{E4B6DF32-6560-49A8-BE92-0DE9687BB739}" destId="{A1CE76BB-8109-43BF-A783-4F3F66A98A6B}" srcOrd="1" destOrd="2" presId="urn:microsoft.com/office/officeart/2005/8/layout/hProcess4"/>
    <dgm:cxn modelId="{C8462564-0594-41AF-88A2-FEF3402DAD71}" type="presParOf" srcId="{5E7B7702-5F62-4DE8-B040-E86BBFBCB15F}" destId="{92F0EDAC-4066-443D-A52F-FB7190865796}" srcOrd="0" destOrd="0" presId="urn:microsoft.com/office/officeart/2005/8/layout/hProcess4"/>
    <dgm:cxn modelId="{A398DB31-2D41-4A08-8188-A6483B1ACBB6}" type="presParOf" srcId="{5E7B7702-5F62-4DE8-B040-E86BBFBCB15F}" destId="{51597F9A-10EA-4B87-9FDE-3543F9863C23}" srcOrd="1" destOrd="0" presId="urn:microsoft.com/office/officeart/2005/8/layout/hProcess4"/>
    <dgm:cxn modelId="{AD76438D-0AA7-4210-9B80-65164DF93A96}" type="presParOf" srcId="{5E7B7702-5F62-4DE8-B040-E86BBFBCB15F}" destId="{CDB428F8-DF21-4827-8153-4A1435701C4B}" srcOrd="2" destOrd="0" presId="urn:microsoft.com/office/officeart/2005/8/layout/hProcess4"/>
    <dgm:cxn modelId="{E9DCAA2C-5C05-4F0D-B7C2-557721D3776A}" type="presParOf" srcId="{CDB428F8-DF21-4827-8153-4A1435701C4B}" destId="{7F608B39-B888-4B5A-8D54-57A0AE0CCEAA}" srcOrd="0" destOrd="0" presId="urn:microsoft.com/office/officeart/2005/8/layout/hProcess4"/>
    <dgm:cxn modelId="{4039B913-FA93-4BB6-AE2B-A974207418E0}" type="presParOf" srcId="{7F608B39-B888-4B5A-8D54-57A0AE0CCEAA}" destId="{6B7A6191-CFFE-4E86-85BA-19C0353B79AA}" srcOrd="0" destOrd="0" presId="urn:microsoft.com/office/officeart/2005/8/layout/hProcess4"/>
    <dgm:cxn modelId="{863C09DA-9418-40D4-A5A9-BBE7C51B3422}" type="presParOf" srcId="{7F608B39-B888-4B5A-8D54-57A0AE0CCEAA}" destId="{E9EFFA70-AC37-4F00-9C3A-C033D060B362}" srcOrd="1" destOrd="0" presId="urn:microsoft.com/office/officeart/2005/8/layout/hProcess4"/>
    <dgm:cxn modelId="{B50A3E19-A6A5-4C8F-AE4A-0D574B88D23F}" type="presParOf" srcId="{7F608B39-B888-4B5A-8D54-57A0AE0CCEAA}" destId="{A1CE76BB-8109-43BF-A783-4F3F66A98A6B}" srcOrd="2" destOrd="0" presId="urn:microsoft.com/office/officeart/2005/8/layout/hProcess4"/>
    <dgm:cxn modelId="{D9AA7103-AA18-428E-9802-997431518AAF}" type="presParOf" srcId="{7F608B39-B888-4B5A-8D54-57A0AE0CCEAA}" destId="{582E9870-9EDA-4033-9CB5-6145ADD7293B}" srcOrd="3" destOrd="0" presId="urn:microsoft.com/office/officeart/2005/8/layout/hProcess4"/>
    <dgm:cxn modelId="{63C311A8-A727-4676-AE02-2926522803B4}" type="presParOf" srcId="{7F608B39-B888-4B5A-8D54-57A0AE0CCEAA}" destId="{E8EEBF08-7CF5-40A2-8416-972102A6159D}" srcOrd="4" destOrd="0" presId="urn:microsoft.com/office/officeart/2005/8/layout/hProcess4"/>
    <dgm:cxn modelId="{99956CDD-408C-41BD-920D-BAB6655945DA}" type="presParOf" srcId="{CDB428F8-DF21-4827-8153-4A1435701C4B}" destId="{BF542D47-0F73-4C39-AECB-6392B969BEE2}" srcOrd="1" destOrd="0" presId="urn:microsoft.com/office/officeart/2005/8/layout/hProcess4"/>
    <dgm:cxn modelId="{BC5CE091-F4D4-4BC7-9AFF-37ABDD54C921}" type="presParOf" srcId="{CDB428F8-DF21-4827-8153-4A1435701C4B}" destId="{23416E9C-8032-4BEB-95BC-4E55B284DAFA}" srcOrd="2" destOrd="0" presId="urn:microsoft.com/office/officeart/2005/8/layout/hProcess4"/>
    <dgm:cxn modelId="{86C18B50-5D98-425D-9933-633C9CF9827C}" type="presParOf" srcId="{23416E9C-8032-4BEB-95BC-4E55B284DAFA}" destId="{793AE636-C282-403C-A614-A1555F53E53D}" srcOrd="0" destOrd="0" presId="urn:microsoft.com/office/officeart/2005/8/layout/hProcess4"/>
    <dgm:cxn modelId="{9532FE1A-484E-4971-BF37-199165FE3527}" type="presParOf" srcId="{23416E9C-8032-4BEB-95BC-4E55B284DAFA}" destId="{18B80A27-057A-4402-81A4-202F53D937E2}" srcOrd="1" destOrd="0" presId="urn:microsoft.com/office/officeart/2005/8/layout/hProcess4"/>
    <dgm:cxn modelId="{72238A9B-1F59-4CD7-A959-439007324549}" type="presParOf" srcId="{23416E9C-8032-4BEB-95BC-4E55B284DAFA}" destId="{85101C14-1AA3-4160-B3DB-B17859AE5781}" srcOrd="2" destOrd="0" presId="urn:microsoft.com/office/officeart/2005/8/layout/hProcess4"/>
    <dgm:cxn modelId="{65B5CEC1-CA10-420E-9909-0C5FE441EB77}" type="presParOf" srcId="{23416E9C-8032-4BEB-95BC-4E55B284DAFA}" destId="{C5C2BB8A-B954-4CE1-B001-F226211D90EB}" srcOrd="3" destOrd="0" presId="urn:microsoft.com/office/officeart/2005/8/layout/hProcess4"/>
    <dgm:cxn modelId="{BD39991C-B9CA-407E-AC59-973A85A96302}" type="presParOf" srcId="{23416E9C-8032-4BEB-95BC-4E55B284DAFA}" destId="{460F609C-AF12-4DFA-B20B-724DF3FF7AE5}" srcOrd="4" destOrd="0" presId="urn:microsoft.com/office/officeart/2005/8/layout/hProcess4"/>
    <dgm:cxn modelId="{AC3D05B4-21C4-4AAA-AAEF-5BD8991B6114}" type="presParOf" srcId="{CDB428F8-DF21-4827-8153-4A1435701C4B}" destId="{0D8EEC67-CFCB-4E03-A953-611E63CC3E69}" srcOrd="3" destOrd="0" presId="urn:microsoft.com/office/officeart/2005/8/layout/hProcess4"/>
    <dgm:cxn modelId="{A12FEDD3-D22F-4BA7-8918-68C06100ECC0}" type="presParOf" srcId="{CDB428F8-DF21-4827-8153-4A1435701C4B}" destId="{C3CD700C-D343-49FB-A2B0-F8A00136FA2B}" srcOrd="4" destOrd="0" presId="urn:microsoft.com/office/officeart/2005/8/layout/hProcess4"/>
    <dgm:cxn modelId="{5BE771A1-E31B-4C7B-BA81-D69B8ED16D77}" type="presParOf" srcId="{C3CD700C-D343-49FB-A2B0-F8A00136FA2B}" destId="{6BCC6CEA-7739-4153-B75D-1BD30B35634B}" srcOrd="0" destOrd="0" presId="urn:microsoft.com/office/officeart/2005/8/layout/hProcess4"/>
    <dgm:cxn modelId="{343BAE06-3C87-439B-93F4-2F7A29FE34E7}" type="presParOf" srcId="{C3CD700C-D343-49FB-A2B0-F8A00136FA2B}" destId="{CA8DC8C2-902A-4C8E-98D9-C24F3DCA2CE4}" srcOrd="1" destOrd="0" presId="urn:microsoft.com/office/officeart/2005/8/layout/hProcess4"/>
    <dgm:cxn modelId="{DD913FE0-6FE7-4216-AFAE-EFFB1041EEE8}" type="presParOf" srcId="{C3CD700C-D343-49FB-A2B0-F8A00136FA2B}" destId="{E9A9E598-D685-45E4-8D98-9AC98B6B531E}" srcOrd="2" destOrd="0" presId="urn:microsoft.com/office/officeart/2005/8/layout/hProcess4"/>
    <dgm:cxn modelId="{7A9F60A1-97D0-43F8-A9AC-DCB4222151B5}" type="presParOf" srcId="{C3CD700C-D343-49FB-A2B0-F8A00136FA2B}" destId="{97DC40B2-472E-447B-93FF-434AB18F15A3}" srcOrd="3" destOrd="0" presId="urn:microsoft.com/office/officeart/2005/8/layout/hProcess4"/>
    <dgm:cxn modelId="{5AEA9242-970E-42A3-AE0D-0B4C285F73EC}"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5" minVer="http://schemas.openxmlformats.org/drawingml/2006/diagram"/>
    </a:ext>
  </dgm:extLst>
</dgm:dataModel>
</file>

<file path=word/diagrams/data27.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6" qsCatId="simple" csTypeId="urn:microsoft.com/office/officeart/2005/8/colors/accent1_2#27" csCatId="accent1" phldr="1"/>
      <dgm:spPr/>
      <dgm:t>
        <a:bodyPr/>
        <a:lstStyle/>
        <a:p>
          <a:endParaRPr lang="sk-SK"/>
        </a:p>
      </dgm:t>
    </dgm:pt>
    <dgm:pt modelId="{88561035-D152-47D3-AAF1-C6E9F442D07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b="0" i="1">
              <a:solidFill>
                <a:schemeClr val="accent2">
                  <a:lumMod val="75000"/>
                </a:schemeClr>
              </a:solidFill>
            </a:rPr>
            <a:t>Krok č. 1 </a:t>
          </a:r>
          <a:endParaRPr lang="sk-SK" b="0" i="1"/>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8A82C215-002F-46FC-86BB-9617F6E0E83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vypĺňanie kontrolného zoznamu</a:t>
          </a:r>
        </a:p>
      </dgm:t>
    </dgm:pt>
    <dgm:pt modelId="{160AC90D-D1F4-47E5-BE43-153E39ADC705}" type="parTrans" cxnId="{08035E98-312D-4A10-A757-92C6C8D1920A}">
      <dgm:prSet/>
      <dgm:spPr/>
      <dgm:t>
        <a:bodyPr/>
        <a:lstStyle/>
        <a:p>
          <a:endParaRPr lang="sk-SK"/>
        </a:p>
      </dgm:t>
    </dgm:pt>
    <dgm:pt modelId="{371F6B73-20DE-421D-96F3-7AC8B4E51A7C}" type="sibTrans" cxnId="{08035E98-312D-4A10-A757-92C6C8D1920A}">
      <dgm:prSet/>
      <dgm:spPr/>
      <dgm:t>
        <a:bodyPr/>
        <a:lstStyle/>
        <a:p>
          <a:endParaRPr lang="sk-SK"/>
        </a:p>
      </dgm:t>
    </dgm:pt>
    <dgm:pt modelId="{1298F779-D27B-45C3-A766-CF8CE19BB11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4">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4">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4">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4">
        <dgm:presLayoutVars>
          <dgm:bulletEnabled val="1"/>
        </dgm:presLayoutVars>
      </dgm:prSet>
      <dgm:spPr/>
      <dgm:t>
        <a:bodyPr/>
        <a:lstStyle/>
        <a:p>
          <a:endParaRPr lang="sk-SK"/>
        </a:p>
      </dgm:t>
    </dgm:pt>
  </dgm:ptLst>
  <dgm:cxnLst>
    <dgm:cxn modelId="{2361D367-14E2-4C79-AC6E-497D7328B0DF}" type="presOf" srcId="{F95F5172-0F42-4D91-BB5A-2A4DAAFC42FA}" destId="{20EEEC8E-2638-484B-8625-20BC13BB3B7C}" srcOrd="0" destOrd="0"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8FD473E7-099F-402E-9505-6AB4D80A6298}" srcId="{16E6260D-9D87-4697-8B8E-C6AA7DF0504E}" destId="{88561035-D152-47D3-AAF1-C6E9F442D076}" srcOrd="0" destOrd="0" parTransId="{2BCAA849-24F9-41BF-9B45-DCAF59FC2E48}" sibTransId="{59EA41F7-A5C1-467C-9C04-52556F8414C2}"/>
    <dgm:cxn modelId="{4CCE9F99-5A33-46E3-9D01-6436520B4AB1}" type="presOf" srcId="{B002B9DD-1BC1-48C6-98ED-5E84428F6DDE}" destId="{20EEEC8E-2638-484B-8625-20BC13BB3B7C}" srcOrd="0" destOrd="1"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F1335FD5-E217-4CAF-9643-BE84309D8FE3}" type="presOf" srcId="{1298F779-D27B-45C3-A766-CF8CE19BB116}" destId="{1016AEFA-8019-479E-9EAD-96B30673975C}" srcOrd="0" destOrd="1" presId="urn:microsoft.com/office/officeart/2005/8/layout/hList6"/>
    <dgm:cxn modelId="{4201707B-687A-49D0-9B4A-3079EC1E578E}" type="presOf" srcId="{A1242E0C-EC1A-4495-8C43-B928B7992413}" destId="{05C9B098-7621-4819-ADDC-220013B41FD6}" srcOrd="0" destOrd="0"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BBE01CF7-72D0-4C6E-917A-D4E52AB2C688}" srcId="{A1242E0C-EC1A-4495-8C43-B928B7992413}" destId="{3B0C96FF-E65A-464F-929B-7286C4A70D45}" srcOrd="0" destOrd="0" parTransId="{B79035C2-FB49-471C-BBFB-AEA27726351B}" sibTransId="{E7695CCC-2D44-4E01-A575-B596F094B6F3}"/>
    <dgm:cxn modelId="{50ACF527-4624-408A-BD61-965C76926E70}" srcId="{16E6260D-9D87-4697-8B8E-C6AA7DF0504E}" destId="{F95F5172-0F42-4D91-BB5A-2A4DAAFC42FA}" srcOrd="1" destOrd="0" parTransId="{91CDEC7C-6FB1-478B-BA45-0ED5C2BF72BC}" sibTransId="{22021760-E173-4129-90FA-662D9C0CE8E0}"/>
    <dgm:cxn modelId="{9838574C-4E5A-48FC-B559-C4AF6FC531AA}" type="presOf" srcId="{88561035-D152-47D3-AAF1-C6E9F442D076}" destId="{1016AEFA-8019-479E-9EAD-96B30673975C}" srcOrd="0" destOrd="0" presId="urn:microsoft.com/office/officeart/2005/8/layout/hList6"/>
    <dgm:cxn modelId="{B6555A7A-C7CF-4DE5-9932-F3B5E8C4B88F}" type="presOf" srcId="{8654C454-539E-4727-B725-944308D2262B}" destId="{0A180C33-6355-4A8B-AF69-1A908DE7DF34}" srcOrd="0" destOrd="0" presId="urn:microsoft.com/office/officeart/2005/8/layout/hList6"/>
    <dgm:cxn modelId="{711EC9E3-9C75-4294-94F2-1ACA6E221A5C}" type="presOf" srcId="{8A82C215-002F-46FC-86BB-9617F6E0E83A}" destId="{0A180C33-6355-4A8B-AF69-1A908DE7DF34}" srcOrd="0" destOrd="1" presId="urn:microsoft.com/office/officeart/2005/8/layout/hList6"/>
    <dgm:cxn modelId="{77B17CDD-A705-45B6-A7D1-AFE4D207BADA}" type="presOf" srcId="{3B0C96FF-E65A-464F-929B-7286C4A70D45}" destId="{05C9B098-7621-4819-ADDC-220013B41FD6}" srcOrd="0" destOrd="1" presId="urn:microsoft.com/office/officeart/2005/8/layout/hList6"/>
    <dgm:cxn modelId="{DFC000BE-C48F-496A-8C4D-8DC7D3F6D82D}" type="presOf" srcId="{16E6260D-9D87-4697-8B8E-C6AA7DF0504E}" destId="{83A5958C-EAA9-46D6-8D58-7FCACC15D45C}" srcOrd="0" destOrd="0" presId="urn:microsoft.com/office/officeart/2005/8/layout/hList6"/>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659C41E5-9D79-446E-983D-6CD254D2D8F5}" type="presParOf" srcId="{83A5958C-EAA9-46D6-8D58-7FCACC15D45C}" destId="{1016AEFA-8019-479E-9EAD-96B30673975C}" srcOrd="0" destOrd="0" presId="urn:microsoft.com/office/officeart/2005/8/layout/hList6"/>
    <dgm:cxn modelId="{73B3478F-85F2-49A4-B021-A67F86F7F014}" type="presParOf" srcId="{83A5958C-EAA9-46D6-8D58-7FCACC15D45C}" destId="{1F65CD44-2938-4D39-A585-884CF91017D4}" srcOrd="1" destOrd="0" presId="urn:microsoft.com/office/officeart/2005/8/layout/hList6"/>
    <dgm:cxn modelId="{20879ABA-094A-4EA0-97F4-C317B1E87C7D}" type="presParOf" srcId="{83A5958C-EAA9-46D6-8D58-7FCACC15D45C}" destId="{20EEEC8E-2638-484B-8625-20BC13BB3B7C}" srcOrd="2" destOrd="0" presId="urn:microsoft.com/office/officeart/2005/8/layout/hList6"/>
    <dgm:cxn modelId="{6492771E-D5D6-489A-B362-8091B93A2F7C}" type="presParOf" srcId="{83A5958C-EAA9-46D6-8D58-7FCACC15D45C}" destId="{6EBCEAC6-EB4F-49A7-8C38-67D8BB6B7655}" srcOrd="3" destOrd="0" presId="urn:microsoft.com/office/officeart/2005/8/layout/hList6"/>
    <dgm:cxn modelId="{840C4318-8844-4B21-BF01-67D43E09E766}" type="presParOf" srcId="{83A5958C-EAA9-46D6-8D58-7FCACC15D45C}" destId="{05C9B098-7621-4819-ADDC-220013B41FD6}" srcOrd="4" destOrd="0" presId="urn:microsoft.com/office/officeart/2005/8/layout/hList6"/>
    <dgm:cxn modelId="{403D1C39-1B8C-479A-B0B6-2ED26DAD0B4D}" type="presParOf" srcId="{83A5958C-EAA9-46D6-8D58-7FCACC15D45C}" destId="{57659B46-2481-4796-A116-7EAACB39F39E}" srcOrd="5" destOrd="0" presId="urn:microsoft.com/office/officeart/2005/8/layout/hList6"/>
    <dgm:cxn modelId="{3D2295B9-D3CF-4CB6-A4E7-BB88A977A55A}" type="presParOf" srcId="{83A5958C-EAA9-46D6-8D58-7FCACC15D45C}" destId="{0A180C33-6355-4A8B-AF69-1A908DE7DF34}" srcOrd="6" destOrd="0" presId="urn:microsoft.com/office/officeart/2005/8/layout/hList6"/>
  </dgm:cxnLst>
  <dgm:bg/>
  <dgm:whole/>
  <dgm:extLst>
    <a:ext uri="http://schemas.microsoft.com/office/drawing/2008/diagram">
      <dsp:dataModelExt xmlns:dsp="http://schemas.microsoft.com/office/drawing/2008/diagram" relId="rId191" minVer="http://schemas.openxmlformats.org/drawingml/2006/diagram"/>
    </a:ext>
  </dgm:extLst>
</dgm:dataModel>
</file>

<file path=word/diagrams/data28.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7" qsCatId="simple" csTypeId="urn:microsoft.com/office/officeart/2005/8/colors/accent1_2#28"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 /správ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AK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Zaslanie  čiastkovej správy/správy z kontroly prijímateľovi</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84C85CB9-116C-4A84-8BD5-2ADD7B06EEA3}" type="presOf" srcId="{5D73896F-1E73-4D3C-A7B3-2AA46CB7E917}" destId="{CA8DC8C2-902A-4C8E-98D9-C24F3DCA2CE4}" srcOrd="0" destOrd="3" presId="urn:microsoft.com/office/officeart/2005/8/layout/hProcess4"/>
    <dgm:cxn modelId="{D0B6CA34-002C-4D8E-90F4-0741C76F048C}" type="presOf" srcId="{67173C5D-469B-45BB-A669-F4CD31F3958A}" destId="{E9EFFA70-AC37-4F00-9C3A-C033D060B362}" srcOrd="0" destOrd="2"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8A92A1D1-BFA8-4D07-BA98-24A0A0A5D5E1}" srcId="{855C5922-552B-47A4-A9E9-43B7550532DD}" destId="{DAEB701C-D9D5-437A-8FA1-1800CA4614E7}" srcOrd="0" destOrd="0" parTransId="{CB32E3B6-05FC-421C-AB36-880695BFC80A}" sibTransId="{5BC0317E-DE73-48CF-8B14-54A61367E36E}"/>
    <dgm:cxn modelId="{1EDD9B13-9CC9-4262-9F60-C614F1816CEE}" type="presOf" srcId="{E5A3102E-342C-49CF-BE48-8AC6B8D4CD96}" destId="{E9EFFA70-AC37-4F00-9C3A-C033D060B362}" srcOrd="0" destOrd="0" presId="urn:microsoft.com/office/officeart/2005/8/layout/hProcess4"/>
    <dgm:cxn modelId="{3F3C570C-6C5F-4E15-919C-4AC0371417E0}" srcId="{855C5922-552B-47A4-A9E9-43B7550532DD}" destId="{5D73896F-1E73-4D3C-A7B3-2AA46CB7E917}" srcOrd="3" destOrd="0" parTransId="{87928731-B92F-4796-8831-AE24408327FE}" sibTransId="{1C63CADD-EA46-4C02-B819-7AF2B37BE44B}"/>
    <dgm:cxn modelId="{4C4BD359-8066-4C1B-A762-78EFB2B4926A}" type="presOf" srcId="{EF343850-5B10-4C10-8B73-5089318E6BDC}" destId="{0D8EEC67-CFCB-4E03-A953-611E63CC3E69}" srcOrd="0" destOrd="0" presId="urn:microsoft.com/office/officeart/2005/8/layout/hProcess4"/>
    <dgm:cxn modelId="{AD28CFAF-DFD4-4356-A4EA-88B7E88A997E}" srcId="{0C59C404-5CD6-40A4-9A11-037DC780EA23}" destId="{0A0F5628-AAF8-405F-B81B-27AF1550C23D}" srcOrd="1" destOrd="0" parTransId="{919FB93E-6398-43A4-8BC1-4F5DB863A5D0}" sibTransId="{214C6BD5-EA2C-455C-9B19-B85B40D60DDC}"/>
    <dgm:cxn modelId="{F70AD2D6-802F-4B54-9894-3635C86BE336}" type="presOf" srcId="{DAEB701C-D9D5-437A-8FA1-1800CA4614E7}" destId="{E9A9E598-D685-45E4-8D98-9AC98B6B531E}" srcOrd="1" destOrd="0" presId="urn:microsoft.com/office/officeart/2005/8/layout/hProcess4"/>
    <dgm:cxn modelId="{972892A0-507D-4958-84C1-FEE33F27E959}" type="presOf" srcId="{67173C5D-469B-45BB-A669-F4CD31F3958A}" destId="{A1CE76BB-8109-43BF-A783-4F3F66A98A6B}" srcOrd="1" destOrd="2" presId="urn:microsoft.com/office/officeart/2005/8/layout/hProcess4"/>
    <dgm:cxn modelId="{8DC9A010-4F76-4145-A26E-2162BE0F7420}" type="presOf" srcId="{7DE71D68-071D-489A-B18A-BF1EFC0E60FB}" destId="{582E9870-9EDA-4033-9CB5-6145ADD7293B}" srcOrd="0" destOrd="0"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BE7319C4-1356-44B8-B5DB-83ED5F086008}" type="presOf" srcId="{E4B6DF32-6560-49A8-BE92-0DE9687BB739}" destId="{E9EFFA70-AC37-4F00-9C3A-C033D060B362}" srcOrd="0" destOrd="3" presId="urn:microsoft.com/office/officeart/2005/8/layout/hProcess4"/>
    <dgm:cxn modelId="{6E1C22D6-BFD0-4D89-8288-812434866CE1}" type="presOf" srcId="{D34C4817-0101-420E-8C4E-19C90BD75778}" destId="{E9A9E598-D685-45E4-8D98-9AC98B6B531E}" srcOrd="1" destOrd="1" presId="urn:microsoft.com/office/officeart/2005/8/layout/hProcess4"/>
    <dgm:cxn modelId="{BB526086-618E-4C90-8ED2-CD32B087F044}" type="presOf" srcId="{2449D290-B413-4AE2-AC6E-05309F3979C5}" destId="{A1CE76BB-8109-43BF-A783-4F3F66A98A6B}" srcOrd="1" destOrd="1" presId="urn:microsoft.com/office/officeart/2005/8/layout/hProcess4"/>
    <dgm:cxn modelId="{51D3AE36-3D71-4D9F-AB23-85C124C4FCEF}" type="presOf" srcId="{0D8A364E-95C2-4B33-9DD2-61CA1EAB50A5}" destId="{E9A9E598-D685-45E4-8D98-9AC98B6B531E}" srcOrd="1" destOrd="2" presId="urn:microsoft.com/office/officeart/2005/8/layout/hProcess4"/>
    <dgm:cxn modelId="{68C66ACA-7D8E-4B32-817E-FFC54C2BB555}" type="presOf" srcId="{DAEB701C-D9D5-437A-8FA1-1800CA4614E7}" destId="{CA8DC8C2-902A-4C8E-98D9-C24F3DCA2CE4}"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93D9EA81-1FC7-4EB9-8077-E49347971143}" type="presOf" srcId="{0A0F5628-AAF8-405F-B81B-27AF1550C23D}" destId="{18B80A27-057A-4402-81A4-202F53D937E2}" srcOrd="0" destOrd="1"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20E6190A-2A4E-4D63-BB17-A510333DFD04}" srcId="{855C5922-552B-47A4-A9E9-43B7550532DD}" destId="{D34C4817-0101-420E-8C4E-19C90BD75778}" srcOrd="1" destOrd="0" parTransId="{605CF068-811C-4A9C-8CCA-1EE2FF4B0746}" sibTransId="{9D3E4A74-19E4-4BE1-B093-D20587BE22EB}"/>
    <dgm:cxn modelId="{0D1448F9-AD8F-482A-91F8-3247AA63E874}" type="presOf" srcId="{2EF78F56-FFA6-4D0A-AB89-64627C34799E}" destId="{BF542D47-0F73-4C39-AECB-6392B969BEE2}" srcOrd="0" destOrd="0" presId="urn:microsoft.com/office/officeart/2005/8/layout/hProcess4"/>
    <dgm:cxn modelId="{50345A27-79E3-4437-A160-3DF3C779CFA5}" srcId="{855C5922-552B-47A4-A9E9-43B7550532DD}" destId="{0D8A364E-95C2-4B33-9DD2-61CA1EAB50A5}" srcOrd="2" destOrd="0" parTransId="{73DA6FEF-2092-4EA1-972C-7D39738CFD68}" sibTransId="{38C131D1-C3F8-4BDE-A20F-5E105B6C226F}"/>
    <dgm:cxn modelId="{0668D422-27C0-45F2-8DA0-9C03BC98F6DB}" type="presOf" srcId="{41123FA9-DD27-4D98-B416-494DE4A2D8E9}" destId="{85101C14-1AA3-4160-B3DB-B17859AE5781}" srcOrd="1" destOrd="0" presId="urn:microsoft.com/office/officeart/2005/8/layout/hProcess4"/>
    <dgm:cxn modelId="{7D5E379E-5EC4-419F-B1F4-4377D0E41C75}" type="presOf" srcId="{D63FDEA1-9CCA-4C10-89C5-9B23DD5C27E6}" destId="{5E7B7702-5F62-4DE8-B040-E86BBFBCB15F}" srcOrd="0" destOrd="0"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3927A7BB-CB6E-4F2E-8CE6-AE496BDE6ED2}" type="presOf" srcId="{0C59C404-5CD6-40A4-9A11-037DC780EA23}" destId="{C5C2BB8A-B954-4CE1-B001-F226211D90EB}" srcOrd="0" destOrd="0" presId="urn:microsoft.com/office/officeart/2005/8/layout/hProcess4"/>
    <dgm:cxn modelId="{EA72AFA8-CFAA-45EC-9C0A-D213B59A5135}" type="presOf" srcId="{41123FA9-DD27-4D98-B416-494DE4A2D8E9}" destId="{18B80A27-057A-4402-81A4-202F53D937E2}" srcOrd="0" destOrd="0"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B7828DFD-5E9D-4539-BE58-92764BD50B88}" type="presOf" srcId="{2449D290-B413-4AE2-AC6E-05309F3979C5}" destId="{E9EFFA70-AC37-4F00-9C3A-C033D060B362}" srcOrd="0" destOrd="1" presId="urn:microsoft.com/office/officeart/2005/8/layout/hProcess4"/>
    <dgm:cxn modelId="{FC0B7502-8613-4932-B9E4-BBF4F4A360E0}" type="presOf" srcId="{855C5922-552B-47A4-A9E9-43B7550532DD}" destId="{97DC40B2-472E-447B-93FF-434AB18F15A3}"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573F4A2C-00F3-45DD-9330-7384A25980B7}" type="presOf" srcId="{E4B6DF32-6560-49A8-BE92-0DE9687BB739}" destId="{A1CE76BB-8109-43BF-A783-4F3F66A98A6B}" srcOrd="1" destOrd="3" presId="urn:microsoft.com/office/officeart/2005/8/layout/hProcess4"/>
    <dgm:cxn modelId="{AB510D47-53FB-48A0-A21F-2AB10B4B34A8}" type="presOf" srcId="{5D73896F-1E73-4D3C-A7B3-2AA46CB7E917}" destId="{E9A9E598-D685-45E4-8D98-9AC98B6B531E}" srcOrd="1" destOrd="3" presId="urn:microsoft.com/office/officeart/2005/8/layout/hProcess4"/>
    <dgm:cxn modelId="{0B19CC2A-912A-4BA2-8B1E-741D94545C33}" type="presOf" srcId="{0A0F5628-AAF8-405F-B81B-27AF1550C23D}" destId="{85101C14-1AA3-4160-B3DB-B17859AE5781}" srcOrd="1" destOrd="1" presId="urn:microsoft.com/office/officeart/2005/8/layout/hProcess4"/>
    <dgm:cxn modelId="{D14B02D8-BEA3-46AB-AC83-7AD892620DEB}" type="presOf" srcId="{0D8A364E-95C2-4B33-9DD2-61CA1EAB50A5}" destId="{CA8DC8C2-902A-4C8E-98D9-C24F3DCA2CE4}" srcOrd="0" destOrd="2"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F0ADB7E7-B7D0-4A5B-B3CB-213324C1A906}" type="presOf" srcId="{E5A3102E-342C-49CF-BE48-8AC6B8D4CD96}" destId="{A1CE76BB-8109-43BF-A783-4F3F66A98A6B}" srcOrd="1" destOrd="0" presId="urn:microsoft.com/office/officeart/2005/8/layout/hProcess4"/>
    <dgm:cxn modelId="{B92CDFA2-8BE7-464B-A536-5270A5B5D1B3}" type="presOf" srcId="{D34C4817-0101-420E-8C4E-19C90BD75778}" destId="{CA8DC8C2-902A-4C8E-98D9-C24F3DCA2CE4}" srcOrd="0" destOrd="1" presId="urn:microsoft.com/office/officeart/2005/8/layout/hProcess4"/>
    <dgm:cxn modelId="{3C75611B-61A7-4BE5-88DD-C78581BE08EA}" type="presParOf" srcId="{5E7B7702-5F62-4DE8-B040-E86BBFBCB15F}" destId="{92F0EDAC-4066-443D-A52F-FB7190865796}" srcOrd="0" destOrd="0" presId="urn:microsoft.com/office/officeart/2005/8/layout/hProcess4"/>
    <dgm:cxn modelId="{FE3F1DDA-0511-4AB6-B68E-DAC68B492814}" type="presParOf" srcId="{5E7B7702-5F62-4DE8-B040-E86BBFBCB15F}" destId="{51597F9A-10EA-4B87-9FDE-3543F9863C23}" srcOrd="1" destOrd="0" presId="urn:microsoft.com/office/officeart/2005/8/layout/hProcess4"/>
    <dgm:cxn modelId="{3956B64F-5C86-4CE5-8351-9E35EDB68070}" type="presParOf" srcId="{5E7B7702-5F62-4DE8-B040-E86BBFBCB15F}" destId="{CDB428F8-DF21-4827-8153-4A1435701C4B}" srcOrd="2" destOrd="0" presId="urn:microsoft.com/office/officeart/2005/8/layout/hProcess4"/>
    <dgm:cxn modelId="{EF134195-9D9F-44DA-A713-A12E4EECBA25}" type="presParOf" srcId="{CDB428F8-DF21-4827-8153-4A1435701C4B}" destId="{7F608B39-B888-4B5A-8D54-57A0AE0CCEAA}" srcOrd="0" destOrd="0" presId="urn:microsoft.com/office/officeart/2005/8/layout/hProcess4"/>
    <dgm:cxn modelId="{44BDCD99-1B83-4CD5-9C17-B5858583D29C}" type="presParOf" srcId="{7F608B39-B888-4B5A-8D54-57A0AE0CCEAA}" destId="{6B7A6191-CFFE-4E86-85BA-19C0353B79AA}" srcOrd="0" destOrd="0" presId="urn:microsoft.com/office/officeart/2005/8/layout/hProcess4"/>
    <dgm:cxn modelId="{79D0CA6A-B789-4927-B2E2-0986B0A330A5}" type="presParOf" srcId="{7F608B39-B888-4B5A-8D54-57A0AE0CCEAA}" destId="{E9EFFA70-AC37-4F00-9C3A-C033D060B362}" srcOrd="1" destOrd="0" presId="urn:microsoft.com/office/officeart/2005/8/layout/hProcess4"/>
    <dgm:cxn modelId="{5E8A8C25-4181-4B57-AC63-6055820445B5}" type="presParOf" srcId="{7F608B39-B888-4B5A-8D54-57A0AE0CCEAA}" destId="{A1CE76BB-8109-43BF-A783-4F3F66A98A6B}" srcOrd="2" destOrd="0" presId="urn:microsoft.com/office/officeart/2005/8/layout/hProcess4"/>
    <dgm:cxn modelId="{B7EC2EB9-510C-4F96-819B-0EC9E151D941}" type="presParOf" srcId="{7F608B39-B888-4B5A-8D54-57A0AE0CCEAA}" destId="{582E9870-9EDA-4033-9CB5-6145ADD7293B}" srcOrd="3" destOrd="0" presId="urn:microsoft.com/office/officeart/2005/8/layout/hProcess4"/>
    <dgm:cxn modelId="{0773C974-0FF8-48C1-8FB3-EC0C26BD70B2}" type="presParOf" srcId="{7F608B39-B888-4B5A-8D54-57A0AE0CCEAA}" destId="{E8EEBF08-7CF5-40A2-8416-972102A6159D}" srcOrd="4" destOrd="0" presId="urn:microsoft.com/office/officeart/2005/8/layout/hProcess4"/>
    <dgm:cxn modelId="{6AE8484A-670E-4F5A-AA09-0410030A086D}" type="presParOf" srcId="{CDB428F8-DF21-4827-8153-4A1435701C4B}" destId="{BF542D47-0F73-4C39-AECB-6392B969BEE2}" srcOrd="1" destOrd="0" presId="urn:microsoft.com/office/officeart/2005/8/layout/hProcess4"/>
    <dgm:cxn modelId="{EFA6A45D-5248-4CD8-9019-2FAA3E1C4316}" type="presParOf" srcId="{CDB428F8-DF21-4827-8153-4A1435701C4B}" destId="{23416E9C-8032-4BEB-95BC-4E55B284DAFA}" srcOrd="2" destOrd="0" presId="urn:microsoft.com/office/officeart/2005/8/layout/hProcess4"/>
    <dgm:cxn modelId="{B9262634-E0F5-46A0-B605-1C8A11B8737C}" type="presParOf" srcId="{23416E9C-8032-4BEB-95BC-4E55B284DAFA}" destId="{793AE636-C282-403C-A614-A1555F53E53D}" srcOrd="0" destOrd="0" presId="urn:microsoft.com/office/officeart/2005/8/layout/hProcess4"/>
    <dgm:cxn modelId="{58626EAA-5513-4D21-AC3C-EDDF001C1BAD}" type="presParOf" srcId="{23416E9C-8032-4BEB-95BC-4E55B284DAFA}" destId="{18B80A27-057A-4402-81A4-202F53D937E2}" srcOrd="1" destOrd="0" presId="urn:microsoft.com/office/officeart/2005/8/layout/hProcess4"/>
    <dgm:cxn modelId="{383EBFA4-576C-4188-B85B-44AB2DF1E31B}" type="presParOf" srcId="{23416E9C-8032-4BEB-95BC-4E55B284DAFA}" destId="{85101C14-1AA3-4160-B3DB-B17859AE5781}" srcOrd="2" destOrd="0" presId="urn:microsoft.com/office/officeart/2005/8/layout/hProcess4"/>
    <dgm:cxn modelId="{B3FF5A07-7ED9-4FC1-A1CF-8621D2D756C3}" type="presParOf" srcId="{23416E9C-8032-4BEB-95BC-4E55B284DAFA}" destId="{C5C2BB8A-B954-4CE1-B001-F226211D90EB}" srcOrd="3" destOrd="0" presId="urn:microsoft.com/office/officeart/2005/8/layout/hProcess4"/>
    <dgm:cxn modelId="{31207D55-3571-4836-853F-87029BCFABEC}" type="presParOf" srcId="{23416E9C-8032-4BEB-95BC-4E55B284DAFA}" destId="{460F609C-AF12-4DFA-B20B-724DF3FF7AE5}" srcOrd="4" destOrd="0" presId="urn:microsoft.com/office/officeart/2005/8/layout/hProcess4"/>
    <dgm:cxn modelId="{F4ED7466-CFC0-4A2F-B513-247DC9EA9BF2}" type="presParOf" srcId="{CDB428F8-DF21-4827-8153-4A1435701C4B}" destId="{0D8EEC67-CFCB-4E03-A953-611E63CC3E69}" srcOrd="3" destOrd="0" presId="urn:microsoft.com/office/officeart/2005/8/layout/hProcess4"/>
    <dgm:cxn modelId="{96501751-8EA2-4D25-A42C-729DD15161F8}" type="presParOf" srcId="{CDB428F8-DF21-4827-8153-4A1435701C4B}" destId="{C3CD700C-D343-49FB-A2B0-F8A00136FA2B}" srcOrd="4" destOrd="0" presId="urn:microsoft.com/office/officeart/2005/8/layout/hProcess4"/>
    <dgm:cxn modelId="{96769718-3E8D-4C19-A4C4-FF21683DD0C0}" type="presParOf" srcId="{C3CD700C-D343-49FB-A2B0-F8A00136FA2B}" destId="{6BCC6CEA-7739-4153-B75D-1BD30B35634B}" srcOrd="0" destOrd="0" presId="urn:microsoft.com/office/officeart/2005/8/layout/hProcess4"/>
    <dgm:cxn modelId="{944A7DED-5EF1-463B-B412-05CFCA4E9A7D}" type="presParOf" srcId="{C3CD700C-D343-49FB-A2B0-F8A00136FA2B}" destId="{CA8DC8C2-902A-4C8E-98D9-C24F3DCA2CE4}" srcOrd="1" destOrd="0" presId="urn:microsoft.com/office/officeart/2005/8/layout/hProcess4"/>
    <dgm:cxn modelId="{16E6ADDE-52F4-4CBA-A6D3-FFC97D253532}" type="presParOf" srcId="{C3CD700C-D343-49FB-A2B0-F8A00136FA2B}" destId="{E9A9E598-D685-45E4-8D98-9AC98B6B531E}" srcOrd="2" destOrd="0" presId="urn:microsoft.com/office/officeart/2005/8/layout/hProcess4"/>
    <dgm:cxn modelId="{ACD67587-2CFB-4BDF-96CA-BEA27793C39C}" type="presParOf" srcId="{C3CD700C-D343-49FB-A2B0-F8A00136FA2B}" destId="{97DC40B2-472E-447B-93FF-434AB18F15A3}" srcOrd="3" destOrd="0" presId="urn:microsoft.com/office/officeart/2005/8/layout/hProcess4"/>
    <dgm:cxn modelId="{D476235F-B719-4119-9662-2410DEF0E045}"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96" minVer="http://schemas.openxmlformats.org/drawingml/2006/diagram"/>
    </a:ext>
  </dgm:extLst>
</dgm:dataModel>
</file>

<file path=word/diagrams/data29.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8" qsCatId="simple" csTypeId="urn:microsoft.com/office/officeart/2005/8/colors/accent1_2#29"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AK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správy z kontroly na vyjadrenie prijímateľovi </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451C0133-7C34-4673-A100-79086FF2B5F8}">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 z kontorly/správy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čiastkovej správy z kontroly/správy z kontroly</a:t>
          </a:r>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8C8778C-C941-4D4A-851C-9985F85B6A14}" srcId="{7DE71D68-071D-489A-B18A-BF1EFC0E60FB}" destId="{637A406B-C7E4-4380-80A9-93B5DCB36CCC}" srcOrd="2" destOrd="0" parTransId="{4E8FB72F-3970-4FBA-A937-5D4EF4E961C8}" sibTransId="{12CE564E-FC14-4949-81C5-68149DA4E5C7}"/>
    <dgm:cxn modelId="{D618A982-B4C2-49CE-B018-2E2345F71712}" type="presOf" srcId="{637A406B-C7E4-4380-80A9-93B5DCB36CCC}" destId="{A1CE76BB-8109-43BF-A783-4F3F66A98A6B}" srcOrd="1" destOrd="2"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E3D8F930-36D2-4AB8-8518-686A21ED888A}" type="presOf" srcId="{451C0133-7C34-4673-A100-79086FF2B5F8}" destId="{E9A9E598-D685-45E4-8D98-9AC98B6B531E}" srcOrd="1" destOrd="3" presId="urn:microsoft.com/office/officeart/2005/8/layout/hProcess4"/>
    <dgm:cxn modelId="{55525E5F-638D-4249-8EAB-79956E4A43A5}" type="presOf" srcId="{DAEB701C-D9D5-437A-8FA1-1800CA4614E7}" destId="{CA8DC8C2-902A-4C8E-98D9-C24F3DCA2CE4}" srcOrd="0" destOrd="0" presId="urn:microsoft.com/office/officeart/2005/8/layout/hProcess4"/>
    <dgm:cxn modelId="{74FB5C09-2C5A-478B-9B84-BD6F2F8A3183}" type="presOf" srcId="{3AF5838A-DC3E-4DF5-8A7A-8BA5EAC93122}" destId="{CA8DC8C2-902A-4C8E-98D9-C24F3DCA2CE4}" srcOrd="0" destOrd="2" presId="urn:microsoft.com/office/officeart/2005/8/layout/hProcess4"/>
    <dgm:cxn modelId="{46B18432-A85E-413D-8C51-D7A5431B45DD}" type="presOf" srcId="{7DE71D68-071D-489A-B18A-BF1EFC0E60FB}" destId="{582E9870-9EDA-4033-9CB5-6145ADD7293B}"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B6B0FCBB-C22A-406E-9A92-79867B7E5233}" srcId="{855C5922-552B-47A4-A9E9-43B7550532DD}" destId="{451C0133-7C34-4673-A100-79086FF2B5F8}" srcOrd="3" destOrd="0" parTransId="{9EA5EE81-4D56-4FC6-9D69-9CC568212C8F}" sibTransId="{0D61BD1F-B4C2-4C0F-859A-6E3AC54D6729}"/>
    <dgm:cxn modelId="{C0039FDD-3B26-426D-9F51-F079DC766D40}" type="presOf" srcId="{637A406B-C7E4-4380-80A9-93B5DCB36CCC}" destId="{E9EFFA70-AC37-4F00-9C3A-C033D060B362}" srcOrd="0" destOrd="2" presId="urn:microsoft.com/office/officeart/2005/8/layout/hProcess4"/>
    <dgm:cxn modelId="{F25D824A-BA7E-4ED5-B54A-690AF4E3E5A5}" type="presOf" srcId="{2EF78F56-FFA6-4D0A-AB89-64627C34799E}" destId="{BF542D47-0F73-4C39-AECB-6392B969BEE2}" srcOrd="0" destOrd="0" presId="urn:microsoft.com/office/officeart/2005/8/layout/hProcess4"/>
    <dgm:cxn modelId="{496EB332-D5CF-43D0-AAFF-5E224E27026F}" type="presOf" srcId="{A4819B9F-E22C-4C76-88BF-3CD396719A2C}" destId="{CA8DC8C2-902A-4C8E-98D9-C24F3DCA2CE4}" srcOrd="0" destOrd="1"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8B34B5DA-6252-4A99-A640-3BF7FDE9B443}" type="presOf" srcId="{EF343850-5B10-4C10-8B73-5089318E6BDC}" destId="{0D8EEC67-CFCB-4E03-A953-611E63CC3E69}" srcOrd="0" destOrd="0" presId="urn:microsoft.com/office/officeart/2005/8/layout/hProcess4"/>
    <dgm:cxn modelId="{47B65CD7-3DF4-4CBE-9D41-AD484E7668E3}" type="presOf" srcId="{E5A3102E-342C-49CF-BE48-8AC6B8D4CD96}" destId="{A1CE76BB-8109-43BF-A783-4F3F66A98A6B}" srcOrd="1" destOrd="1" presId="urn:microsoft.com/office/officeart/2005/8/layout/hProcess4"/>
    <dgm:cxn modelId="{D2567E8A-0FFB-411C-9D5C-F6A13984BA31}" srcId="{7DE71D68-071D-489A-B18A-BF1EFC0E60FB}" destId="{D85D674E-FDC4-4026-A1DF-7F68F2A864EC}" srcOrd="0" destOrd="0" parTransId="{0F5F7622-6C7B-4F20-993B-1A618ABAA252}" sibTransId="{257464B6-99DD-4448-84E7-0D222CAC8D2A}"/>
    <dgm:cxn modelId="{3E6AF7C2-824C-4A09-BEDB-C9858866AC1F}" type="presOf" srcId="{DAEB701C-D9D5-437A-8FA1-1800CA4614E7}" destId="{E9A9E598-D685-45E4-8D98-9AC98B6B531E}" srcOrd="1" destOrd="0" presId="urn:microsoft.com/office/officeart/2005/8/layout/hProcess4"/>
    <dgm:cxn modelId="{0DEF47C3-60A5-4F12-9B48-DE981DA43C9E}" type="presOf" srcId="{0C59C404-5CD6-40A4-9A11-037DC780EA23}" destId="{C5C2BB8A-B954-4CE1-B001-F226211D90EB}" srcOrd="0" destOrd="0" presId="urn:microsoft.com/office/officeart/2005/8/layout/hProcess4"/>
    <dgm:cxn modelId="{3302A301-395A-46C5-9E0E-F655E46B85C7}" type="presOf" srcId="{4296B877-9E1B-4B3F-B675-2B9CD1F7C56B}" destId="{85101C14-1AA3-4160-B3DB-B17859AE5781}" srcOrd="1" destOrd="1" presId="urn:microsoft.com/office/officeart/2005/8/layout/hProcess4"/>
    <dgm:cxn modelId="{DA19C23F-1661-43A3-8331-32A457F6FB40}" type="presOf" srcId="{A4819B9F-E22C-4C76-88BF-3CD396719A2C}" destId="{E9A9E598-D685-45E4-8D98-9AC98B6B531E}" srcOrd="1" destOrd="1"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A0B92D36-C4BA-4E90-91C4-97770828FD07}" type="presOf" srcId="{855C5922-552B-47A4-A9E9-43B7550532DD}" destId="{97DC40B2-472E-447B-93FF-434AB18F15A3}" srcOrd="0" destOrd="0" presId="urn:microsoft.com/office/officeart/2005/8/layout/hProcess4"/>
    <dgm:cxn modelId="{12997E93-B135-4751-B5A8-8C2A219EDA02}" srcId="{855C5922-552B-47A4-A9E9-43B7550532DD}" destId="{3AF5838A-DC3E-4DF5-8A7A-8BA5EAC93122}" srcOrd="2" destOrd="0" parTransId="{A89BA85F-B16E-4F6A-A75A-A8C6D6B26B08}" sibTransId="{4198EC08-717B-4FD4-BFA9-C8659CC9DA94}"/>
    <dgm:cxn modelId="{28E2C6AC-0F95-47B7-867B-EC6300BE1BB6}" srcId="{0C59C404-5CD6-40A4-9A11-037DC780EA23}" destId="{41123FA9-DD27-4D98-B416-494DE4A2D8E9}" srcOrd="0" destOrd="0" parTransId="{B9E0A569-5883-4049-AA94-F65D5F60B369}" sibTransId="{7D23F602-94A4-4A68-8B1A-BE2FEC925633}"/>
    <dgm:cxn modelId="{2EFB75FD-F49F-41CA-95B6-B2D347E55674}" type="presOf" srcId="{41123FA9-DD27-4D98-B416-494DE4A2D8E9}" destId="{85101C14-1AA3-4160-B3DB-B17859AE5781}" srcOrd="1"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FA473940-8067-4531-B94D-5087886F2401}" type="presOf" srcId="{451C0133-7C34-4673-A100-79086FF2B5F8}" destId="{CA8DC8C2-902A-4C8E-98D9-C24F3DCA2CE4}" srcOrd="0" destOrd="3" presId="urn:microsoft.com/office/officeart/2005/8/layout/hProcess4"/>
    <dgm:cxn modelId="{F0BE0E95-43AF-4450-9BDF-5E7E433273A2}" type="presOf" srcId="{D85D674E-FDC4-4026-A1DF-7F68F2A864EC}" destId="{E9EFFA70-AC37-4F00-9C3A-C033D060B362}" srcOrd="0" destOrd="0" presId="urn:microsoft.com/office/officeart/2005/8/layout/hProcess4"/>
    <dgm:cxn modelId="{C2B8CDA9-0569-40BD-B73C-211E1410877F}" type="presOf" srcId="{4296B877-9E1B-4B3F-B675-2B9CD1F7C56B}" destId="{18B80A27-057A-4402-81A4-202F53D937E2}" srcOrd="0" destOrd="1" presId="urn:microsoft.com/office/officeart/2005/8/layout/hProcess4"/>
    <dgm:cxn modelId="{78CBFD8C-ED64-4072-AECC-774E29FDA996}" type="presOf" srcId="{41123FA9-DD27-4D98-B416-494DE4A2D8E9}" destId="{18B80A27-057A-4402-81A4-202F53D937E2}" srcOrd="0" destOrd="0"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DF384F21-BE7E-42E0-9DD3-49B60D6E0503}" type="presOf" srcId="{D63FDEA1-9CCA-4C10-89C5-9B23DD5C27E6}" destId="{5E7B7702-5F62-4DE8-B040-E86BBFBCB15F}" srcOrd="0" destOrd="0"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ABE1AF33-901B-45D4-BEF3-5A2C9359261B}" type="presOf" srcId="{D85D674E-FDC4-4026-A1DF-7F68F2A864EC}" destId="{A1CE76BB-8109-43BF-A783-4F3F66A98A6B}" srcOrd="1" destOrd="0" presId="urn:microsoft.com/office/officeart/2005/8/layout/hProcess4"/>
    <dgm:cxn modelId="{6B27C147-D51D-4D09-9B88-57ACD40A2F07}" type="presOf" srcId="{E5A3102E-342C-49CF-BE48-8AC6B8D4CD96}" destId="{E9EFFA70-AC37-4F00-9C3A-C033D060B362}" srcOrd="0" destOrd="1" presId="urn:microsoft.com/office/officeart/2005/8/layout/hProcess4"/>
    <dgm:cxn modelId="{7A8442C4-560A-4A78-A99A-F93EFBC5FEE4}" type="presOf" srcId="{3AF5838A-DC3E-4DF5-8A7A-8BA5EAC93122}" destId="{E9A9E598-D685-45E4-8D98-9AC98B6B531E}" srcOrd="1" destOrd="2" presId="urn:microsoft.com/office/officeart/2005/8/layout/hProcess4"/>
    <dgm:cxn modelId="{02B183B9-4B46-4065-9EEC-C63137183061}" type="presParOf" srcId="{5E7B7702-5F62-4DE8-B040-E86BBFBCB15F}" destId="{92F0EDAC-4066-443D-A52F-FB7190865796}" srcOrd="0" destOrd="0" presId="urn:microsoft.com/office/officeart/2005/8/layout/hProcess4"/>
    <dgm:cxn modelId="{D4DD9180-43A0-4E49-9086-5646B20A05A5}" type="presParOf" srcId="{5E7B7702-5F62-4DE8-B040-E86BBFBCB15F}" destId="{51597F9A-10EA-4B87-9FDE-3543F9863C23}" srcOrd="1" destOrd="0" presId="urn:microsoft.com/office/officeart/2005/8/layout/hProcess4"/>
    <dgm:cxn modelId="{99A756F4-7250-4587-8E68-B468ABD744C5}" type="presParOf" srcId="{5E7B7702-5F62-4DE8-B040-E86BBFBCB15F}" destId="{CDB428F8-DF21-4827-8153-4A1435701C4B}" srcOrd="2" destOrd="0" presId="urn:microsoft.com/office/officeart/2005/8/layout/hProcess4"/>
    <dgm:cxn modelId="{CC8952F1-6801-4141-BB94-22FE4C8400AF}" type="presParOf" srcId="{CDB428F8-DF21-4827-8153-4A1435701C4B}" destId="{7F608B39-B888-4B5A-8D54-57A0AE0CCEAA}" srcOrd="0" destOrd="0" presId="urn:microsoft.com/office/officeart/2005/8/layout/hProcess4"/>
    <dgm:cxn modelId="{F3FCC7DA-E25C-414B-87CD-E281C6B72A57}" type="presParOf" srcId="{7F608B39-B888-4B5A-8D54-57A0AE0CCEAA}" destId="{6B7A6191-CFFE-4E86-85BA-19C0353B79AA}" srcOrd="0" destOrd="0" presId="urn:microsoft.com/office/officeart/2005/8/layout/hProcess4"/>
    <dgm:cxn modelId="{1C5C780A-C0EB-42CB-985D-E836A560F6C3}" type="presParOf" srcId="{7F608B39-B888-4B5A-8D54-57A0AE0CCEAA}" destId="{E9EFFA70-AC37-4F00-9C3A-C033D060B362}" srcOrd="1" destOrd="0" presId="urn:microsoft.com/office/officeart/2005/8/layout/hProcess4"/>
    <dgm:cxn modelId="{440B06A0-2997-4860-8126-2D66E8C4EAD8}" type="presParOf" srcId="{7F608B39-B888-4B5A-8D54-57A0AE0CCEAA}" destId="{A1CE76BB-8109-43BF-A783-4F3F66A98A6B}" srcOrd="2" destOrd="0" presId="urn:microsoft.com/office/officeart/2005/8/layout/hProcess4"/>
    <dgm:cxn modelId="{FEA56B49-4AE5-4B2C-A8A8-B13FE4A13E19}" type="presParOf" srcId="{7F608B39-B888-4B5A-8D54-57A0AE0CCEAA}" destId="{582E9870-9EDA-4033-9CB5-6145ADD7293B}" srcOrd="3" destOrd="0" presId="urn:microsoft.com/office/officeart/2005/8/layout/hProcess4"/>
    <dgm:cxn modelId="{7B090670-B4DD-47C0-A291-1368C208A67B}" type="presParOf" srcId="{7F608B39-B888-4B5A-8D54-57A0AE0CCEAA}" destId="{E8EEBF08-7CF5-40A2-8416-972102A6159D}" srcOrd="4" destOrd="0" presId="urn:microsoft.com/office/officeart/2005/8/layout/hProcess4"/>
    <dgm:cxn modelId="{56CEC487-82CC-49D9-9CD5-A6E4A7549050}" type="presParOf" srcId="{CDB428F8-DF21-4827-8153-4A1435701C4B}" destId="{BF542D47-0F73-4C39-AECB-6392B969BEE2}" srcOrd="1" destOrd="0" presId="urn:microsoft.com/office/officeart/2005/8/layout/hProcess4"/>
    <dgm:cxn modelId="{CAC1A27F-FB0F-4B70-95E9-95CFDB8DFD80}" type="presParOf" srcId="{CDB428F8-DF21-4827-8153-4A1435701C4B}" destId="{23416E9C-8032-4BEB-95BC-4E55B284DAFA}" srcOrd="2" destOrd="0" presId="urn:microsoft.com/office/officeart/2005/8/layout/hProcess4"/>
    <dgm:cxn modelId="{F3750F8C-2593-41F0-B708-B258FC644C6B}" type="presParOf" srcId="{23416E9C-8032-4BEB-95BC-4E55B284DAFA}" destId="{793AE636-C282-403C-A614-A1555F53E53D}" srcOrd="0" destOrd="0" presId="urn:microsoft.com/office/officeart/2005/8/layout/hProcess4"/>
    <dgm:cxn modelId="{44F2FE17-623F-41C3-B47F-FA25389E1374}" type="presParOf" srcId="{23416E9C-8032-4BEB-95BC-4E55B284DAFA}" destId="{18B80A27-057A-4402-81A4-202F53D937E2}" srcOrd="1" destOrd="0" presId="urn:microsoft.com/office/officeart/2005/8/layout/hProcess4"/>
    <dgm:cxn modelId="{D4D50233-35F7-4820-988C-DD0B0CF80F66}" type="presParOf" srcId="{23416E9C-8032-4BEB-95BC-4E55B284DAFA}" destId="{85101C14-1AA3-4160-B3DB-B17859AE5781}" srcOrd="2" destOrd="0" presId="urn:microsoft.com/office/officeart/2005/8/layout/hProcess4"/>
    <dgm:cxn modelId="{B049A9FD-998F-4F4B-BF87-82F907F0995A}" type="presParOf" srcId="{23416E9C-8032-4BEB-95BC-4E55B284DAFA}" destId="{C5C2BB8A-B954-4CE1-B001-F226211D90EB}" srcOrd="3" destOrd="0" presId="urn:microsoft.com/office/officeart/2005/8/layout/hProcess4"/>
    <dgm:cxn modelId="{0C091366-64D1-4E19-9EE8-21CEEB117200}" type="presParOf" srcId="{23416E9C-8032-4BEB-95BC-4E55B284DAFA}" destId="{460F609C-AF12-4DFA-B20B-724DF3FF7AE5}" srcOrd="4" destOrd="0" presId="urn:microsoft.com/office/officeart/2005/8/layout/hProcess4"/>
    <dgm:cxn modelId="{34BE262D-3799-41D5-A5C5-DA7D8FC13657}" type="presParOf" srcId="{CDB428F8-DF21-4827-8153-4A1435701C4B}" destId="{0D8EEC67-CFCB-4E03-A953-611E63CC3E69}" srcOrd="3" destOrd="0" presId="urn:microsoft.com/office/officeart/2005/8/layout/hProcess4"/>
    <dgm:cxn modelId="{987FCB70-01D9-4460-ABAB-EF1659196C9A}" type="presParOf" srcId="{CDB428F8-DF21-4827-8153-4A1435701C4B}" destId="{C3CD700C-D343-49FB-A2B0-F8A00136FA2B}" srcOrd="4" destOrd="0" presId="urn:microsoft.com/office/officeart/2005/8/layout/hProcess4"/>
    <dgm:cxn modelId="{1B7AC604-1126-4A7C-8628-38222C620DC4}" type="presParOf" srcId="{C3CD700C-D343-49FB-A2B0-F8A00136FA2B}" destId="{6BCC6CEA-7739-4153-B75D-1BD30B35634B}" srcOrd="0" destOrd="0" presId="urn:microsoft.com/office/officeart/2005/8/layout/hProcess4"/>
    <dgm:cxn modelId="{83205EA8-0027-449C-9F0E-865B043E2614}" type="presParOf" srcId="{C3CD700C-D343-49FB-A2B0-F8A00136FA2B}" destId="{CA8DC8C2-902A-4C8E-98D9-C24F3DCA2CE4}" srcOrd="1" destOrd="0" presId="urn:microsoft.com/office/officeart/2005/8/layout/hProcess4"/>
    <dgm:cxn modelId="{9BA58BE8-9E6F-4897-B6AA-93ED5BED76B4}" type="presParOf" srcId="{C3CD700C-D343-49FB-A2B0-F8A00136FA2B}" destId="{E9A9E598-D685-45E4-8D98-9AC98B6B531E}" srcOrd="2" destOrd="0" presId="urn:microsoft.com/office/officeart/2005/8/layout/hProcess4"/>
    <dgm:cxn modelId="{7C13D61E-58CD-471E-9CC8-D7F2A2EA1779}" type="presParOf" srcId="{C3CD700C-D343-49FB-A2B0-F8A00136FA2B}" destId="{97DC40B2-472E-447B-93FF-434AB18F15A3}" srcOrd="3" destOrd="0" presId="urn:microsoft.com/office/officeart/2005/8/layout/hProcess4"/>
    <dgm:cxn modelId="{0FC0EE03-5336-45E3-B2B4-DB31F1C84E00}"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0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649"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390" y="1344097"/>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649" y="951766"/>
          <a:ext cx="1668765" cy="512549"/>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390"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649" y="906046"/>
          <a:ext cx="1668765"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390" y="31899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649" y="439217"/>
          <a:ext cx="1668765" cy="512549"/>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69990"/>
        <a:ext cx="1191975" cy="363552"/>
      </dsp:txXfrm>
    </dsp:sp>
    <dsp:sp modelId="{2C291429-B4A2-48CB-B4CE-C7AA9CC450E2}">
      <dsp:nvSpPr>
        <dsp:cNvPr id="0" name=""/>
        <dsp:cNvSpPr/>
      </dsp:nvSpPr>
      <dsp:spPr>
        <a:xfrm>
          <a:off x="2863415" y="25744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415" y="257440"/>
        <a:ext cx="1191975" cy="363552"/>
      </dsp:txXfrm>
    </dsp:sp>
    <dsp:sp modelId="{518E6223-63A9-47A0-B1D7-ADA4E46FABCE}">
      <dsp:nvSpPr>
        <dsp:cNvPr id="0" name=""/>
        <dsp:cNvSpPr/>
      </dsp:nvSpPr>
      <dsp:spPr>
        <a:xfrm>
          <a:off x="4293785" y="1166"/>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3785" y="1166"/>
        <a:ext cx="1191975" cy="363552"/>
      </dsp:txXfrm>
    </dsp:sp>
    <dsp:sp modelId="{92B9F478-A273-44B2-95C3-B871E0AA16E3}">
      <dsp:nvSpPr>
        <dsp:cNvPr id="0" name=""/>
        <dsp:cNvSpPr/>
      </dsp:nvSpPr>
      <dsp:spPr>
        <a:xfrm>
          <a:off x="2863415"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415" y="769990"/>
        <a:ext cx="1191975" cy="363552"/>
      </dsp:txXfrm>
    </dsp:sp>
    <dsp:sp modelId="{E15DD13E-4644-4575-8E0E-83BAFE252B05}">
      <dsp:nvSpPr>
        <dsp:cNvPr id="0" name=""/>
        <dsp:cNvSpPr/>
      </dsp:nvSpPr>
      <dsp:spPr>
        <a:xfrm>
          <a:off x="4293785"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3785" y="513715"/>
        <a:ext cx="1191975" cy="363552"/>
      </dsp:txXfrm>
    </dsp:sp>
    <dsp:sp modelId="{EB7370D6-F505-475E-BF85-916BA7A221FC}">
      <dsp:nvSpPr>
        <dsp:cNvPr id="0" name=""/>
        <dsp:cNvSpPr/>
      </dsp:nvSpPr>
      <dsp:spPr>
        <a:xfrm>
          <a:off x="2863415" y="1282539"/>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415" y="1282539"/>
        <a:ext cx="1191975" cy="363552"/>
      </dsp:txXfrm>
    </dsp:sp>
    <dsp:sp modelId="{47E79CE5-8FD2-4FA9-816E-8BE3C3CB8C1F}">
      <dsp:nvSpPr>
        <dsp:cNvPr id="0" name=""/>
        <dsp:cNvSpPr/>
      </dsp:nvSpPr>
      <dsp:spPr>
        <a:xfrm>
          <a:off x="4293785" y="1026264"/>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3785" y="1026264"/>
        <a:ext cx="1191975" cy="363552"/>
      </dsp:txXfrm>
    </dsp:sp>
    <dsp:sp modelId="{1B219043-7F54-4BD6-ABA2-CB85048D7527}">
      <dsp:nvSpPr>
        <dsp:cNvPr id="0" name=""/>
        <dsp:cNvSpPr/>
      </dsp:nvSpPr>
      <dsp:spPr>
        <a:xfrm>
          <a:off x="1433044"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044" y="513715"/>
        <a:ext cx="1191975" cy="36355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18918"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34557" y="16785"/>
        <a:ext cx="1036662" cy="502692"/>
      </dsp:txXfrm>
    </dsp:sp>
    <dsp:sp modelId="{9C5243F3-3BD2-448D-9FEC-175D5DE5FB95}">
      <dsp:nvSpPr>
        <dsp:cNvPr id="0" name=""/>
        <dsp:cNvSpPr/>
      </dsp:nvSpPr>
      <dsp:spPr>
        <a:xfrm>
          <a:off x="425712"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32506"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48145" y="684248"/>
        <a:ext cx="823074" cy="502692"/>
      </dsp:txXfrm>
    </dsp:sp>
    <dsp:sp modelId="{73A58F98-06D7-4D0A-8A39-E6F92FBE09DF}">
      <dsp:nvSpPr>
        <dsp:cNvPr id="0" name=""/>
        <dsp:cNvSpPr/>
      </dsp:nvSpPr>
      <dsp:spPr>
        <a:xfrm>
          <a:off x="425712"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32506"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48145" y="1351711"/>
        <a:ext cx="823074" cy="502692"/>
      </dsp:txXfrm>
    </dsp:sp>
    <dsp:sp modelId="{0F43FBEE-DF29-447C-B990-CDA7C4C2CE5C}">
      <dsp:nvSpPr>
        <dsp:cNvPr id="0" name=""/>
        <dsp:cNvSpPr/>
      </dsp:nvSpPr>
      <dsp:spPr>
        <a:xfrm>
          <a:off x="4379175" y="0"/>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394814" y="15639"/>
        <a:ext cx="1036662" cy="502692"/>
      </dsp:txXfrm>
    </dsp:sp>
    <dsp:sp modelId="{9EC2E1A0-16D1-4F52-918C-99C35BC8F566}">
      <dsp:nvSpPr>
        <dsp:cNvPr id="0" name=""/>
        <dsp:cNvSpPr/>
      </dsp:nvSpPr>
      <dsp:spPr>
        <a:xfrm>
          <a:off x="4485969" y="533970"/>
          <a:ext cx="110692" cy="373035"/>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596661" y="640020"/>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12300" y="655659"/>
        <a:ext cx="823074" cy="502692"/>
      </dsp:txXfrm>
    </dsp:sp>
    <dsp:sp modelId="{1AF3619D-B9CC-44DB-AD4A-1AF22F1C9DBA}">
      <dsp:nvSpPr>
        <dsp:cNvPr id="0" name=""/>
        <dsp:cNvSpPr/>
      </dsp:nvSpPr>
      <dsp:spPr>
        <a:xfrm>
          <a:off x="4485969" y="533970"/>
          <a:ext cx="158347" cy="1030972"/>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44317" y="1297957"/>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59956" y="1313596"/>
        <a:ext cx="823074" cy="502692"/>
      </dsp:txXfrm>
    </dsp:sp>
    <dsp:sp modelId="{D63AEAA9-2D7C-47C1-8810-CBACF93C645A}">
      <dsp:nvSpPr>
        <dsp:cNvPr id="0" name=""/>
        <dsp:cNvSpPr/>
      </dsp:nvSpPr>
      <dsp:spPr>
        <a:xfrm>
          <a:off x="2988770"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04409" y="16785"/>
        <a:ext cx="1036662" cy="502692"/>
      </dsp:txXfrm>
    </dsp:sp>
    <dsp:sp modelId="{07E12C06-DF4C-4847-A365-0DA62AF9B97B}">
      <dsp:nvSpPr>
        <dsp:cNvPr id="0" name=""/>
        <dsp:cNvSpPr/>
      </dsp:nvSpPr>
      <dsp:spPr>
        <a:xfrm>
          <a:off x="3095564"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02358"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17997" y="684248"/>
        <a:ext cx="823074" cy="502692"/>
      </dsp:txXfrm>
    </dsp:sp>
    <dsp:sp modelId="{20853827-3E97-4848-A643-5850B4B5AC8E}">
      <dsp:nvSpPr>
        <dsp:cNvPr id="0" name=""/>
        <dsp:cNvSpPr/>
      </dsp:nvSpPr>
      <dsp:spPr>
        <a:xfrm>
          <a:off x="3095564"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02358"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17997" y="1351711"/>
        <a:ext cx="823074" cy="502692"/>
      </dsp:txXfrm>
    </dsp:sp>
    <dsp:sp modelId="{EDCDB10A-4565-462C-9838-2CED1D6D0FB7}">
      <dsp:nvSpPr>
        <dsp:cNvPr id="0" name=""/>
        <dsp:cNvSpPr/>
      </dsp:nvSpPr>
      <dsp:spPr>
        <a:xfrm>
          <a:off x="3095564" y="535116"/>
          <a:ext cx="106794" cy="1735403"/>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02358" y="200353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17997" y="2019174"/>
        <a:ext cx="823074" cy="502692"/>
      </dsp:txXfrm>
    </dsp:sp>
    <dsp:sp modelId="{82587C02-6832-4C41-8E13-1B5F26233958}">
      <dsp:nvSpPr>
        <dsp:cNvPr id="0" name=""/>
        <dsp:cNvSpPr/>
      </dsp:nvSpPr>
      <dsp:spPr>
        <a:xfrm>
          <a:off x="1569775" y="2657"/>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585414" y="18296"/>
        <a:ext cx="1036662" cy="502692"/>
      </dsp:txXfrm>
    </dsp:sp>
    <dsp:sp modelId="{F3B29933-49F7-429E-93CC-A20D864E0016}">
      <dsp:nvSpPr>
        <dsp:cNvPr id="0" name=""/>
        <dsp:cNvSpPr/>
      </dsp:nvSpPr>
      <dsp:spPr>
        <a:xfrm>
          <a:off x="1676569" y="536627"/>
          <a:ext cx="106794" cy="446612"/>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783364" y="71625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799003" y="731894"/>
        <a:ext cx="823074" cy="502692"/>
      </dsp:txXfrm>
    </dsp:sp>
    <dsp:sp modelId="{534C199A-9BD0-41D2-A21A-01D939A132C7}">
      <dsp:nvSpPr>
        <dsp:cNvPr id="0" name=""/>
        <dsp:cNvSpPr/>
      </dsp:nvSpPr>
      <dsp:spPr>
        <a:xfrm>
          <a:off x="1676569" y="536627"/>
          <a:ext cx="143343" cy="1134788"/>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19913" y="1404431"/>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35552" y="1420070"/>
        <a:ext cx="823074" cy="502692"/>
      </dsp:txXfrm>
    </dsp:sp>
    <dsp:sp modelId="{013C1FE1-5D2F-4766-9B4D-003DB15D668D}">
      <dsp:nvSpPr>
        <dsp:cNvPr id="0" name=""/>
        <dsp:cNvSpPr/>
      </dsp:nvSpPr>
      <dsp:spPr>
        <a:xfrm>
          <a:off x="1676569" y="536627"/>
          <a:ext cx="144915" cy="1743423"/>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21485" y="2013066"/>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37124" y="2028705"/>
        <a:ext cx="823074" cy="502692"/>
      </dsp:txXfrm>
    </dsp:sp>
    <dsp:sp modelId="{3E1472E8-62E9-496E-B5AC-C0C1D452FA1A}">
      <dsp:nvSpPr>
        <dsp:cNvPr id="0" name=""/>
        <dsp:cNvSpPr/>
      </dsp:nvSpPr>
      <dsp:spPr>
        <a:xfrm>
          <a:off x="1676569" y="536627"/>
          <a:ext cx="163958" cy="2402501"/>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40528" y="2672144"/>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56167" y="2687783"/>
        <a:ext cx="823074" cy="50269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9120"/>
          <a:ext cx="2130748" cy="852299"/>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9120"/>
        <a:ext cx="1917673" cy="852299"/>
      </dsp:txXfrm>
    </dsp:sp>
    <dsp:sp modelId="{C02368D3-3D2F-4216-8700-A8A716D08BA9}">
      <dsp:nvSpPr>
        <dsp:cNvPr id="0" name=""/>
        <dsp:cNvSpPr/>
      </dsp:nvSpPr>
      <dsp:spPr>
        <a:xfrm>
          <a:off x="1702458" y="429120"/>
          <a:ext cx="2130748" cy="852299"/>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8608" y="429120"/>
        <a:ext cx="1278449" cy="852299"/>
      </dsp:txXfrm>
    </dsp:sp>
    <dsp:sp modelId="{0402E29A-96C8-4E1F-90FC-726FFA2C37A7}">
      <dsp:nvSpPr>
        <dsp:cNvPr id="0" name=""/>
        <dsp:cNvSpPr/>
      </dsp:nvSpPr>
      <dsp:spPr>
        <a:xfrm>
          <a:off x="3407057" y="429120"/>
          <a:ext cx="2130748" cy="852299"/>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33207" y="429120"/>
        <a:ext cx="1278449" cy="852299"/>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155" y="1236783"/>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Doručenie ŽoNFP na RO</a:t>
          </a:r>
        </a:p>
      </dsp:txBody>
      <dsp:txXfrm>
        <a:off x="21704" y="1258332"/>
        <a:ext cx="1428348" cy="692625"/>
      </dsp:txXfrm>
    </dsp:sp>
    <dsp:sp modelId="{58329EFC-43E5-4A70-A631-E56F9E671367}">
      <dsp:nvSpPr>
        <dsp:cNvPr id="0" name=""/>
        <dsp:cNvSpPr/>
      </dsp:nvSpPr>
      <dsp:spPr>
        <a:xfrm rot="19457599">
          <a:off x="1403473" y="1372492"/>
          <a:ext cx="724836" cy="41264"/>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7771" y="1375003"/>
        <a:ext cx="36241" cy="36241"/>
      </dsp:txXfrm>
    </dsp:sp>
    <dsp:sp modelId="{08CA2AB2-5D3C-47AF-AD71-274655C10F0B}">
      <dsp:nvSpPr>
        <dsp:cNvPr id="0" name=""/>
        <dsp:cNvSpPr/>
      </dsp:nvSpPr>
      <dsp:spPr>
        <a:xfrm>
          <a:off x="2060181" y="813742"/>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doručená riadne, včas a vo forme určenej RO</a:t>
          </a:r>
        </a:p>
      </dsp:txBody>
      <dsp:txXfrm>
        <a:off x="2081730" y="835291"/>
        <a:ext cx="1428348" cy="692625"/>
      </dsp:txXfrm>
    </dsp:sp>
    <dsp:sp modelId="{CBA1ED5A-2759-433B-93A9-1BF9D50BA01A}">
      <dsp:nvSpPr>
        <dsp:cNvPr id="0" name=""/>
        <dsp:cNvSpPr/>
      </dsp:nvSpPr>
      <dsp:spPr>
        <a:xfrm>
          <a:off x="3531628" y="1160971"/>
          <a:ext cx="588578" cy="41264"/>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1203" y="1166889"/>
        <a:ext cx="29428" cy="29428"/>
      </dsp:txXfrm>
    </dsp:sp>
    <dsp:sp modelId="{158FBC8E-B874-4663-9094-01DA4CF1E41D}">
      <dsp:nvSpPr>
        <dsp:cNvPr id="0" name=""/>
        <dsp:cNvSpPr/>
      </dsp:nvSpPr>
      <dsp:spPr>
        <a:xfrm>
          <a:off x="4120207" y="813742"/>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Registrácia doručenej ŽoNFP</a:t>
          </a:r>
        </a:p>
      </dsp:txBody>
      <dsp:txXfrm>
        <a:off x="4141756" y="835291"/>
        <a:ext cx="1428348" cy="692625"/>
      </dsp:txXfrm>
    </dsp:sp>
    <dsp:sp modelId="{2D7347FF-F8E2-485E-B0C2-A750C56F748E}">
      <dsp:nvSpPr>
        <dsp:cNvPr id="0" name=""/>
        <dsp:cNvSpPr/>
      </dsp:nvSpPr>
      <dsp:spPr>
        <a:xfrm rot="2142401">
          <a:off x="1403473" y="1795533"/>
          <a:ext cx="724836" cy="41264"/>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7771" y="1798044"/>
        <a:ext cx="36241" cy="36241"/>
      </dsp:txXfrm>
    </dsp:sp>
    <dsp:sp modelId="{6898A610-2F97-4B55-9A9B-3F73A1FD27CD}">
      <dsp:nvSpPr>
        <dsp:cNvPr id="0" name=""/>
        <dsp:cNvSpPr/>
      </dsp:nvSpPr>
      <dsp:spPr>
        <a:xfrm>
          <a:off x="2060181" y="1659824"/>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nie je doručená riadne a/alebo včas a /alebo vo forme určenej RO</a:t>
          </a:r>
        </a:p>
      </dsp:txBody>
      <dsp:txXfrm>
        <a:off x="2081730" y="1681373"/>
        <a:ext cx="1428348" cy="692625"/>
      </dsp:txXfrm>
    </dsp:sp>
    <dsp:sp modelId="{4ED72815-A081-4CEB-9EDA-E9A661596D18}">
      <dsp:nvSpPr>
        <dsp:cNvPr id="0" name=""/>
        <dsp:cNvSpPr/>
      </dsp:nvSpPr>
      <dsp:spPr>
        <a:xfrm>
          <a:off x="3531628" y="2007053"/>
          <a:ext cx="588578" cy="41264"/>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1203" y="2012971"/>
        <a:ext cx="29428" cy="29428"/>
      </dsp:txXfrm>
    </dsp:sp>
    <dsp:sp modelId="{E5C3F144-3AB1-4041-A4FB-8B06B9600829}">
      <dsp:nvSpPr>
        <dsp:cNvPr id="0" name=""/>
        <dsp:cNvSpPr/>
      </dsp:nvSpPr>
      <dsp:spPr>
        <a:xfrm>
          <a:off x="4120207" y="1659824"/>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Rozhodnutie o zastavení konania</a:t>
          </a:r>
        </a:p>
      </dsp:txBody>
      <dsp:txXfrm>
        <a:off x="4141756" y="1681373"/>
        <a:ext cx="1428348" cy="692625"/>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44963" y="93767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60869" y="953576"/>
        <a:ext cx="1054308" cy="511248"/>
      </dsp:txXfrm>
    </dsp:sp>
    <dsp:sp modelId="{58329EFC-43E5-4A70-A631-E56F9E671367}">
      <dsp:nvSpPr>
        <dsp:cNvPr id="0" name=""/>
        <dsp:cNvSpPr/>
      </dsp:nvSpPr>
      <dsp:spPr>
        <a:xfrm rot="17692822">
          <a:off x="1431999" y="724748"/>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714995"/>
        <a:ext cx="51630" cy="51630"/>
      </dsp:txXfrm>
    </dsp:sp>
    <dsp:sp modelId="{08CA2AB2-5D3C-47AF-AD71-274655C10F0B}">
      <dsp:nvSpPr>
        <dsp:cNvPr id="0" name=""/>
        <dsp:cNvSpPr/>
      </dsp:nvSpPr>
      <dsp:spPr>
        <a:xfrm>
          <a:off x="2165532"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181438" y="16797"/>
        <a:ext cx="1054308" cy="511248"/>
      </dsp:txXfrm>
    </dsp:sp>
    <dsp:sp modelId="{CBA1ED5A-2759-433B-93A9-1BF9D50BA01A}">
      <dsp:nvSpPr>
        <dsp:cNvPr id="0" name=""/>
        <dsp:cNvSpPr/>
      </dsp:nvSpPr>
      <dsp:spPr>
        <a:xfrm>
          <a:off x="3251652" y="256359"/>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61560"/>
        <a:ext cx="21722" cy="21722"/>
      </dsp:txXfrm>
    </dsp:sp>
    <dsp:sp modelId="{158FBC8E-B874-4663-9094-01DA4CF1E41D}">
      <dsp:nvSpPr>
        <dsp:cNvPr id="0" name=""/>
        <dsp:cNvSpPr/>
      </dsp:nvSpPr>
      <dsp:spPr>
        <a:xfrm>
          <a:off x="3686100"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6797"/>
        <a:ext cx="1054308" cy="511248"/>
      </dsp:txXfrm>
    </dsp:sp>
    <dsp:sp modelId="{2D7347FF-F8E2-485E-B0C2-A750C56F748E}">
      <dsp:nvSpPr>
        <dsp:cNvPr id="0" name=""/>
        <dsp:cNvSpPr/>
      </dsp:nvSpPr>
      <dsp:spPr>
        <a:xfrm rot="19457599">
          <a:off x="1680795" y="1037008"/>
          <a:ext cx="535024"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34932" y="1039694"/>
        <a:ext cx="26751" cy="26751"/>
      </dsp:txXfrm>
    </dsp:sp>
    <dsp:sp modelId="{6898A610-2F97-4B55-9A9B-3F73A1FD27CD}">
      <dsp:nvSpPr>
        <dsp:cNvPr id="0" name=""/>
        <dsp:cNvSpPr/>
      </dsp:nvSpPr>
      <dsp:spPr>
        <a:xfrm>
          <a:off x="2165532"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181438" y="641316"/>
        <a:ext cx="1054308" cy="511248"/>
      </dsp:txXfrm>
    </dsp:sp>
    <dsp:sp modelId="{4ED72815-A081-4CEB-9EDA-E9A661596D18}">
      <dsp:nvSpPr>
        <dsp:cNvPr id="0" name=""/>
        <dsp:cNvSpPr/>
      </dsp:nvSpPr>
      <dsp:spPr>
        <a:xfrm>
          <a:off x="3251652" y="880878"/>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886079"/>
        <a:ext cx="21722" cy="21722"/>
      </dsp:txXfrm>
    </dsp:sp>
    <dsp:sp modelId="{E5C3F144-3AB1-4041-A4FB-8B06B9600829}">
      <dsp:nvSpPr>
        <dsp:cNvPr id="0" name=""/>
        <dsp:cNvSpPr/>
      </dsp:nvSpPr>
      <dsp:spPr>
        <a:xfrm>
          <a:off x="3686100"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02006" y="641316"/>
        <a:ext cx="1054308" cy="511248"/>
      </dsp:txXfrm>
    </dsp:sp>
    <dsp:sp modelId="{38EB2FAB-C7D0-4D8F-95C2-0EE881BF55E5}">
      <dsp:nvSpPr>
        <dsp:cNvPr id="0" name=""/>
        <dsp:cNvSpPr/>
      </dsp:nvSpPr>
      <dsp:spPr>
        <a:xfrm rot="3907178">
          <a:off x="1431999" y="1661527"/>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1651774"/>
        <a:ext cx="51630" cy="51630"/>
      </dsp:txXfrm>
    </dsp:sp>
    <dsp:sp modelId="{8DDBB6C2-FDBD-4EC2-8B16-FB97A5BEC13C}">
      <dsp:nvSpPr>
        <dsp:cNvPr id="0" name=""/>
        <dsp:cNvSpPr/>
      </dsp:nvSpPr>
      <dsp:spPr>
        <a:xfrm>
          <a:off x="2165532"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181438" y="1890355"/>
        <a:ext cx="1054308" cy="511248"/>
      </dsp:txXfrm>
    </dsp:sp>
    <dsp:sp modelId="{49BFA34C-9A01-485D-80DB-164D95FDE7D7}">
      <dsp:nvSpPr>
        <dsp:cNvPr id="0" name=""/>
        <dsp:cNvSpPr/>
      </dsp:nvSpPr>
      <dsp:spPr>
        <a:xfrm rot="18289469">
          <a:off x="3088492" y="1817657"/>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1814700"/>
        <a:ext cx="38038" cy="38038"/>
      </dsp:txXfrm>
    </dsp:sp>
    <dsp:sp modelId="{7569289F-F9A0-4BEB-937E-A66C6C7EFC35}">
      <dsp:nvSpPr>
        <dsp:cNvPr id="0" name=""/>
        <dsp:cNvSpPr/>
      </dsp:nvSpPr>
      <dsp:spPr>
        <a:xfrm>
          <a:off x="3686100" y="124992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265835"/>
        <a:ext cx="1054308" cy="511248"/>
      </dsp:txXfrm>
    </dsp:sp>
    <dsp:sp modelId="{BD8DE141-6F33-41CA-A362-12945E62E9B5}">
      <dsp:nvSpPr>
        <dsp:cNvPr id="0" name=""/>
        <dsp:cNvSpPr/>
      </dsp:nvSpPr>
      <dsp:spPr>
        <a:xfrm>
          <a:off x="3251652" y="2129917"/>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135118"/>
        <a:ext cx="21722" cy="21722"/>
      </dsp:txXfrm>
    </dsp:sp>
    <dsp:sp modelId="{71FC0E61-F591-486B-920A-552B564125B5}">
      <dsp:nvSpPr>
        <dsp:cNvPr id="0" name=""/>
        <dsp:cNvSpPr/>
      </dsp:nvSpPr>
      <dsp:spPr>
        <a:xfrm>
          <a:off x="3686100"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02006" y="1890355"/>
        <a:ext cx="1054308" cy="511248"/>
      </dsp:txXfrm>
    </dsp:sp>
    <dsp:sp modelId="{B7B412FC-52A0-4445-B27F-521261890E22}">
      <dsp:nvSpPr>
        <dsp:cNvPr id="0" name=""/>
        <dsp:cNvSpPr/>
      </dsp:nvSpPr>
      <dsp:spPr>
        <a:xfrm rot="3310531">
          <a:off x="3088492" y="2442176"/>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2439219"/>
        <a:ext cx="38038" cy="38038"/>
      </dsp:txXfrm>
    </dsp:sp>
    <dsp:sp modelId="{1240CE2A-12EF-4101-909B-DBE20E9DA603}">
      <dsp:nvSpPr>
        <dsp:cNvPr id="0" name=""/>
        <dsp:cNvSpPr/>
      </dsp:nvSpPr>
      <dsp:spPr>
        <a:xfrm>
          <a:off x="3686100" y="2498968"/>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02006" y="2514874"/>
        <a:ext cx="1054308" cy="511248"/>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6049" y="248358"/>
          <a:ext cx="91440" cy="227204"/>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3631" y="248358"/>
          <a:ext cx="1280357" cy="454409"/>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37911" y="248358"/>
          <a:ext cx="91440" cy="454409"/>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27330" y="1592581"/>
          <a:ext cx="91440" cy="294901"/>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24912" y="1592581"/>
          <a:ext cx="117355" cy="1045109"/>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24912" y="1592581"/>
          <a:ext cx="646559" cy="438027"/>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24912" y="248358"/>
          <a:ext cx="1258719" cy="454409"/>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9531" y="1397"/>
          <a:ext cx="1608199"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9531" y="1397"/>
        <a:ext cx="1608199" cy="246961"/>
      </dsp:txXfrm>
    </dsp:sp>
    <dsp:sp modelId="{A2E30FAD-E456-4285-B56D-18250DB99DCB}">
      <dsp:nvSpPr>
        <dsp:cNvPr id="0" name=""/>
        <dsp:cNvSpPr/>
      </dsp:nvSpPr>
      <dsp:spPr>
        <a:xfrm>
          <a:off x="1212368" y="702768"/>
          <a:ext cx="1225087" cy="88981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212368" y="702768"/>
        <a:ext cx="1225087" cy="889812"/>
      </dsp:txXfrm>
    </dsp:sp>
    <dsp:sp modelId="{8D70B6FB-BBCD-4462-B470-D6DEB9A7CDA4}">
      <dsp:nvSpPr>
        <dsp:cNvPr id="0" name=""/>
        <dsp:cNvSpPr/>
      </dsp:nvSpPr>
      <dsp:spPr>
        <a:xfrm>
          <a:off x="2471472" y="1808487"/>
          <a:ext cx="1490013" cy="444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71472" y="1808487"/>
        <a:ext cx="1490013" cy="444242"/>
      </dsp:txXfrm>
    </dsp:sp>
    <dsp:sp modelId="{F0FA768E-9EEE-4817-8C93-A2D41D44F444}">
      <dsp:nvSpPr>
        <dsp:cNvPr id="0" name=""/>
        <dsp:cNvSpPr/>
      </dsp:nvSpPr>
      <dsp:spPr>
        <a:xfrm>
          <a:off x="1942267" y="2410985"/>
          <a:ext cx="1668473" cy="45341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42267" y="2410985"/>
        <a:ext cx="1668473" cy="453411"/>
      </dsp:txXfrm>
    </dsp:sp>
    <dsp:sp modelId="{973F57A0-5DD3-4F0E-BEFA-671E94FB2CBE}">
      <dsp:nvSpPr>
        <dsp:cNvPr id="0" name=""/>
        <dsp:cNvSpPr/>
      </dsp:nvSpPr>
      <dsp:spPr>
        <a:xfrm>
          <a:off x="531505" y="1696305"/>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31505" y="1696305"/>
        <a:ext cx="1241545" cy="382355"/>
      </dsp:txXfrm>
    </dsp:sp>
    <dsp:sp modelId="{CD9AD5BE-E741-4DCD-BB42-EC27E05E1879}">
      <dsp:nvSpPr>
        <dsp:cNvPr id="0" name=""/>
        <dsp:cNvSpPr/>
      </dsp:nvSpPr>
      <dsp:spPr>
        <a:xfrm>
          <a:off x="2541180" y="702768"/>
          <a:ext cx="1128180" cy="79722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41180" y="702768"/>
        <a:ext cx="1128180" cy="797221"/>
      </dsp:txXfrm>
    </dsp:sp>
    <dsp:sp modelId="{F806445A-6FFA-49B4-991B-AFFB35FD1F7F}">
      <dsp:nvSpPr>
        <dsp:cNvPr id="0" name=""/>
        <dsp:cNvSpPr/>
      </dsp:nvSpPr>
      <dsp:spPr>
        <a:xfrm>
          <a:off x="3773084" y="702768"/>
          <a:ext cx="1181810" cy="77974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73084" y="702768"/>
        <a:ext cx="1181810" cy="779741"/>
      </dsp:txXfrm>
    </dsp:sp>
    <dsp:sp modelId="{84FD2034-3F62-4273-ACE0-F6D1E81A6C5B}">
      <dsp:nvSpPr>
        <dsp:cNvPr id="0" name=""/>
        <dsp:cNvSpPr/>
      </dsp:nvSpPr>
      <dsp:spPr>
        <a:xfrm>
          <a:off x="2095641" y="352082"/>
          <a:ext cx="936127"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95641" y="352082"/>
        <a:ext cx="936127" cy="246961"/>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3608" y="1503930"/>
          <a:ext cx="1128003" cy="100714"/>
        </a:xfrm>
        <a:custGeom>
          <a:avLst/>
          <a:gdLst/>
          <a:ahLst/>
          <a:cxnLst/>
          <a:rect l="0" t="0" r="0" b="0"/>
          <a:pathLst>
            <a:path>
              <a:moveTo>
                <a:pt x="0" y="100714"/>
              </a:moveTo>
              <a:lnTo>
                <a:pt x="1128003" y="100714"/>
              </a:lnTo>
              <a:lnTo>
                <a:pt x="112800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3608" y="1604645"/>
          <a:ext cx="2256007" cy="1039374"/>
        </a:xfrm>
        <a:custGeom>
          <a:avLst/>
          <a:gdLst/>
          <a:ahLst/>
          <a:cxnLst/>
          <a:rect l="0" t="0" r="0" b="0"/>
          <a:pathLst>
            <a:path>
              <a:moveTo>
                <a:pt x="0" y="0"/>
              </a:moveTo>
              <a:lnTo>
                <a:pt x="2094863" y="0"/>
              </a:lnTo>
              <a:lnTo>
                <a:pt x="2094863" y="1039374"/>
              </a:lnTo>
              <a:lnTo>
                <a:pt x="2256007" y="10393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3608" y="1604645"/>
          <a:ext cx="2256007" cy="346458"/>
        </a:xfrm>
        <a:custGeom>
          <a:avLst/>
          <a:gdLst/>
          <a:ahLst/>
          <a:cxnLst/>
          <a:rect l="0" t="0" r="0" b="0"/>
          <a:pathLst>
            <a:path>
              <a:moveTo>
                <a:pt x="0" y="0"/>
              </a:moveTo>
              <a:lnTo>
                <a:pt x="2094863" y="0"/>
              </a:lnTo>
              <a:lnTo>
                <a:pt x="2094863" y="346458"/>
              </a:lnTo>
              <a:lnTo>
                <a:pt x="2256007" y="3464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3608" y="1266134"/>
          <a:ext cx="2258182" cy="338510"/>
        </a:xfrm>
        <a:custGeom>
          <a:avLst/>
          <a:gdLst/>
          <a:ahLst/>
          <a:cxnLst/>
          <a:rect l="0" t="0" r="0" b="0"/>
          <a:pathLst>
            <a:path>
              <a:moveTo>
                <a:pt x="0" y="338510"/>
              </a:moveTo>
              <a:lnTo>
                <a:pt x="2097039" y="338510"/>
              </a:lnTo>
              <a:lnTo>
                <a:pt x="2097039" y="0"/>
              </a:lnTo>
              <a:lnTo>
                <a:pt x="2258182"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3608" y="565270"/>
          <a:ext cx="2256007" cy="1039374"/>
        </a:xfrm>
        <a:custGeom>
          <a:avLst/>
          <a:gdLst/>
          <a:ahLst/>
          <a:cxnLst/>
          <a:rect l="0" t="0" r="0" b="0"/>
          <a:pathLst>
            <a:path>
              <a:moveTo>
                <a:pt x="0" y="1039374"/>
              </a:moveTo>
              <a:lnTo>
                <a:pt x="2094863" y="1039374"/>
              </a:lnTo>
              <a:lnTo>
                <a:pt x="2094863" y="0"/>
              </a:lnTo>
              <a:lnTo>
                <a:pt x="2256007"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5" y="1358901"/>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5" y="1358901"/>
        <a:ext cx="1611433" cy="491487"/>
      </dsp:txXfrm>
    </dsp:sp>
    <dsp:sp modelId="{D6F1F3D3-260D-4F68-AD95-4A0DA4317686}">
      <dsp:nvSpPr>
        <dsp:cNvPr id="0" name=""/>
        <dsp:cNvSpPr/>
      </dsp:nvSpPr>
      <dsp:spPr>
        <a:xfrm>
          <a:off x="3869616" y="31952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69616" y="319526"/>
        <a:ext cx="1611433" cy="491487"/>
      </dsp:txXfrm>
    </dsp:sp>
    <dsp:sp modelId="{57BADDCE-E03D-4FA8-BE95-75A53E54CF23}">
      <dsp:nvSpPr>
        <dsp:cNvPr id="0" name=""/>
        <dsp:cNvSpPr/>
      </dsp:nvSpPr>
      <dsp:spPr>
        <a:xfrm>
          <a:off x="3871791" y="1020390"/>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1791" y="1020390"/>
        <a:ext cx="1611433" cy="491487"/>
      </dsp:txXfrm>
    </dsp:sp>
    <dsp:sp modelId="{A2859573-8743-449F-B0BE-856E93120483}">
      <dsp:nvSpPr>
        <dsp:cNvPr id="0" name=""/>
        <dsp:cNvSpPr/>
      </dsp:nvSpPr>
      <dsp:spPr>
        <a:xfrm>
          <a:off x="3869616" y="1705359"/>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69616" y="1705359"/>
        <a:ext cx="1611433" cy="491487"/>
      </dsp:txXfrm>
    </dsp:sp>
    <dsp:sp modelId="{D58F5FB6-D082-4896-AB56-35CB667A078E}">
      <dsp:nvSpPr>
        <dsp:cNvPr id="0" name=""/>
        <dsp:cNvSpPr/>
      </dsp:nvSpPr>
      <dsp:spPr>
        <a:xfrm>
          <a:off x="3869616" y="239827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69616" y="2398276"/>
        <a:ext cx="1611433" cy="491487"/>
      </dsp:txXfrm>
    </dsp:sp>
    <dsp:sp modelId="{02D656AE-862B-4D20-907C-41811806EF20}">
      <dsp:nvSpPr>
        <dsp:cNvPr id="0" name=""/>
        <dsp:cNvSpPr/>
      </dsp:nvSpPr>
      <dsp:spPr>
        <a:xfrm>
          <a:off x="1935895" y="1012443"/>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5895" y="1012443"/>
        <a:ext cx="1611433" cy="491487"/>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3514" y="0"/>
          <a:ext cx="3439826" cy="233997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47"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50038" y="747683"/>
        <a:ext cx="1211199" cy="844608"/>
      </dsp:txXfrm>
    </dsp:sp>
    <dsp:sp modelId="{AB1E07D6-FDC4-4A05-9385-9A6A3DCD6F98}">
      <dsp:nvSpPr>
        <dsp:cNvPr id="0" name=""/>
        <dsp:cNvSpPr/>
      </dsp:nvSpPr>
      <dsp:spPr>
        <a:xfrm>
          <a:off x="137213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7827" y="747683"/>
        <a:ext cx="1211199" cy="844608"/>
      </dsp:txXfrm>
    </dsp:sp>
    <dsp:sp modelId="{AA435572-59CF-46AB-9A97-BB2BEBF824DA}">
      <dsp:nvSpPr>
        <dsp:cNvPr id="0" name=""/>
        <dsp:cNvSpPr/>
      </dsp:nvSpPr>
      <dsp:spPr>
        <a:xfrm>
          <a:off x="273992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85617" y="747683"/>
        <a:ext cx="1211199" cy="844608"/>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2032"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479" y="148085"/>
        <a:ext cx="1686783" cy="817944"/>
      </dsp:txXfrm>
    </dsp:sp>
    <dsp:sp modelId="{A8111FA3-F3CB-4919-9821-8B6C9F4B41DC}">
      <dsp:nvSpPr>
        <dsp:cNvPr id="0" name=""/>
        <dsp:cNvSpPr/>
      </dsp:nvSpPr>
      <dsp:spPr>
        <a:xfrm>
          <a:off x="1739709" y="520055"/>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539680"/>
        <a:ext cx="34753" cy="34753"/>
      </dsp:txXfrm>
    </dsp:sp>
    <dsp:sp modelId="{AC727610-2ABF-441D-9DF6-61C7A3E8896F}">
      <dsp:nvSpPr>
        <dsp:cNvPr id="0" name=""/>
        <dsp:cNvSpPr/>
      </dsp:nvSpPr>
      <dsp:spPr>
        <a:xfrm>
          <a:off x="2434780"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60227" y="148085"/>
        <a:ext cx="1686783" cy="817944"/>
      </dsp:txXfrm>
    </dsp:sp>
    <dsp:sp modelId="{4436D034-8F5D-4167-8691-8F8EA77FE285}">
      <dsp:nvSpPr>
        <dsp:cNvPr id="0" name=""/>
        <dsp:cNvSpPr/>
      </dsp:nvSpPr>
      <dsp:spPr>
        <a:xfrm>
          <a:off x="2032"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479" y="1147249"/>
        <a:ext cx="1686783" cy="817944"/>
      </dsp:txXfrm>
    </dsp:sp>
    <dsp:sp modelId="{D2EBDF05-DB72-48B0-BFC6-DB38B4F81BD4}">
      <dsp:nvSpPr>
        <dsp:cNvPr id="0" name=""/>
        <dsp:cNvSpPr/>
      </dsp:nvSpPr>
      <dsp:spPr>
        <a:xfrm>
          <a:off x="1739709" y="1519220"/>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1538845"/>
        <a:ext cx="34753" cy="34753"/>
      </dsp:txXfrm>
    </dsp:sp>
    <dsp:sp modelId="{0A6EF1A8-9F22-498C-9D4C-17997D2EE438}">
      <dsp:nvSpPr>
        <dsp:cNvPr id="0" name=""/>
        <dsp:cNvSpPr/>
      </dsp:nvSpPr>
      <dsp:spPr>
        <a:xfrm>
          <a:off x="2434780"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60227" y="1147249"/>
        <a:ext cx="1686783" cy="817944"/>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0880" y="655674"/>
          <a:ext cx="91440" cy="33130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2224" y="655674"/>
          <a:ext cx="1307225" cy="662615"/>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2224" y="655674"/>
          <a:ext cx="435741" cy="662615"/>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6483" y="655674"/>
          <a:ext cx="435741" cy="662615"/>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84999" y="655674"/>
          <a:ext cx="1307225" cy="662615"/>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16356" y="603"/>
          <a:ext cx="2351737" cy="6550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16356" y="603"/>
        <a:ext cx="2351737" cy="655071"/>
      </dsp:txXfrm>
    </dsp:sp>
    <dsp:sp modelId="{AF7A5E30-790C-4E0A-8D06-C2B15C460200}">
      <dsp:nvSpPr>
        <dsp:cNvPr id="0" name=""/>
        <dsp:cNvSpPr/>
      </dsp:nvSpPr>
      <dsp:spPr>
        <a:xfrm>
          <a:off x="1924882" y="1318290"/>
          <a:ext cx="720234" cy="189547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24882" y="1318290"/>
        <a:ext cx="720234" cy="1895476"/>
      </dsp:txXfrm>
    </dsp:sp>
    <dsp:sp modelId="{17878173-F4A6-46C4-ABDD-8850F220BCD8}">
      <dsp:nvSpPr>
        <dsp:cNvPr id="0" name=""/>
        <dsp:cNvSpPr/>
      </dsp:nvSpPr>
      <dsp:spPr>
        <a:xfrm>
          <a:off x="2796366" y="1318290"/>
          <a:ext cx="720234" cy="1895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796366" y="1318290"/>
        <a:ext cx="720234" cy="1895473"/>
      </dsp:txXfrm>
    </dsp:sp>
    <dsp:sp modelId="{8633CB1E-0933-414C-8CAB-DC16D69457A7}">
      <dsp:nvSpPr>
        <dsp:cNvPr id="0" name=""/>
        <dsp:cNvSpPr/>
      </dsp:nvSpPr>
      <dsp:spPr>
        <a:xfrm>
          <a:off x="3667849" y="1318290"/>
          <a:ext cx="720234" cy="187526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7849" y="1318290"/>
        <a:ext cx="720234" cy="1875266"/>
      </dsp:txXfrm>
    </dsp:sp>
    <dsp:sp modelId="{40E54204-9F18-4A4D-B3CF-232E466168AA}">
      <dsp:nvSpPr>
        <dsp:cNvPr id="0" name=""/>
        <dsp:cNvSpPr/>
      </dsp:nvSpPr>
      <dsp:spPr>
        <a:xfrm>
          <a:off x="4539333" y="1318290"/>
          <a:ext cx="720234" cy="185509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sp:txBody>
      <dsp:txXfrm>
        <a:off x="4539333" y="1318290"/>
        <a:ext cx="720234" cy="1855096"/>
      </dsp:txXfrm>
    </dsp:sp>
    <dsp:sp modelId="{1EF10A14-8DBB-4795-94E7-6148712F4460}">
      <dsp:nvSpPr>
        <dsp:cNvPr id="0" name=""/>
        <dsp:cNvSpPr/>
      </dsp:nvSpPr>
      <dsp:spPr>
        <a:xfrm>
          <a:off x="313192" y="806923"/>
          <a:ext cx="3203407" cy="360117"/>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13192" y="806923"/>
        <a:ext cx="3203407" cy="360117"/>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7572" y="837769"/>
          <a:ext cx="175627" cy="769415"/>
        </a:xfrm>
        <a:custGeom>
          <a:avLst/>
          <a:gdLst/>
          <a:ahLst/>
          <a:cxnLst/>
          <a:rect l="0" t="0" r="0" b="0"/>
          <a:pathLst>
            <a:path>
              <a:moveTo>
                <a:pt x="175627" y="0"/>
              </a:moveTo>
              <a:lnTo>
                <a:pt x="175627" y="769415"/>
              </a:lnTo>
              <a:lnTo>
                <a:pt x="0" y="769415"/>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7769"/>
          <a:ext cx="1011948" cy="1538830"/>
        </a:xfrm>
        <a:custGeom>
          <a:avLst/>
          <a:gdLst/>
          <a:ahLst/>
          <a:cxnLst/>
          <a:rect l="0" t="0" r="0" b="0"/>
          <a:pathLst>
            <a:path>
              <a:moveTo>
                <a:pt x="0" y="0"/>
              </a:moveTo>
              <a:lnTo>
                <a:pt x="0" y="1363203"/>
              </a:lnTo>
              <a:lnTo>
                <a:pt x="1011948" y="1363203"/>
              </a:lnTo>
              <a:lnTo>
                <a:pt x="1011948"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1251" y="837769"/>
          <a:ext cx="1011948" cy="1538830"/>
        </a:xfrm>
        <a:custGeom>
          <a:avLst/>
          <a:gdLst/>
          <a:ahLst/>
          <a:cxnLst/>
          <a:rect l="0" t="0" r="0" b="0"/>
          <a:pathLst>
            <a:path>
              <a:moveTo>
                <a:pt x="1011948" y="0"/>
              </a:moveTo>
              <a:lnTo>
                <a:pt x="1011948" y="1363203"/>
              </a:lnTo>
              <a:lnTo>
                <a:pt x="0" y="1363203"/>
              </a:lnTo>
              <a:lnTo>
                <a:pt x="0"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06878" y="1448"/>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06878" y="1448"/>
        <a:ext cx="1672642" cy="836321"/>
      </dsp:txXfrm>
    </dsp:sp>
    <dsp:sp modelId="{18419EC5-A33D-4CE9-BA16-A50EA40DF010}">
      <dsp:nvSpPr>
        <dsp:cNvPr id="0" name=""/>
        <dsp:cNvSpPr/>
      </dsp:nvSpPr>
      <dsp:spPr>
        <a:xfrm>
          <a:off x="894930"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894930" y="2376600"/>
        <a:ext cx="1672642" cy="836321"/>
      </dsp:txXfrm>
    </dsp:sp>
    <dsp:sp modelId="{086FDFA9-E840-4A3E-9C11-545DCE2AD800}">
      <dsp:nvSpPr>
        <dsp:cNvPr id="0" name=""/>
        <dsp:cNvSpPr/>
      </dsp:nvSpPr>
      <dsp:spPr>
        <a:xfrm>
          <a:off x="2918827"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827" y="2376600"/>
        <a:ext cx="1672642" cy="836321"/>
      </dsp:txXfrm>
    </dsp:sp>
    <dsp:sp modelId="{0B3D25FC-6847-43A1-9E3B-4D3EFF3BBC61}">
      <dsp:nvSpPr>
        <dsp:cNvPr id="0" name=""/>
        <dsp:cNvSpPr/>
      </dsp:nvSpPr>
      <dsp:spPr>
        <a:xfrm>
          <a:off x="894930" y="1189024"/>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894930" y="1189024"/>
        <a:ext cx="1672642" cy="836321"/>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60A071-F9FB-479F-8D3A-018FE8F73DD0}">
      <dsp:nvSpPr>
        <dsp:cNvPr id="0" name=""/>
        <dsp:cNvSpPr/>
      </dsp:nvSpPr>
      <dsp:spPr>
        <a:xfrm>
          <a:off x="158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Zadefinovanie hodnotiacej správy ako podmienky poskytnutia príspevku</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Hodnotiaca správa je povinnou prílohou ŽoNFP</a:t>
          </a:r>
        </a:p>
      </dsp:txBody>
      <dsp:txXfrm>
        <a:off x="30232" y="1002069"/>
        <a:ext cx="1451772" cy="920659"/>
      </dsp:txXfrm>
    </dsp:sp>
    <dsp:sp modelId="{9A844434-C5FA-4930-BFCF-B6956CA8E855}">
      <dsp:nvSpPr>
        <dsp:cNvPr id="0" name=""/>
        <dsp:cNvSpPr/>
      </dsp:nvSpPr>
      <dsp:spPr>
        <a:xfrm>
          <a:off x="859427" y="1305015"/>
          <a:ext cx="1612283" cy="1612283"/>
        </a:xfrm>
        <a:prstGeom prst="leftCircularArrow">
          <a:avLst>
            <a:gd name="adj1" fmla="val 2835"/>
            <a:gd name="adj2" fmla="val 346215"/>
            <a:gd name="adj3" fmla="val 2121726"/>
            <a:gd name="adj4" fmla="val 9024489"/>
            <a:gd name="adj5" fmla="val 3307"/>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B2279E00-E479-4F75-B4BE-F5B3B50F31CB}">
      <dsp:nvSpPr>
        <dsp:cNvPr id="0" name=""/>
        <dsp:cNvSpPr/>
      </dsp:nvSpPr>
      <dsp:spPr>
        <a:xfrm>
          <a:off x="33693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Výzva na predkladanie ŽoNFP</a:t>
          </a:r>
        </a:p>
      </dsp:txBody>
      <dsp:txXfrm>
        <a:off x="352558" y="1966994"/>
        <a:ext cx="1310139" cy="502178"/>
      </dsp:txXfrm>
    </dsp:sp>
    <dsp:sp modelId="{CAF6C244-1C89-4C05-9003-3A170AF5159B}">
      <dsp:nvSpPr>
        <dsp:cNvPr id="0" name=""/>
        <dsp:cNvSpPr/>
      </dsp:nvSpPr>
      <dsp:spPr>
        <a:xfrm>
          <a:off x="1895944"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Overenie splnenia podmienky poskytnutia príspevku - predloženie hodnotiacej správy</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Ak bola hodnotiaca správa predložená, overenie ostatných podmienok poskytnuia príspevku</a:t>
          </a:r>
        </a:p>
      </dsp:txBody>
      <dsp:txXfrm>
        <a:off x="1924587" y="1268781"/>
        <a:ext cx="1451772" cy="920659"/>
      </dsp:txXfrm>
    </dsp:sp>
    <dsp:sp modelId="{C94C54F0-56F5-4C91-8600-9D16C8C83597}">
      <dsp:nvSpPr>
        <dsp:cNvPr id="0" name=""/>
        <dsp:cNvSpPr/>
      </dsp:nvSpPr>
      <dsp:spPr>
        <a:xfrm>
          <a:off x="2741207" y="225408"/>
          <a:ext cx="1805107" cy="1805107"/>
        </a:xfrm>
        <a:prstGeom prst="circularArrow">
          <a:avLst>
            <a:gd name="adj1" fmla="val 2532"/>
            <a:gd name="adj2" fmla="val 307058"/>
            <a:gd name="adj3" fmla="val 19517432"/>
            <a:gd name="adj4" fmla="val 12575511"/>
            <a:gd name="adj5" fmla="val 2954"/>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E3F98BF6-0C57-4CBE-939D-C7C7C157A75F}">
      <dsp:nvSpPr>
        <dsp:cNvPr id="0" name=""/>
        <dsp:cNvSpPr/>
      </dsp:nvSpPr>
      <dsp:spPr>
        <a:xfrm>
          <a:off x="2231290" y="706713"/>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Schvaľovací proces ŽoNFP</a:t>
          </a:r>
        </a:p>
      </dsp:txBody>
      <dsp:txXfrm>
        <a:off x="2246913" y="722336"/>
        <a:ext cx="1310139" cy="502178"/>
      </dsp:txXfrm>
    </dsp:sp>
    <dsp:sp modelId="{6BF82E71-57D0-4233-AF23-5BC21A55C210}">
      <dsp:nvSpPr>
        <dsp:cNvPr id="0" name=""/>
        <dsp:cNvSpPr/>
      </dsp:nvSpPr>
      <dsp:spPr>
        <a:xfrm>
          <a:off x="379029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sp:txBody>
      <dsp:txXfrm>
        <a:off x="3818942" y="1002069"/>
        <a:ext cx="1451772" cy="920659"/>
      </dsp:txXfrm>
    </dsp:sp>
    <dsp:sp modelId="{732554E7-984A-4B38-9F9E-0B10773C0510}">
      <dsp:nvSpPr>
        <dsp:cNvPr id="0" name=""/>
        <dsp:cNvSpPr/>
      </dsp:nvSpPr>
      <dsp:spPr>
        <a:xfrm>
          <a:off x="412564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Výber ŽoNFP</a:t>
          </a:r>
        </a:p>
      </dsp:txBody>
      <dsp:txXfrm>
        <a:off x="4141268" y="1966994"/>
        <a:ext cx="1310139" cy="502178"/>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B4FB526-FD47-4B92-B251-32E3FB635523}">
      <dsp:nvSpPr>
        <dsp:cNvPr id="0" name=""/>
        <dsp:cNvSpPr/>
      </dsp:nvSpPr>
      <dsp:spPr>
        <a:xfrm>
          <a:off x="2751281" y="723548"/>
          <a:ext cx="151621" cy="664244"/>
        </a:xfrm>
        <a:custGeom>
          <a:avLst/>
          <a:gdLst/>
          <a:ahLst/>
          <a:cxnLst/>
          <a:rect l="0" t="0" r="0" b="0"/>
          <a:pathLst>
            <a:path>
              <a:moveTo>
                <a:pt x="151621" y="0"/>
              </a:moveTo>
              <a:lnTo>
                <a:pt x="151621" y="664244"/>
              </a:lnTo>
              <a:lnTo>
                <a:pt x="0" y="6642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E0432E-94B3-4D7E-B19B-3FD33B1002D8}">
      <dsp:nvSpPr>
        <dsp:cNvPr id="0" name=""/>
        <dsp:cNvSpPr/>
      </dsp:nvSpPr>
      <dsp:spPr>
        <a:xfrm>
          <a:off x="2902902" y="723548"/>
          <a:ext cx="873625" cy="1328488"/>
        </a:xfrm>
        <a:custGeom>
          <a:avLst/>
          <a:gdLst/>
          <a:ahLst/>
          <a:cxnLst/>
          <a:rect l="0" t="0" r="0" b="0"/>
          <a:pathLst>
            <a:path>
              <a:moveTo>
                <a:pt x="0" y="0"/>
              </a:moveTo>
              <a:lnTo>
                <a:pt x="0" y="1176867"/>
              </a:lnTo>
              <a:lnTo>
                <a:pt x="873625" y="1176867"/>
              </a:lnTo>
              <a:lnTo>
                <a:pt x="873625"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8AD3747-2D4E-4E09-ADAE-1DBDCD17D6A2}">
      <dsp:nvSpPr>
        <dsp:cNvPr id="0" name=""/>
        <dsp:cNvSpPr/>
      </dsp:nvSpPr>
      <dsp:spPr>
        <a:xfrm>
          <a:off x="2029276" y="723548"/>
          <a:ext cx="873625" cy="1328488"/>
        </a:xfrm>
        <a:custGeom>
          <a:avLst/>
          <a:gdLst/>
          <a:ahLst/>
          <a:cxnLst/>
          <a:rect l="0" t="0" r="0" b="0"/>
          <a:pathLst>
            <a:path>
              <a:moveTo>
                <a:pt x="873625" y="0"/>
              </a:moveTo>
              <a:lnTo>
                <a:pt x="873625" y="1176867"/>
              </a:lnTo>
              <a:lnTo>
                <a:pt x="0" y="1176867"/>
              </a:lnTo>
              <a:lnTo>
                <a:pt x="0"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3ACE45C-F163-49BE-90C1-41F7BB716C30}">
      <dsp:nvSpPr>
        <dsp:cNvPr id="0" name=""/>
        <dsp:cNvSpPr/>
      </dsp:nvSpPr>
      <dsp:spPr>
        <a:xfrm>
          <a:off x="2180897" y="1543"/>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poskytnutia príspevku</a:t>
          </a:r>
        </a:p>
      </dsp:txBody>
      <dsp:txXfrm>
        <a:off x="2180897" y="1543"/>
        <a:ext cx="1444009" cy="722004"/>
      </dsp:txXfrm>
    </dsp:sp>
    <dsp:sp modelId="{04D70E44-22D3-49C3-882C-6CAD1BF98561}">
      <dsp:nvSpPr>
        <dsp:cNvPr id="0" name=""/>
        <dsp:cNvSpPr/>
      </dsp:nvSpPr>
      <dsp:spPr>
        <a:xfrm>
          <a:off x="1307271"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sp:txBody>
      <dsp:txXfrm>
        <a:off x="1307271" y="2052036"/>
        <a:ext cx="1444009" cy="722004"/>
      </dsp:txXfrm>
    </dsp:sp>
    <dsp:sp modelId="{E1799EC2-6D17-436F-85D6-D84F96374390}">
      <dsp:nvSpPr>
        <dsp:cNvPr id="0" name=""/>
        <dsp:cNvSpPr/>
      </dsp:nvSpPr>
      <dsp:spPr>
        <a:xfrm>
          <a:off x="3054523"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sp:txBody>
      <dsp:txXfrm>
        <a:off x="3054523" y="2052036"/>
        <a:ext cx="1444009" cy="722004"/>
      </dsp:txXfrm>
    </dsp:sp>
    <dsp:sp modelId="{AC35AD36-3A16-42CC-8B92-F7F6F50B8708}">
      <dsp:nvSpPr>
        <dsp:cNvPr id="0" name=""/>
        <dsp:cNvSpPr/>
      </dsp:nvSpPr>
      <dsp:spPr>
        <a:xfrm>
          <a:off x="1307271" y="1026790"/>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sp:txBody>
      <dsp:txXfrm>
        <a:off x="1307271" y="1026790"/>
        <a:ext cx="1444009" cy="722004"/>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57334"/>
          <a:ext cx="1395107" cy="127960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478" y="994812"/>
        <a:ext cx="1320151" cy="1204650"/>
      </dsp:txXfrm>
    </dsp:sp>
    <dsp:sp modelId="{A5018DFF-9129-4181-94A1-8DD8BC07B264}">
      <dsp:nvSpPr>
        <dsp:cNvPr id="0" name=""/>
        <dsp:cNvSpPr/>
      </dsp:nvSpPr>
      <dsp:spPr>
        <a:xfrm rot="17709122">
          <a:off x="1016637" y="981803"/>
          <a:ext cx="1316468" cy="39023"/>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959" y="968403"/>
        <a:ext cx="65823" cy="65823"/>
      </dsp:txXfrm>
    </dsp:sp>
    <dsp:sp modelId="{7CAC738C-9777-4CCF-B563-4F57A6059ED4}">
      <dsp:nvSpPr>
        <dsp:cNvPr id="0" name=""/>
        <dsp:cNvSpPr/>
      </dsp:nvSpPr>
      <dsp:spPr>
        <a:xfrm>
          <a:off x="1954634" y="56715"/>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5065" y="77146"/>
        <a:ext cx="3496628" cy="656691"/>
      </dsp:txXfrm>
    </dsp:sp>
    <dsp:sp modelId="{1192D187-D36E-4682-B3CF-82B1E7C9260A}">
      <dsp:nvSpPr>
        <dsp:cNvPr id="0" name=""/>
        <dsp:cNvSpPr/>
      </dsp:nvSpPr>
      <dsp:spPr>
        <a:xfrm rot="19509613">
          <a:off x="1334008" y="1382896"/>
          <a:ext cx="681724" cy="39023"/>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828" y="1385365"/>
        <a:ext cx="34086" cy="34086"/>
      </dsp:txXfrm>
    </dsp:sp>
    <dsp:sp modelId="{0E43AB82-3B63-43A6-926B-564A825EA6A1}">
      <dsp:nvSpPr>
        <dsp:cNvPr id="0" name=""/>
        <dsp:cNvSpPr/>
      </dsp:nvSpPr>
      <dsp:spPr>
        <a:xfrm>
          <a:off x="1954634" y="858902"/>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5065" y="879333"/>
        <a:ext cx="3496628" cy="656691"/>
      </dsp:txXfrm>
    </dsp:sp>
    <dsp:sp modelId="{EFF7D9CC-C01B-4BBF-A1EF-AE17F5354893}">
      <dsp:nvSpPr>
        <dsp:cNvPr id="0" name=""/>
        <dsp:cNvSpPr/>
      </dsp:nvSpPr>
      <dsp:spPr>
        <a:xfrm rot="2184833">
          <a:off x="1327230" y="1783989"/>
          <a:ext cx="695281" cy="39023"/>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489" y="1786119"/>
        <a:ext cx="34764" cy="34764"/>
      </dsp:txXfrm>
    </dsp:sp>
    <dsp:sp modelId="{BA3C6808-DE42-407A-B610-DD7D61F0FC57}">
      <dsp:nvSpPr>
        <dsp:cNvPr id="0" name=""/>
        <dsp:cNvSpPr/>
      </dsp:nvSpPr>
      <dsp:spPr>
        <a:xfrm>
          <a:off x="1954634" y="1661089"/>
          <a:ext cx="3512266"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5065" y="1681520"/>
        <a:ext cx="3471404" cy="656691"/>
      </dsp:txXfrm>
    </dsp:sp>
    <dsp:sp modelId="{831CF964-E826-43B1-97D3-B44AADB9A50D}">
      <dsp:nvSpPr>
        <dsp:cNvPr id="0" name=""/>
        <dsp:cNvSpPr/>
      </dsp:nvSpPr>
      <dsp:spPr>
        <a:xfrm rot="3916298">
          <a:off x="1006086" y="2185083"/>
          <a:ext cx="1337568" cy="39023"/>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431" y="2171155"/>
        <a:ext cx="66878" cy="66878"/>
      </dsp:txXfrm>
    </dsp:sp>
    <dsp:sp modelId="{D77DEDDD-E71A-4BC8-8E2B-323A5FDE1E2D}">
      <dsp:nvSpPr>
        <dsp:cNvPr id="0" name=""/>
        <dsp:cNvSpPr/>
      </dsp:nvSpPr>
      <dsp:spPr>
        <a:xfrm>
          <a:off x="1954634" y="2463275"/>
          <a:ext cx="356076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5065" y="2483706"/>
        <a:ext cx="3519898" cy="656691"/>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6695" y="1713648"/>
          <a:ext cx="659413" cy="91440"/>
        </a:xfrm>
        <a:custGeom>
          <a:avLst/>
          <a:gdLst/>
          <a:ahLst/>
          <a:cxnLst/>
          <a:rect l="0" t="0" r="0" b="0"/>
          <a:pathLst>
            <a:path>
              <a:moveTo>
                <a:pt x="0" y="104596"/>
              </a:moveTo>
              <a:lnTo>
                <a:pt x="659413" y="104596"/>
              </a:lnTo>
              <a:lnTo>
                <a:pt x="659413"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6695" y="1818245"/>
          <a:ext cx="1304225" cy="813642"/>
        </a:xfrm>
        <a:custGeom>
          <a:avLst/>
          <a:gdLst/>
          <a:ahLst/>
          <a:cxnLst/>
          <a:rect l="0" t="0" r="0" b="0"/>
          <a:pathLst>
            <a:path>
              <a:moveTo>
                <a:pt x="0" y="0"/>
              </a:moveTo>
              <a:lnTo>
                <a:pt x="1210023" y="0"/>
              </a:lnTo>
              <a:lnTo>
                <a:pt x="1210023" y="813642"/>
              </a:lnTo>
              <a:lnTo>
                <a:pt x="1304225" y="813642"/>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07542" y="856793"/>
          <a:ext cx="644821" cy="382100"/>
        </a:xfrm>
        <a:custGeom>
          <a:avLst/>
          <a:gdLst/>
          <a:ahLst/>
          <a:cxnLst/>
          <a:rect l="0" t="0" r="0" b="0"/>
          <a:pathLst>
            <a:path>
              <a:moveTo>
                <a:pt x="0" y="382100"/>
              </a:moveTo>
              <a:lnTo>
                <a:pt x="644821" y="382100"/>
              </a:lnTo>
              <a:lnTo>
                <a:pt x="64482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07542" y="1238893"/>
          <a:ext cx="1172879" cy="632091"/>
        </a:xfrm>
        <a:custGeom>
          <a:avLst/>
          <a:gdLst/>
          <a:ahLst/>
          <a:cxnLst/>
          <a:rect l="0" t="0" r="0" b="0"/>
          <a:pathLst>
            <a:path>
              <a:moveTo>
                <a:pt x="0" y="0"/>
              </a:moveTo>
              <a:lnTo>
                <a:pt x="1078677" y="0"/>
              </a:lnTo>
              <a:lnTo>
                <a:pt x="1078677" y="632091"/>
              </a:lnTo>
              <a:lnTo>
                <a:pt x="1172879" y="63209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07542" y="872228"/>
          <a:ext cx="1150987" cy="366664"/>
        </a:xfrm>
        <a:custGeom>
          <a:avLst/>
          <a:gdLst/>
          <a:ahLst/>
          <a:cxnLst/>
          <a:rect l="0" t="0" r="0" b="0"/>
          <a:pathLst>
            <a:path>
              <a:moveTo>
                <a:pt x="0" y="366664"/>
              </a:moveTo>
              <a:lnTo>
                <a:pt x="1056785" y="366664"/>
              </a:lnTo>
              <a:lnTo>
                <a:pt x="1056785" y="0"/>
              </a:lnTo>
              <a:lnTo>
                <a:pt x="1150987"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6695" y="1238893"/>
          <a:ext cx="1318826" cy="579351"/>
        </a:xfrm>
        <a:custGeom>
          <a:avLst/>
          <a:gdLst/>
          <a:ahLst/>
          <a:cxnLst/>
          <a:rect l="0" t="0" r="0" b="0"/>
          <a:pathLst>
            <a:path>
              <a:moveTo>
                <a:pt x="0" y="579351"/>
              </a:moveTo>
              <a:lnTo>
                <a:pt x="1224625" y="579351"/>
              </a:lnTo>
              <a:lnTo>
                <a:pt x="1224625" y="0"/>
              </a:lnTo>
              <a:lnTo>
                <a:pt x="1318826"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76" y="1251767"/>
          <a:ext cx="942019" cy="113295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76" y="1251767"/>
        <a:ext cx="942019" cy="1132955"/>
      </dsp:txXfrm>
    </dsp:sp>
    <dsp:sp modelId="{E34647F5-55CD-4586-810F-D80D70BDDA00}">
      <dsp:nvSpPr>
        <dsp:cNvPr id="0" name=""/>
        <dsp:cNvSpPr/>
      </dsp:nvSpPr>
      <dsp:spPr>
        <a:xfrm>
          <a:off x="2265522" y="743671"/>
          <a:ext cx="942019" cy="9904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65522" y="743671"/>
        <a:ext cx="942019" cy="990443"/>
      </dsp:txXfrm>
    </dsp:sp>
    <dsp:sp modelId="{7BEE8A27-1D68-426E-A927-1D764EF4E003}">
      <dsp:nvSpPr>
        <dsp:cNvPr id="0" name=""/>
        <dsp:cNvSpPr/>
      </dsp:nvSpPr>
      <dsp:spPr>
        <a:xfrm>
          <a:off x="4358529" y="459556"/>
          <a:ext cx="942019" cy="8253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58529" y="459556"/>
        <a:ext cx="942019" cy="825343"/>
      </dsp:txXfrm>
    </dsp:sp>
    <dsp:sp modelId="{768E0722-BE78-4A3B-80F5-12F88735C7A5}">
      <dsp:nvSpPr>
        <dsp:cNvPr id="0" name=""/>
        <dsp:cNvSpPr/>
      </dsp:nvSpPr>
      <dsp:spPr>
        <a:xfrm>
          <a:off x="4380422" y="1409950"/>
          <a:ext cx="942019" cy="92206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80422" y="1409950"/>
        <a:ext cx="942019" cy="922068"/>
      </dsp:txXfrm>
    </dsp:sp>
    <dsp:sp modelId="{0229DB44-A561-47AD-8D62-3686DFB75D0E}">
      <dsp:nvSpPr>
        <dsp:cNvPr id="0" name=""/>
        <dsp:cNvSpPr/>
      </dsp:nvSpPr>
      <dsp:spPr>
        <a:xfrm>
          <a:off x="3381354" y="0"/>
          <a:ext cx="942019" cy="85679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1354" y="0"/>
        <a:ext cx="942019" cy="856793"/>
      </dsp:txXfrm>
    </dsp:sp>
    <dsp:sp modelId="{BA9E7B32-24EF-4CE9-A79E-BC5ECD9277FE}">
      <dsp:nvSpPr>
        <dsp:cNvPr id="0" name=""/>
        <dsp:cNvSpPr/>
      </dsp:nvSpPr>
      <dsp:spPr>
        <a:xfrm>
          <a:off x="2250921" y="2111411"/>
          <a:ext cx="942019" cy="104095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0921" y="2111411"/>
        <a:ext cx="942019" cy="1040951"/>
      </dsp:txXfrm>
    </dsp:sp>
    <dsp:sp modelId="{DEC8B82D-0BC4-472B-A447-1353F6496838}">
      <dsp:nvSpPr>
        <dsp:cNvPr id="0" name=""/>
        <dsp:cNvSpPr/>
      </dsp:nvSpPr>
      <dsp:spPr>
        <a:xfrm>
          <a:off x="1135099" y="854550"/>
          <a:ext cx="942019" cy="90481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5099" y="854550"/>
        <a:ext cx="942019" cy="904818"/>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sp:txBody>
      <dsp:txXfrm>
        <a:off x="26815" y="25945"/>
        <a:ext cx="1804494" cy="833935"/>
      </dsp:txXfrm>
    </dsp:sp>
    <dsp:sp modelId="{E1BAF07B-614F-4967-A905-47488716BFF4}">
      <dsp:nvSpPr>
        <dsp:cNvPr id="0" name=""/>
        <dsp:cNvSpPr/>
      </dsp:nvSpPr>
      <dsp:spPr>
        <a:xfrm>
          <a:off x="2042894" y="212720"/>
          <a:ext cx="393553" cy="46038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sk-SK" sz="1400" kern="1200">
            <a:solidFill>
              <a:sysClr val="windowText" lastClr="000000"/>
            </a:solidFill>
            <a:latin typeface="Calibri"/>
            <a:ea typeface="+mn-ea"/>
            <a:cs typeface="+mn-cs"/>
          </a:endParaRPr>
        </a:p>
      </dsp:txBody>
      <dsp:txXfrm>
        <a:off x="2042894" y="304797"/>
        <a:ext cx="275487" cy="276229"/>
      </dsp:txXfrm>
    </dsp:sp>
    <dsp:sp modelId="{BA8EAAD8-C9F6-45A2-9396-26CB3C03B0E9}">
      <dsp:nvSpPr>
        <dsp:cNvPr id="0" name=""/>
        <dsp:cNvSpPr/>
      </dsp:nvSpPr>
      <dsp:spPr>
        <a:xfrm>
          <a:off x="2599809"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25754" y="25945"/>
        <a:ext cx="1804494" cy="833935"/>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8"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86" y="228524"/>
        <a:ext cx="1395306" cy="1057426"/>
      </dsp:txXfrm>
    </dsp:sp>
    <dsp:sp modelId="{C35B2586-4908-45E7-B6EE-AB790F016076}">
      <dsp:nvSpPr>
        <dsp:cNvPr id="0" name=""/>
        <dsp:cNvSpPr/>
      </dsp:nvSpPr>
      <dsp:spPr>
        <a:xfrm>
          <a:off x="1612100" y="576060"/>
          <a:ext cx="309753"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100" y="648531"/>
        <a:ext cx="216827" cy="217411"/>
      </dsp:txXfrm>
    </dsp:sp>
    <dsp:sp modelId="{45E6A9EC-2D15-4F60-AF75-2C0026B61B8A}">
      <dsp:nvSpPr>
        <dsp:cNvPr id="0" name=""/>
        <dsp:cNvSpPr/>
      </dsp:nvSpPr>
      <dsp:spPr>
        <a:xfrm>
          <a:off x="2050431"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329" y="228524"/>
        <a:ext cx="1395306" cy="1057426"/>
      </dsp:txXfrm>
    </dsp:sp>
    <dsp:sp modelId="{2302C603-BAC2-432E-9FE9-DC7A7E2CA7D6}">
      <dsp:nvSpPr>
        <dsp:cNvPr id="0" name=""/>
        <dsp:cNvSpPr/>
      </dsp:nvSpPr>
      <dsp:spPr>
        <a:xfrm rot="15969">
          <a:off x="3658864" y="580864"/>
          <a:ext cx="312347"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8865" y="653117"/>
        <a:ext cx="218643" cy="217411"/>
      </dsp:txXfrm>
    </dsp:sp>
    <dsp:sp modelId="{898C6A51-F838-45D7-B0B7-91928D1E0526}">
      <dsp:nvSpPr>
        <dsp:cNvPr id="0" name=""/>
        <dsp:cNvSpPr/>
      </dsp:nvSpPr>
      <dsp:spPr>
        <a:xfrm>
          <a:off x="4100862" y="205151"/>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3760" y="238049"/>
        <a:ext cx="1395306" cy="1057426"/>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817725"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817725" y="0"/>
        <a:ext cx="1611787" cy="657034"/>
      </dsp:txXfrm>
    </dsp:sp>
    <dsp:sp modelId="{22F108C5-1AD4-4959-BB9A-653877F4F9BA}">
      <dsp:nvSpPr>
        <dsp:cNvPr id="0" name=""/>
        <dsp:cNvSpPr/>
      </dsp:nvSpPr>
      <dsp:spPr>
        <a:xfrm>
          <a:off x="1937306"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sp:txBody>
      <dsp:txXfrm>
        <a:off x="1937306" y="0"/>
        <a:ext cx="1611787" cy="657034"/>
      </dsp:txXfrm>
    </dsp:sp>
    <dsp:sp modelId="{42333FC6-BB87-490A-A3A4-667559264987}">
      <dsp:nvSpPr>
        <dsp:cNvPr id="0" name=""/>
        <dsp:cNvSpPr/>
      </dsp:nvSpPr>
      <dsp:spPr>
        <a:xfrm>
          <a:off x="56887"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56887" y="0"/>
        <a:ext cx="1611787" cy="657034"/>
      </dsp:txXfrm>
    </dsp:sp>
    <dsp:sp modelId="{0D31CD98-29FF-4224-A29E-10C285D51CA6}">
      <dsp:nvSpPr>
        <dsp:cNvPr id="0" name=""/>
        <dsp:cNvSpPr/>
      </dsp:nvSpPr>
      <dsp:spPr>
        <a:xfrm>
          <a:off x="191202" y="1043983"/>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210872" y="1063653"/>
        <a:ext cx="1303816" cy="632238"/>
      </dsp:txXfrm>
    </dsp:sp>
    <dsp:sp modelId="{E5221418-266B-45AC-8670-4339EA026590}">
      <dsp:nvSpPr>
        <dsp:cNvPr id="0" name=""/>
        <dsp:cNvSpPr/>
      </dsp:nvSpPr>
      <dsp:spPr>
        <a:xfrm rot="19457599">
          <a:off x="1472170" y="1159096"/>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170152"/>
        <a:ext cx="33082" cy="33082"/>
      </dsp:txXfrm>
    </dsp:sp>
    <dsp:sp modelId="{1E51B4D9-F719-493C-B222-3DEA320BAF8A}">
      <dsp:nvSpPr>
        <dsp:cNvPr id="0" name=""/>
        <dsp:cNvSpPr/>
      </dsp:nvSpPr>
      <dsp:spPr>
        <a:xfrm>
          <a:off x="2071621"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091291" y="677495"/>
        <a:ext cx="1303816" cy="632238"/>
      </dsp:txXfrm>
    </dsp:sp>
    <dsp:sp modelId="{00605370-0F04-4F12-BF9D-D757366801F9}">
      <dsp:nvSpPr>
        <dsp:cNvPr id="0" name=""/>
        <dsp:cNvSpPr/>
      </dsp:nvSpPr>
      <dsp:spPr>
        <a:xfrm>
          <a:off x="3414778" y="966017"/>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980183"/>
        <a:ext cx="26863" cy="26863"/>
      </dsp:txXfrm>
    </dsp:sp>
    <dsp:sp modelId="{B532B90A-11FB-4447-AF5A-1B8BA28AB80F}">
      <dsp:nvSpPr>
        <dsp:cNvPr id="0" name=""/>
        <dsp:cNvSpPr/>
      </dsp:nvSpPr>
      <dsp:spPr>
        <a:xfrm>
          <a:off x="3952040"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971710" y="677495"/>
        <a:ext cx="1303816" cy="632238"/>
      </dsp:txXfrm>
    </dsp:sp>
    <dsp:sp modelId="{77D67C4C-5D7C-4BD5-95E4-FD879A7B8A0E}">
      <dsp:nvSpPr>
        <dsp:cNvPr id="0" name=""/>
        <dsp:cNvSpPr/>
      </dsp:nvSpPr>
      <dsp:spPr>
        <a:xfrm rot="2142401">
          <a:off x="1472170" y="1545253"/>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556310"/>
        <a:ext cx="33082" cy="33082"/>
      </dsp:txXfrm>
    </dsp:sp>
    <dsp:sp modelId="{6DFC72CE-1E05-4B24-9436-C256157B293D}">
      <dsp:nvSpPr>
        <dsp:cNvPr id="0" name=""/>
        <dsp:cNvSpPr/>
      </dsp:nvSpPr>
      <dsp:spPr>
        <a:xfrm>
          <a:off x="2071621"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091291" y="1449810"/>
        <a:ext cx="1303816" cy="632238"/>
      </dsp:txXfrm>
    </dsp:sp>
    <dsp:sp modelId="{420C5760-F6D4-4E33-9E92-CC5FC2347AA4}">
      <dsp:nvSpPr>
        <dsp:cNvPr id="0" name=""/>
        <dsp:cNvSpPr/>
      </dsp:nvSpPr>
      <dsp:spPr>
        <a:xfrm>
          <a:off x="3414778" y="1738332"/>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1752498"/>
        <a:ext cx="26863" cy="26863"/>
      </dsp:txXfrm>
    </dsp:sp>
    <dsp:sp modelId="{CBB74F52-46D1-4A57-9467-63B04889449A}">
      <dsp:nvSpPr>
        <dsp:cNvPr id="0" name=""/>
        <dsp:cNvSpPr/>
      </dsp:nvSpPr>
      <dsp:spPr>
        <a:xfrm>
          <a:off x="3952040"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971710" y="1449810"/>
        <a:ext cx="1303816" cy="632238"/>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655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6557" y="0"/>
        <a:ext cx="1535512" cy="959929"/>
      </dsp:txXfrm>
    </dsp:sp>
    <dsp:sp modelId="{69CB27F3-E3AB-45C0-BD01-F6B165856594}">
      <dsp:nvSpPr>
        <dsp:cNvPr id="0" name=""/>
        <dsp:cNvSpPr/>
      </dsp:nvSpPr>
      <dsp:spPr>
        <a:xfrm>
          <a:off x="200437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Začatie konania</a:t>
          </a:r>
        </a:p>
      </dsp:txBody>
      <dsp:txXfrm>
        <a:off x="2004377" y="0"/>
        <a:ext cx="1535512" cy="959929"/>
      </dsp:txXfrm>
    </dsp:sp>
    <dsp:sp modelId="{0DBE3391-EB4B-499F-BF3D-FACE7211C1AA}">
      <dsp:nvSpPr>
        <dsp:cNvPr id="0" name=""/>
        <dsp:cNvSpPr/>
      </dsp:nvSpPr>
      <dsp:spPr>
        <a:xfrm>
          <a:off x="183695"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695" y="0"/>
        <a:ext cx="1535512" cy="959929"/>
      </dsp:txXfrm>
    </dsp:sp>
    <dsp:sp modelId="{FABA2C1E-4207-482A-BFB4-23EED98FE964}">
      <dsp:nvSpPr>
        <dsp:cNvPr id="0" name=""/>
        <dsp:cNvSpPr/>
      </dsp:nvSpPr>
      <dsp:spPr>
        <a:xfrm>
          <a:off x="311654" y="1879895"/>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393" y="1898634"/>
        <a:ext cx="1242115" cy="602318"/>
      </dsp:txXfrm>
    </dsp:sp>
    <dsp:sp modelId="{8D38CDDF-D0AF-4342-9487-328C0D3F2678}">
      <dsp:nvSpPr>
        <dsp:cNvPr id="0" name=""/>
        <dsp:cNvSpPr/>
      </dsp:nvSpPr>
      <dsp:spPr>
        <a:xfrm rot="18770822">
          <a:off x="1470840" y="1905885"/>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1905064"/>
        <a:ext cx="37632" cy="37632"/>
      </dsp:txXfrm>
    </dsp:sp>
    <dsp:sp modelId="{AB1736B8-64DD-4B32-99F2-9818227E0D7E}">
      <dsp:nvSpPr>
        <dsp:cNvPr id="0" name=""/>
        <dsp:cNvSpPr/>
      </dsp:nvSpPr>
      <dsp:spPr>
        <a:xfrm>
          <a:off x="2103085" y="1328070"/>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Uznanie opodstatnenosti podnetu/vlastný podnet štatutárneho orgánu </a:t>
          </a:r>
        </a:p>
      </dsp:txBody>
      <dsp:txXfrm>
        <a:off x="2121824" y="1346809"/>
        <a:ext cx="1242115" cy="602318"/>
      </dsp:txXfrm>
    </dsp:sp>
    <dsp:sp modelId="{EA03E1D1-53F1-4F10-BF8C-EBE63A73C9D2}">
      <dsp:nvSpPr>
        <dsp:cNvPr id="0" name=""/>
        <dsp:cNvSpPr/>
      </dsp:nvSpPr>
      <dsp:spPr>
        <a:xfrm rot="19457599">
          <a:off x="3323433" y="1446031"/>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448269"/>
        <a:ext cx="31516" cy="31516"/>
      </dsp:txXfrm>
    </dsp:sp>
    <dsp:sp modelId="{88CB7554-D6B3-4131-A390-44B15EDD0977}">
      <dsp:nvSpPr>
        <dsp:cNvPr id="0" name=""/>
        <dsp:cNvSpPr/>
      </dsp:nvSpPr>
      <dsp:spPr>
        <a:xfrm>
          <a:off x="3894516" y="960187"/>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255" y="978926"/>
        <a:ext cx="1242115" cy="602318"/>
      </dsp:txXfrm>
    </dsp:sp>
    <dsp:sp modelId="{AD3E104C-AA9C-4F5B-87FE-AD740B3B762A}">
      <dsp:nvSpPr>
        <dsp:cNvPr id="0" name=""/>
        <dsp:cNvSpPr/>
      </dsp:nvSpPr>
      <dsp:spPr>
        <a:xfrm rot="2142401">
          <a:off x="3323433" y="1813914"/>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816152"/>
        <a:ext cx="31516" cy="31516"/>
      </dsp:txXfrm>
    </dsp:sp>
    <dsp:sp modelId="{6123A899-1981-4811-B61B-F5B58EC34ADF}">
      <dsp:nvSpPr>
        <dsp:cNvPr id="0" name=""/>
        <dsp:cNvSpPr/>
      </dsp:nvSpPr>
      <dsp:spPr>
        <a:xfrm>
          <a:off x="3894516" y="1695953"/>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Zasatvenie konania - pôvodné rozhodnutie nebolo vydané v rozpore so zákonom o príspevku z EŠIF</a:t>
          </a:r>
        </a:p>
      </dsp:txBody>
      <dsp:txXfrm>
        <a:off x="3913255" y="1714692"/>
        <a:ext cx="1242115" cy="602318"/>
      </dsp:txXfrm>
    </dsp:sp>
    <dsp:sp modelId="{31F82807-4254-4B36-A981-28D631594415}">
      <dsp:nvSpPr>
        <dsp:cNvPr id="0" name=""/>
        <dsp:cNvSpPr/>
      </dsp:nvSpPr>
      <dsp:spPr>
        <a:xfrm rot="2829178">
          <a:off x="1470840" y="2457710"/>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2456889"/>
        <a:ext cx="37632" cy="37632"/>
      </dsp:txXfrm>
    </dsp:sp>
    <dsp:sp modelId="{7E8E03CF-62C8-43C0-9317-AE19A41F8847}">
      <dsp:nvSpPr>
        <dsp:cNvPr id="0" name=""/>
        <dsp:cNvSpPr/>
      </dsp:nvSpPr>
      <dsp:spPr>
        <a:xfrm>
          <a:off x="210308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1824" y="2450458"/>
        <a:ext cx="1242115" cy="602318"/>
      </dsp:txXfrm>
    </dsp:sp>
    <dsp:sp modelId="{61621494-2F79-48E9-A2F5-C3D01A086EBF}">
      <dsp:nvSpPr>
        <dsp:cNvPr id="0" name=""/>
        <dsp:cNvSpPr/>
      </dsp:nvSpPr>
      <dsp:spPr>
        <a:xfrm>
          <a:off x="3382679" y="2733622"/>
          <a:ext cx="519156" cy="35991"/>
        </a:xfrm>
        <a:custGeom>
          <a:avLst/>
          <a:gdLst/>
          <a:ahLst/>
          <a:cxnLst/>
          <a:rect l="0" t="0" r="0" b="0"/>
          <a:pathLst>
            <a:path>
              <a:moveTo>
                <a:pt x="0" y="17995"/>
              </a:moveTo>
              <a:lnTo>
                <a:pt x="519156"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278" y="2738639"/>
        <a:ext cx="25957" cy="25957"/>
      </dsp:txXfrm>
    </dsp:sp>
    <dsp:sp modelId="{397D37EC-7E71-424E-9526-502AC82B6044}">
      <dsp:nvSpPr>
        <dsp:cNvPr id="0" name=""/>
        <dsp:cNvSpPr/>
      </dsp:nvSpPr>
      <dsp:spPr>
        <a:xfrm>
          <a:off x="390183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0574" y="2450458"/>
        <a:ext cx="1242115" cy="602318"/>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B550529-C524-4B56-86CB-C4DFFB9A8D20}">
      <dsp:nvSpPr>
        <dsp:cNvPr id="0" name=""/>
        <dsp:cNvSpPr/>
      </dsp:nvSpPr>
      <dsp:spPr>
        <a:xfrm>
          <a:off x="0" y="0"/>
          <a:ext cx="5476875" cy="3423046"/>
        </a:xfrm>
        <a:prstGeom prst="swooshArrow">
          <a:avLst>
            <a:gd name="adj1" fmla="val 25000"/>
            <a:gd name="adj2" fmla="val 25000"/>
          </a:avLst>
        </a:prstGeom>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ln>
          <a:noFill/>
        </a:ln>
        <a:effectLst/>
        <a:scene3d>
          <a:camera prst="orthographicFront"/>
          <a:lightRig rig="threePt" dir="t"/>
        </a:scene3d>
        <a:sp3d>
          <a:bevelT w="127000" h="127000"/>
          <a:bevelB/>
        </a:sp3d>
      </dsp:spPr>
      <dsp:style>
        <a:lnRef idx="0">
          <a:scrgbClr r="0" g="0" b="0"/>
        </a:lnRef>
        <a:fillRef idx="1">
          <a:scrgbClr r="0" g="0" b="0"/>
        </a:fillRef>
        <a:effectRef idx="0">
          <a:scrgbClr r="0" g="0" b="0"/>
        </a:effectRef>
        <a:fontRef idx="minor"/>
      </dsp:style>
    </dsp:sp>
    <dsp:sp modelId="{727DF83E-7678-49ED-B0A2-8F58AB6D5D91}">
      <dsp:nvSpPr>
        <dsp:cNvPr id="0" name=""/>
        <dsp:cNvSpPr/>
      </dsp:nvSpPr>
      <dsp:spPr>
        <a:xfrm>
          <a:off x="539472" y="2551529"/>
          <a:ext cx="125968" cy="12596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142B6E2-7C61-4B2F-99AF-E2DD2582223A}">
      <dsp:nvSpPr>
        <dsp:cNvPr id="0" name=""/>
        <dsp:cNvSpPr/>
      </dsp:nvSpPr>
      <dsp:spPr>
        <a:xfrm>
          <a:off x="602456" y="2734952"/>
          <a:ext cx="936545" cy="57380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6748"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Úkony  od plánovania výzvy/vyzvania až do vypracovania návrhu zmluvy o NFP/rozhodnutia o schválení NFPv prípadoch, ak prijímateľ a RO je tá istá osoba </a:t>
          </a:r>
        </a:p>
      </dsp:txBody>
      <dsp:txXfrm>
        <a:off x="602456" y="2734952"/>
        <a:ext cx="936545" cy="573807"/>
      </dsp:txXfrm>
    </dsp:sp>
    <dsp:sp modelId="{DE27D38C-3021-4DFD-B3C0-FBBC800D127C}">
      <dsp:nvSpPr>
        <dsp:cNvPr id="0" name=""/>
        <dsp:cNvSpPr/>
      </dsp:nvSpPr>
      <dsp:spPr>
        <a:xfrm>
          <a:off x="1429464" y="1755328"/>
          <a:ext cx="219075" cy="219075"/>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69A44F0-B1D1-4AA7-AAFE-A17C851BA17F}">
      <dsp:nvSpPr>
        <dsp:cNvPr id="0" name=""/>
        <dsp:cNvSpPr/>
      </dsp:nvSpPr>
      <dsp:spPr>
        <a:xfrm>
          <a:off x="1539001" y="2283238"/>
          <a:ext cx="1150143" cy="72758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6083"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Účinná zmluva o NFP/ právoplatné Rozhodnutie o schválení NFP v prípadoch, ak prijímateľ a RO je tá istá osoba </a:t>
          </a:r>
        </a:p>
      </dsp:txBody>
      <dsp:txXfrm>
        <a:off x="1539001" y="2283238"/>
        <a:ext cx="1150143" cy="727586"/>
      </dsp:txXfrm>
    </dsp:sp>
    <dsp:sp modelId="{4353D4FC-FB58-404C-AE44-D5E631012830}">
      <dsp:nvSpPr>
        <dsp:cNvPr id="0" name=""/>
        <dsp:cNvSpPr/>
      </dsp:nvSpPr>
      <dsp:spPr>
        <a:xfrm>
          <a:off x="2565915" y="1168618"/>
          <a:ext cx="290274" cy="29027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6E0E7BC-1FF4-468A-A56F-25065F13EC64}">
      <dsp:nvSpPr>
        <dsp:cNvPr id="0" name=""/>
        <dsp:cNvSpPr/>
      </dsp:nvSpPr>
      <dsp:spPr>
        <a:xfrm>
          <a:off x="2698378" y="1725790"/>
          <a:ext cx="1150143" cy="70818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53810"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Realizácia projektu (realizácia aktivít projektu + finančné uhrádzanie/preplácanie výdavkov)</a:t>
          </a:r>
        </a:p>
      </dsp:txBody>
      <dsp:txXfrm>
        <a:off x="2698378" y="1725790"/>
        <a:ext cx="1150143" cy="708186"/>
      </dsp:txXfrm>
    </dsp:sp>
    <dsp:sp modelId="{FB271237-096B-4093-A49F-5557FDA4B8D8}">
      <dsp:nvSpPr>
        <dsp:cNvPr id="0" name=""/>
        <dsp:cNvSpPr/>
      </dsp:nvSpPr>
      <dsp:spPr>
        <a:xfrm>
          <a:off x="3803689" y="780444"/>
          <a:ext cx="388858" cy="38885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C6DFBD77-7D6D-47F1-95D5-B39FC6C3AB19}">
      <dsp:nvSpPr>
        <dsp:cNvPr id="0" name=""/>
        <dsp:cNvSpPr/>
      </dsp:nvSpPr>
      <dsp:spPr>
        <a:xfrm>
          <a:off x="3732907" y="1659470"/>
          <a:ext cx="957931" cy="869591"/>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06048"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Začatie plynutia udržateľnosti  projektu po ukončení realizácie projektu</a:t>
          </a:r>
        </a:p>
      </dsp:txBody>
      <dsp:txXfrm>
        <a:off x="3732907" y="1659470"/>
        <a:ext cx="957931" cy="869591"/>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14EC99D-E305-4259-87EE-6D26A58747CC}">
      <dsp:nvSpPr>
        <dsp:cNvPr id="0" name=""/>
        <dsp:cNvSpPr/>
      </dsp:nvSpPr>
      <dsp:spPr>
        <a:xfrm>
          <a:off x="0" y="116194"/>
          <a:ext cx="5485765" cy="739032"/>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effectLst/>
        <a:scene3d>
          <a:camera prst="orthographicFront"/>
          <a:lightRig rig="balanced" dir="t"/>
        </a:scene3d>
        <a:sp3d>
          <a:bevelT w="190500" h="190500"/>
          <a:bevelB/>
        </a:sp3d>
      </dsp:spPr>
      <dsp:style>
        <a:lnRef idx="0">
          <a:scrgbClr r="0" g="0" b="0"/>
        </a:lnRef>
        <a:fillRef idx="1">
          <a:scrgbClr r="0" g="0" b="0"/>
        </a:fillRef>
        <a:effectRef idx="0">
          <a:scrgbClr r="0" g="0" b="0"/>
        </a:effectRef>
        <a:fontRef idx="minor"/>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sk-SK" sz="2000" b="1" i="1" kern="1200">
              <a:solidFill>
                <a:schemeClr val="accent4">
                  <a:lumMod val="75000"/>
                </a:schemeClr>
              </a:solidFill>
            </a:rPr>
            <a:t>Časové vykonávanie  kontroly na úrovni RO</a:t>
          </a:r>
        </a:p>
      </dsp:txBody>
      <dsp:txXfrm>
        <a:off x="0" y="116194"/>
        <a:ext cx="5485765" cy="739032"/>
      </dsp:txXfrm>
    </dsp:sp>
    <dsp:sp modelId="{0F58D3C2-E40F-4C43-A4CE-0CE49E16C603}">
      <dsp:nvSpPr>
        <dsp:cNvPr id="0" name=""/>
        <dsp:cNvSpPr/>
      </dsp:nvSpPr>
      <dsp:spPr>
        <a:xfrm>
          <a:off x="203165" y="1249331"/>
          <a:ext cx="1595699" cy="1442696"/>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do účinnosti zmluvy o NFP</a:t>
          </a:r>
        </a:p>
        <a:p>
          <a:pPr lvl="0" algn="ctr" defTabSz="533400">
            <a:lnSpc>
              <a:spcPct val="90000"/>
            </a:lnSpc>
            <a:spcBef>
              <a:spcPct val="0"/>
            </a:spcBef>
            <a:spcAft>
              <a:spcPct val="35000"/>
            </a:spcAft>
          </a:pPr>
          <a:r>
            <a:rPr lang="sk-SK" sz="1000" i="1" kern="1200">
              <a:solidFill>
                <a:schemeClr val="accent4">
                  <a:lumMod val="75000"/>
                </a:schemeClr>
              </a:solidFill>
            </a:rPr>
            <a:t> - základná finančná kontrola</a:t>
          </a:r>
        </a:p>
      </dsp:txBody>
      <dsp:txXfrm>
        <a:off x="203165" y="1249331"/>
        <a:ext cx="1595699" cy="1442696"/>
      </dsp:txXfrm>
    </dsp:sp>
    <dsp:sp modelId="{E0F9480C-2F98-4D96-9EC4-A5A5218A9B70}">
      <dsp:nvSpPr>
        <dsp:cNvPr id="0" name=""/>
        <dsp:cNvSpPr/>
      </dsp:nvSpPr>
      <dsp:spPr>
        <a:xfrm>
          <a:off x="1846481" y="1515907"/>
          <a:ext cx="1694223" cy="1531677"/>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od účinnosti zmluvy o NFP do momentu ukončenia realizácie projektu</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základná finančná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finančná kontrola </a:t>
          </a:r>
        </a:p>
        <a:p>
          <a:pPr lvl="0" algn="ctr" defTabSz="533400">
            <a:lnSpc>
              <a:spcPct val="90000"/>
            </a:lnSpc>
            <a:spcBef>
              <a:spcPct val="0"/>
            </a:spcBef>
            <a:spcAft>
              <a:spcPct val="35000"/>
            </a:spcAft>
          </a:pPr>
          <a:r>
            <a:rPr lang="sk-SK" sz="1000" i="1" kern="1200">
              <a:solidFill>
                <a:schemeClr val="accent4">
                  <a:lumMod val="75000"/>
                </a:schemeClr>
              </a:solidFill>
            </a:rPr>
            <a:t>- finančná kontrola na mieste</a:t>
          </a:r>
        </a:p>
      </dsp:txBody>
      <dsp:txXfrm>
        <a:off x="1846481" y="1515907"/>
        <a:ext cx="1694223" cy="1531677"/>
      </dsp:txXfrm>
    </dsp:sp>
    <dsp:sp modelId="{653DBB08-B81E-4FE3-82A4-416F1E3558E1}">
      <dsp:nvSpPr>
        <dsp:cNvPr id="0" name=""/>
        <dsp:cNvSpPr/>
      </dsp:nvSpPr>
      <dsp:spPr>
        <a:xfrm>
          <a:off x="3602474" y="1773114"/>
          <a:ext cx="1643480" cy="1868130"/>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po ukončení realizácie projektu do skončenia účinnosti zmluvy o NFP</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základná finančná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finančná kontrola </a:t>
          </a:r>
        </a:p>
        <a:p>
          <a:pPr lvl="0" algn="ctr" defTabSz="533400">
            <a:lnSpc>
              <a:spcPct val="90000"/>
            </a:lnSpc>
            <a:spcBef>
              <a:spcPct val="0"/>
            </a:spcBef>
            <a:spcAft>
              <a:spcPct val="35000"/>
            </a:spcAft>
          </a:pPr>
          <a:r>
            <a:rPr lang="sk-SK" sz="1000" i="1" kern="1200">
              <a:solidFill>
                <a:schemeClr val="accent4">
                  <a:lumMod val="75000"/>
                </a:schemeClr>
              </a:solidFill>
            </a:rPr>
            <a:t>- finančná kontrola na mieste</a:t>
          </a:r>
        </a:p>
      </dsp:txBody>
      <dsp:txXfrm>
        <a:off x="3602474" y="1773114"/>
        <a:ext cx="1643480" cy="1868130"/>
      </dsp:txXfrm>
    </dsp:sp>
    <dsp:sp modelId="{C4C61265-FCC2-4886-91A9-739CE083C0C8}">
      <dsp:nvSpPr>
        <dsp:cNvPr id="0" name=""/>
        <dsp:cNvSpPr/>
      </dsp:nvSpPr>
      <dsp:spPr>
        <a:xfrm>
          <a:off x="0" y="3739382"/>
          <a:ext cx="5485765" cy="325329"/>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noFill/>
        </a:ln>
        <a:effectLst/>
        <a:scene3d>
          <a:camera prst="orthographicFront"/>
          <a:lightRig rig="threePt" dir="t"/>
        </a:scene3d>
        <a:sp3d>
          <a:bevelT w="95250" h="95250"/>
          <a:bevelB/>
        </a:sp3d>
      </dsp:spPr>
      <dsp:style>
        <a:lnRef idx="0">
          <a:scrgbClr r="0" g="0" b="0"/>
        </a:lnRef>
        <a:fillRef idx="1">
          <a:scrgbClr r="0" g="0" b="0"/>
        </a:fillRef>
        <a:effectRef idx="0">
          <a:scrgbClr r="0" g="0" b="0"/>
        </a:effectRef>
        <a:fontRef idx="minor"/>
      </dsp:style>
    </dsp:sp>
  </dsp:spTree>
</dsp:drawing>
</file>

<file path=word/diagrams/drawing2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75113"/>
          <a:ext cx="1511162" cy="1350678"/>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i="1" kern="1200"/>
            <a:t> 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Oznámenie vykonania finančnej kontroly na mieste prijímateľovi </a:t>
          </a:r>
        </a:p>
        <a:p>
          <a:pPr marL="57150" lvl="1" indent="-57150" algn="l" defTabSz="266700">
            <a:lnSpc>
              <a:spcPct val="90000"/>
            </a:lnSpc>
            <a:spcBef>
              <a:spcPct val="0"/>
            </a:spcBef>
            <a:spcAft>
              <a:spcPct val="15000"/>
            </a:spcAft>
            <a:buChar char="••"/>
          </a:pPr>
          <a:r>
            <a:rPr lang="sk-SK" sz="600" i="1" kern="1200"/>
            <a:t>Stanovenie kontrolného zoznamu </a:t>
          </a:r>
        </a:p>
      </dsp:txBody>
      <dsp:txXfrm>
        <a:off x="31083" y="906196"/>
        <a:ext cx="1448996" cy="999081"/>
      </dsp:txXfrm>
    </dsp:sp>
    <dsp:sp modelId="{BF542D47-0F73-4C39-AECB-6392B969BEE2}">
      <dsp:nvSpPr>
        <dsp:cNvPr id="0" name=""/>
        <dsp:cNvSpPr/>
      </dsp:nvSpPr>
      <dsp:spPr>
        <a:xfrm>
          <a:off x="851878" y="1269994"/>
          <a:ext cx="1619637" cy="1619637"/>
        </a:xfrm>
        <a:prstGeom prst="leftCircularArrow">
          <a:avLst>
            <a:gd name="adj1" fmla="val 2864"/>
            <a:gd name="adj2" fmla="val 350044"/>
            <a:gd name="adj3" fmla="val 2050333"/>
            <a:gd name="adj4" fmla="val 8949268"/>
            <a:gd name="adj5" fmla="val 33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940" y="1935094"/>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585" y="1950739"/>
        <a:ext cx="1311965" cy="502878"/>
      </dsp:txXfrm>
    </dsp:sp>
    <dsp:sp modelId="{18B80A27-057A-4402-81A4-202F53D937E2}">
      <dsp:nvSpPr>
        <dsp:cNvPr id="0" name=""/>
        <dsp:cNvSpPr/>
      </dsp:nvSpPr>
      <dsp:spPr>
        <a:xfrm>
          <a:off x="1902077" y="926883"/>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so zistenými nedostatkami</a:t>
          </a:r>
        </a:p>
      </dsp:txBody>
      <dsp:txXfrm>
        <a:off x="1930760" y="1222650"/>
        <a:ext cx="1453796" cy="921942"/>
      </dsp:txXfrm>
    </dsp:sp>
    <dsp:sp modelId="{0D8EEC67-CFCB-4E03-A953-611E63CC3E69}">
      <dsp:nvSpPr>
        <dsp:cNvPr id="0" name=""/>
        <dsp:cNvSpPr/>
      </dsp:nvSpPr>
      <dsp:spPr>
        <a:xfrm>
          <a:off x="2755099" y="203541"/>
          <a:ext cx="1779682" cy="1779682"/>
        </a:xfrm>
        <a:prstGeom prst="circularArrow">
          <a:avLst>
            <a:gd name="adj1" fmla="val 2606"/>
            <a:gd name="adj2" fmla="val 316656"/>
            <a:gd name="adj3" fmla="val 19463022"/>
            <a:gd name="adj4" fmla="val 12530700"/>
            <a:gd name="adj5" fmla="val 30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7891" y="688329"/>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správy/návrhu správy</a:t>
          </a:r>
          <a:endParaRPr lang="sk-SK" sz="1100" b="1" kern="1200">
            <a:solidFill>
              <a:schemeClr val="tx2"/>
            </a:solidFill>
          </a:endParaRPr>
        </a:p>
      </dsp:txBody>
      <dsp:txXfrm>
        <a:off x="2253536" y="703974"/>
        <a:ext cx="1311965" cy="502878"/>
      </dsp:txXfrm>
    </dsp:sp>
    <dsp:sp modelId="{CA8DC8C2-902A-4C8E-98D9-C24F3DCA2CE4}">
      <dsp:nvSpPr>
        <dsp:cNvPr id="0" name=""/>
        <dsp:cNvSpPr/>
      </dsp:nvSpPr>
      <dsp:spPr>
        <a:xfrm>
          <a:off x="3773483" y="936381"/>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/správy z kontroly na vyjadrenie prijímateľa</a:t>
          </a:r>
        </a:p>
        <a:p>
          <a:pPr marL="57150" lvl="1" indent="-57150" algn="l" defTabSz="266700">
            <a:lnSpc>
              <a:spcPct val="90000"/>
            </a:lnSpc>
            <a:spcBef>
              <a:spcPct val="0"/>
            </a:spcBef>
            <a:spcAft>
              <a:spcPct val="15000"/>
            </a:spcAft>
            <a:buChar char="••"/>
          </a:pPr>
          <a:r>
            <a:rPr lang="sk-SK" sz="600" i="1" kern="1200"/>
            <a:t>Finálne vyplnenie kontrolného zoznamu</a:t>
          </a:r>
        </a:p>
        <a:p>
          <a:pPr marL="57150" lvl="1" indent="-57150" algn="l" defTabSz="266700">
            <a:lnSpc>
              <a:spcPct val="90000"/>
            </a:lnSpc>
            <a:spcBef>
              <a:spcPct val="0"/>
            </a:spcBef>
            <a:spcAft>
              <a:spcPct val="15000"/>
            </a:spcAft>
            <a:buChar char="••"/>
          </a:pPr>
          <a:r>
            <a:rPr lang="sk-SK" sz="600" i="1" kern="1200"/>
            <a:t> Vypracovanie čiastkovej správy/správy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správy/správy z kontroly </a:t>
          </a:r>
        </a:p>
      </dsp:txBody>
      <dsp:txXfrm>
        <a:off x="3802166" y="965064"/>
        <a:ext cx="1453796" cy="921942"/>
      </dsp:txXfrm>
    </dsp:sp>
    <dsp:sp modelId="{97DC40B2-472E-447B-93FF-434AB18F15A3}">
      <dsp:nvSpPr>
        <dsp:cNvPr id="0" name=""/>
        <dsp:cNvSpPr/>
      </dsp:nvSpPr>
      <dsp:spPr>
        <a:xfrm>
          <a:off x="4137842" y="1934722"/>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3487" y="1950367"/>
        <a:ext cx="1311965" cy="502878"/>
      </dsp:txXfrm>
    </dsp:sp>
  </dsp:spTree>
</dsp:drawing>
</file>

<file path=word/diagrams/drawing2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2540"/>
          <a:ext cx="1514613" cy="1249239"/>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Vystavenie poverenia na výkon finančnej kontroly na mieste</a:t>
          </a:r>
        </a:p>
        <a:p>
          <a:pPr marL="57150" lvl="1" indent="-57150" algn="l" defTabSz="355600">
            <a:lnSpc>
              <a:spcPct val="90000"/>
            </a:lnSpc>
            <a:spcBef>
              <a:spcPct val="0"/>
            </a:spcBef>
            <a:spcAft>
              <a:spcPct val="15000"/>
            </a:spcAft>
            <a:buChar char="••"/>
          </a:pPr>
          <a:r>
            <a:rPr lang="sk-SK" sz="800" i="1" kern="1200"/>
            <a:t> Vystavenie oznámenia o vykonaní  finančnej KnM</a:t>
          </a:r>
        </a:p>
        <a:p>
          <a:pPr marL="57150" lvl="1" indent="-57150" algn="l" defTabSz="355600">
            <a:lnSpc>
              <a:spcPct val="90000"/>
            </a:lnSpc>
            <a:spcBef>
              <a:spcPct val="0"/>
            </a:spcBef>
            <a:spcAft>
              <a:spcPct val="15000"/>
            </a:spcAft>
            <a:buChar char="••"/>
          </a:pPr>
          <a:r>
            <a:rPr lang="sk-SK" sz="800" i="1" kern="1200"/>
            <a:t>Stanovenie kontrolného zoznamu</a:t>
          </a:r>
        </a:p>
      </dsp:txBody>
      <dsp:txXfrm>
        <a:off x="28748" y="971288"/>
        <a:ext cx="1457117" cy="924049"/>
      </dsp:txXfrm>
    </dsp:sp>
    <dsp:sp modelId="{BF542D47-0F73-4C39-AECB-6392B969BEE2}">
      <dsp:nvSpPr>
        <dsp:cNvPr id="0" name=""/>
        <dsp:cNvSpPr/>
      </dsp:nvSpPr>
      <dsp:spPr>
        <a:xfrm>
          <a:off x="861913" y="1303036"/>
          <a:ext cx="1619561" cy="1619561"/>
        </a:xfrm>
        <a:prstGeom prst="leftCircularArrow">
          <a:avLst>
            <a:gd name="adj1" fmla="val 2843"/>
            <a:gd name="adj2" fmla="val 347322"/>
            <a:gd name="adj3" fmla="val 2122833"/>
            <a:gd name="adj4" fmla="val 9024489"/>
            <a:gd name="adj5" fmla="val 331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75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432" y="1968361"/>
        <a:ext cx="1314961" cy="504026"/>
      </dsp:txXfrm>
    </dsp:sp>
    <dsp:sp modelId="{18B80A27-057A-4402-81A4-202F53D937E2}">
      <dsp:nvSpPr>
        <dsp:cNvPr id="0" name=""/>
        <dsp:cNvSpPr/>
      </dsp:nvSpPr>
      <dsp:spPr>
        <a:xfrm>
          <a:off x="1903335"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finančná KnM bez nedostatkov </a:t>
          </a:r>
        </a:p>
      </dsp:txBody>
      <dsp:txXfrm>
        <a:off x="1932083" y="1267577"/>
        <a:ext cx="1457117" cy="924049"/>
      </dsp:txXfrm>
    </dsp:sp>
    <dsp:sp modelId="{0D8EEC67-CFCB-4E03-A953-611E63CC3E69}">
      <dsp:nvSpPr>
        <dsp:cNvPr id="0" name=""/>
        <dsp:cNvSpPr/>
      </dsp:nvSpPr>
      <dsp:spPr>
        <a:xfrm>
          <a:off x="2751456" y="219930"/>
          <a:ext cx="1813095" cy="1813095"/>
        </a:xfrm>
        <a:prstGeom prst="circularArrow">
          <a:avLst>
            <a:gd name="adj1" fmla="val 2540"/>
            <a:gd name="adj2" fmla="val 308062"/>
            <a:gd name="adj3" fmla="val 19516427"/>
            <a:gd name="adj4" fmla="val 12575511"/>
            <a:gd name="adj5" fmla="val 296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16" y="703441"/>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správy/správ</a:t>
          </a:r>
          <a:r>
            <a:rPr lang="sk-SK" sz="1100" b="1" kern="1200">
              <a:solidFill>
                <a:schemeClr val="tx2"/>
              </a:solidFill>
            </a:rPr>
            <a:t>y </a:t>
          </a:r>
        </a:p>
      </dsp:txBody>
      <dsp:txXfrm>
        <a:off x="2255597" y="719122"/>
        <a:ext cx="1314961" cy="504026"/>
      </dsp:txXfrm>
    </dsp:sp>
    <dsp:sp modelId="{CA8DC8C2-902A-4C8E-98D9-C24F3DCA2CE4}">
      <dsp:nvSpPr>
        <dsp:cNvPr id="0" name=""/>
        <dsp:cNvSpPr/>
      </dsp:nvSpPr>
      <dsp:spPr>
        <a:xfrm>
          <a:off x="3805500"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a:t>
          </a:r>
        </a:p>
        <a:p>
          <a:pPr marL="57150" lvl="1" indent="-57150" algn="l" defTabSz="355600">
            <a:lnSpc>
              <a:spcPct val="90000"/>
            </a:lnSpc>
            <a:spcBef>
              <a:spcPct val="0"/>
            </a:spcBef>
            <a:spcAft>
              <a:spcPct val="15000"/>
            </a:spcAft>
            <a:buChar char="••"/>
          </a:pPr>
          <a:r>
            <a:rPr lang="sk-SK" sz="800" i="1" kern="1200"/>
            <a:t>Zaslanie čiastkovej správy/správy z kontroly prijímateľovi  </a:t>
          </a:r>
        </a:p>
      </dsp:txBody>
      <dsp:txXfrm>
        <a:off x="3834248" y="999883"/>
        <a:ext cx="1457117" cy="924049"/>
      </dsp:txXfrm>
    </dsp:sp>
    <dsp:sp modelId="{97DC40B2-472E-447B-93FF-434AB18F15A3}">
      <dsp:nvSpPr>
        <dsp:cNvPr id="0" name=""/>
        <dsp:cNvSpPr/>
      </dsp:nvSpPr>
      <dsp:spPr>
        <a:xfrm>
          <a:off x="414208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7762" y="1968361"/>
        <a:ext cx="1314961" cy="504026"/>
      </dsp:txXfrm>
    </dsp:sp>
  </dsp:spTree>
</dsp:drawing>
</file>

<file path=word/diagrams/drawing2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663838"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b="0" i="1" kern="1200">
              <a:solidFill>
                <a:schemeClr val="accent2">
                  <a:lumMod val="75000"/>
                </a:schemeClr>
              </a:solidFill>
            </a:rPr>
            <a:t>Krok č. 1 </a:t>
          </a:r>
          <a:endParaRPr lang="sk-SK" sz="1400" b="0" i="1" kern="1200"/>
        </a:p>
        <a:p>
          <a:pPr marL="57150" lvl="1" indent="-57150" algn="l" defTabSz="488950">
            <a:lnSpc>
              <a:spcPct val="90000"/>
            </a:lnSpc>
            <a:spcBef>
              <a:spcPct val="0"/>
            </a:spcBef>
            <a:spcAft>
              <a:spcPct val="15000"/>
            </a:spcAft>
            <a:buChar char="••"/>
          </a:pPr>
          <a:r>
            <a:rPr lang="sk-SK" sz="1100" i="1" kern="1200"/>
            <a:t>stanovenie formy kontroly  (administratívna finančná kontrola / finančná kontrola na mieste</a:t>
          </a:r>
        </a:p>
      </dsp:txBody>
      <dsp:txXfrm rot="5400000">
        <a:off x="1356" y="532002"/>
        <a:ext cx="1329627" cy="1596009"/>
      </dsp:txXfrm>
    </dsp:sp>
    <dsp:sp modelId="{20EEEC8E-2638-484B-8625-20BC13BB3B7C}">
      <dsp:nvSpPr>
        <dsp:cNvPr id="0" name=""/>
        <dsp:cNvSpPr/>
      </dsp:nvSpPr>
      <dsp:spPr>
        <a:xfrm rot="16200000">
          <a:off x="765510"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2</a:t>
          </a:r>
        </a:p>
        <a:p>
          <a:pPr marL="57150" lvl="1" indent="-57150" algn="l" defTabSz="488950">
            <a:lnSpc>
              <a:spcPct val="90000"/>
            </a:lnSpc>
            <a:spcBef>
              <a:spcPct val="0"/>
            </a:spcBef>
            <a:spcAft>
              <a:spcPct val="15000"/>
            </a:spcAft>
            <a:buChar char="••"/>
          </a:pPr>
          <a:r>
            <a:rPr lang="sk-SK" sz="1100" i="1" kern="1200"/>
            <a:t>stanovenie predmetu kontroly z vopred preddefinovaných predmetov kontroly, resp. predmetu, ktorý si zvolí RO</a:t>
          </a:r>
        </a:p>
      </dsp:txBody>
      <dsp:txXfrm rot="5400000">
        <a:off x="1430704" y="532002"/>
        <a:ext cx="1329627" cy="1596009"/>
      </dsp:txXfrm>
    </dsp:sp>
    <dsp:sp modelId="{05C9B098-7621-4819-ADDC-220013B41FD6}">
      <dsp:nvSpPr>
        <dsp:cNvPr id="0" name=""/>
        <dsp:cNvSpPr/>
      </dsp:nvSpPr>
      <dsp:spPr>
        <a:xfrm rot="16200000">
          <a:off x="2194859"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3</a:t>
          </a:r>
        </a:p>
        <a:p>
          <a:pPr marL="57150" lvl="1" indent="-57150" algn="l" defTabSz="488950">
            <a:lnSpc>
              <a:spcPct val="90000"/>
            </a:lnSpc>
            <a:spcBef>
              <a:spcPct val="0"/>
            </a:spcBef>
            <a:spcAft>
              <a:spcPct val="15000"/>
            </a:spcAft>
            <a:buChar char="••"/>
          </a:pPr>
          <a:r>
            <a:rPr lang="sk-SK" sz="1100" i="1" kern="1200"/>
            <a:t>vytvorenie kontrolného zoznamu </a:t>
          </a:r>
        </a:p>
      </dsp:txBody>
      <dsp:txXfrm rot="5400000">
        <a:off x="2860053" y="532002"/>
        <a:ext cx="1329627" cy="1596009"/>
      </dsp:txXfrm>
    </dsp:sp>
    <dsp:sp modelId="{0A180C33-6355-4A8B-AF69-1A908DE7DF34}">
      <dsp:nvSpPr>
        <dsp:cNvPr id="0" name=""/>
        <dsp:cNvSpPr/>
      </dsp:nvSpPr>
      <dsp:spPr>
        <a:xfrm rot="16200000">
          <a:off x="3624208"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4</a:t>
          </a:r>
        </a:p>
        <a:p>
          <a:pPr marL="57150" lvl="1" indent="-57150" algn="l" defTabSz="488950">
            <a:lnSpc>
              <a:spcPct val="90000"/>
            </a:lnSpc>
            <a:spcBef>
              <a:spcPct val="0"/>
            </a:spcBef>
            <a:spcAft>
              <a:spcPct val="15000"/>
            </a:spcAft>
            <a:buChar char="••"/>
          </a:pPr>
          <a:r>
            <a:rPr lang="sk-SK" sz="1100" i="1" kern="1200"/>
            <a:t>vypĺňanie kontrolného zoznamu</a:t>
          </a:r>
        </a:p>
      </dsp:txBody>
      <dsp:txXfrm rot="5400000">
        <a:off x="4289402" y="532002"/>
        <a:ext cx="1329627" cy="1596009"/>
      </dsp:txXfrm>
    </dsp:sp>
  </dsp:spTree>
</dsp:drawing>
</file>

<file path=word/diagrams/drawing2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Začatie výkonu  administratívnej finančnej kontroly ŽoP (doručenie písomnej formy ŽoP).</a:t>
          </a:r>
        </a:p>
        <a:p>
          <a:pPr marL="57150" lvl="1" indent="-57150" algn="l" defTabSz="355600">
            <a:lnSpc>
              <a:spcPct val="90000"/>
            </a:lnSpc>
            <a:spcBef>
              <a:spcPct val="0"/>
            </a:spcBef>
            <a:spcAft>
              <a:spcPct val="15000"/>
            </a:spcAft>
            <a:buChar char="••"/>
          </a:pPr>
          <a:r>
            <a:rPr lang="sk-SK" sz="800" i="1" kern="1200"/>
            <a:t>Stanovenie kontrolného zoznamu k ŽoP</a:t>
          </a:r>
        </a:p>
        <a:p>
          <a:pPr marL="57150" lvl="1" indent="-57150" algn="l" defTabSz="355600">
            <a:lnSpc>
              <a:spcPct val="90000"/>
            </a:lnSpc>
            <a:spcBef>
              <a:spcPct val="0"/>
            </a:spcBef>
            <a:spcAft>
              <a:spcPct val="15000"/>
            </a:spcAft>
            <a:buChar char="••"/>
          </a:pPr>
          <a:endParaRPr lang="sk-SK" sz="8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AK ŽoP  bez nedostatkov </a:t>
          </a:r>
        </a:p>
      </dsp:txBody>
      <dsp:txXfrm>
        <a:off x="1937341" y="1122386"/>
        <a:ext cx="1444844" cy="916265"/>
      </dsp:txXfrm>
    </dsp:sp>
    <dsp:sp modelId="{0D8EEC67-CFCB-4E03-A953-611E63CC3E69}">
      <dsp:nvSpPr>
        <dsp:cNvPr id="0" name=""/>
        <dsp:cNvSpPr/>
      </dsp:nvSpPr>
      <dsp:spPr>
        <a:xfrm>
          <a:off x="2743134" y="72114"/>
          <a:ext cx="1833262" cy="1833262"/>
        </a:xfrm>
        <a:prstGeom prst="circularArrow">
          <a:avLst>
            <a:gd name="adj1" fmla="val 2743"/>
            <a:gd name="adj2" fmla="val 334370"/>
            <a:gd name="adj3" fmla="val 19490119"/>
            <a:gd name="adj4" fmla="val 12575511"/>
            <a:gd name="adj5" fmla="val 320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 /správ</a:t>
          </a:r>
          <a:r>
            <a:rPr lang="sk-SK" sz="800" b="1" kern="1200">
              <a:solidFill>
                <a:schemeClr val="tx2"/>
              </a:solidFill>
            </a:rPr>
            <a:t>y </a:t>
          </a:r>
        </a:p>
      </dsp:txBody>
      <dsp:txXfrm>
        <a:off x="2258130" y="578550"/>
        <a:ext cx="1303885" cy="499780"/>
      </dsp:txXfrm>
    </dsp:sp>
    <dsp:sp modelId="{CA8DC8C2-902A-4C8E-98D9-C24F3DCA2CE4}">
      <dsp:nvSpPr>
        <dsp:cNvPr id="0" name=""/>
        <dsp:cNvSpPr/>
      </dsp:nvSpPr>
      <dsp:spPr>
        <a:xfrm>
          <a:off x="3817058"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k ŽoP</a:t>
          </a:r>
        </a:p>
        <a:p>
          <a:pPr marL="57150" lvl="1" indent="-57150" algn="l" defTabSz="355600">
            <a:lnSpc>
              <a:spcPct val="90000"/>
            </a:lnSpc>
            <a:spcBef>
              <a:spcPct val="0"/>
            </a:spcBef>
            <a:spcAft>
              <a:spcPct val="15000"/>
            </a:spcAft>
            <a:buChar char="••"/>
          </a:pPr>
          <a:r>
            <a:rPr lang="sk-SK" sz="800" i="1" kern="1200"/>
            <a:t> Zaslanie  čiastkovej správy/správy z kontroly prijímateľovi</a:t>
          </a:r>
        </a:p>
      </dsp:txBody>
      <dsp:txXfrm>
        <a:off x="3845564"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2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Začatie výkonu  administratívnej finančnej kontroly ŽoP (doručenie písomnej formy ŽoP).</a:t>
          </a:r>
        </a:p>
        <a:p>
          <a:pPr marL="57150" lvl="1" indent="-57150" algn="l" defTabSz="266700">
            <a:lnSpc>
              <a:spcPct val="90000"/>
            </a:lnSpc>
            <a:spcBef>
              <a:spcPct val="0"/>
            </a:spcBef>
            <a:spcAft>
              <a:spcPct val="15000"/>
            </a:spcAft>
            <a:buChar char="••"/>
          </a:pPr>
          <a:r>
            <a:rPr lang="sk-SK" sz="600" i="1" kern="1200"/>
            <a:t>Stanovenie kontrolného zoznamu k ŽoP</a:t>
          </a:r>
        </a:p>
      </dsp:txBody>
      <dsp:txXfrm>
        <a:off x="28649" y="929961"/>
        <a:ext cx="1452052" cy="920836"/>
      </dsp:txXfrm>
    </dsp:sp>
    <dsp:sp modelId="{BF542D47-0F73-4C39-AECB-6392B969BEE2}">
      <dsp:nvSpPr>
        <dsp:cNvPr id="0" name=""/>
        <dsp:cNvSpPr/>
      </dsp:nvSpPr>
      <dsp:spPr>
        <a:xfrm>
          <a:off x="850795" y="1239620"/>
          <a:ext cx="1623905" cy="1623905"/>
        </a:xfrm>
        <a:prstGeom prst="leftCircularArrow">
          <a:avLst>
            <a:gd name="adj1" fmla="val 2903"/>
            <a:gd name="adj2" fmla="val 355157"/>
            <a:gd name="adj3" fmla="val 2056632"/>
            <a:gd name="adj4" fmla="val 8950454"/>
            <a:gd name="adj5" fmla="val 338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534"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4160" y="1923568"/>
        <a:ext cx="1310392" cy="502275"/>
      </dsp:txXfrm>
    </dsp:sp>
    <dsp:sp modelId="{18B80A27-057A-4402-81A4-202F53D937E2}">
      <dsp:nvSpPr>
        <dsp:cNvPr id="0" name=""/>
        <dsp:cNvSpPr/>
      </dsp:nvSpPr>
      <dsp:spPr>
        <a:xfrm>
          <a:off x="1904672"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AK ŽoP so zistenými nedostatkami</a:t>
          </a:r>
        </a:p>
      </dsp:txBody>
      <dsp:txXfrm>
        <a:off x="1933321" y="1196725"/>
        <a:ext cx="1452052" cy="920836"/>
      </dsp:txXfrm>
    </dsp:sp>
    <dsp:sp modelId="{0D8EEC67-CFCB-4E03-A953-611E63CC3E69}">
      <dsp:nvSpPr>
        <dsp:cNvPr id="0" name=""/>
        <dsp:cNvSpPr/>
      </dsp:nvSpPr>
      <dsp:spPr>
        <a:xfrm>
          <a:off x="2758106" y="171990"/>
          <a:ext cx="1783945" cy="1783945"/>
        </a:xfrm>
        <a:prstGeom prst="circularArrow">
          <a:avLst>
            <a:gd name="adj1" fmla="val 2643"/>
            <a:gd name="adj2" fmla="val 321334"/>
            <a:gd name="adj3" fmla="val 19436137"/>
            <a:gd name="adj4" fmla="val 12508492"/>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0083" y="663044"/>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kontroly/správy</a:t>
          </a:r>
          <a:endParaRPr lang="sk-SK" sz="800" b="1" kern="1200">
            <a:solidFill>
              <a:schemeClr val="tx2"/>
            </a:solidFill>
          </a:endParaRPr>
        </a:p>
      </dsp:txBody>
      <dsp:txXfrm>
        <a:off x="2255709" y="678670"/>
        <a:ext cx="1310392" cy="502275"/>
      </dsp:txXfrm>
    </dsp:sp>
    <dsp:sp modelId="{CA8DC8C2-902A-4C8E-98D9-C24F3DCA2CE4}">
      <dsp:nvSpPr>
        <dsp:cNvPr id="0" name=""/>
        <dsp:cNvSpPr/>
      </dsp:nvSpPr>
      <dsp:spPr>
        <a:xfrm>
          <a:off x="3777708" y="901300"/>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z kontroly/ správy z kontroly na vyjadrenie prijímateľovi </a:t>
          </a:r>
        </a:p>
        <a:p>
          <a:pPr marL="57150" lvl="1" indent="-57150" algn="l" defTabSz="266700">
            <a:lnSpc>
              <a:spcPct val="90000"/>
            </a:lnSpc>
            <a:spcBef>
              <a:spcPct val="0"/>
            </a:spcBef>
            <a:spcAft>
              <a:spcPct val="15000"/>
            </a:spcAft>
            <a:buChar char="••"/>
          </a:pPr>
          <a:r>
            <a:rPr lang="sk-SK" sz="600" i="1" kern="1200"/>
            <a:t>Finálne vyplnenie kontrolného zoznamu k ŽoP </a:t>
          </a:r>
        </a:p>
        <a:p>
          <a:pPr marL="57150" lvl="1" indent="-57150" algn="l" defTabSz="266700">
            <a:lnSpc>
              <a:spcPct val="90000"/>
            </a:lnSpc>
            <a:spcBef>
              <a:spcPct val="0"/>
            </a:spcBef>
            <a:spcAft>
              <a:spcPct val="15000"/>
            </a:spcAft>
            <a:buChar char="••"/>
          </a:pPr>
          <a:r>
            <a:rPr lang="sk-SK" sz="600" i="1" kern="1200"/>
            <a:t>Vypracovanie čiastkovej správy z kontroly/správy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 z kontorly/správy z kontroly    </a:t>
          </a:r>
        </a:p>
      </dsp:txBody>
      <dsp:txXfrm>
        <a:off x="3806357" y="929949"/>
        <a:ext cx="1452052" cy="920836"/>
      </dsp:txXfrm>
    </dsp:sp>
    <dsp:sp modelId="{97DC40B2-472E-447B-93FF-434AB18F15A3}">
      <dsp:nvSpPr>
        <dsp:cNvPr id="0" name=""/>
        <dsp:cNvSpPr/>
      </dsp:nvSpPr>
      <dsp:spPr>
        <a:xfrm>
          <a:off x="4141631"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257" y="1923568"/>
        <a:ext cx="1310392" cy="502275"/>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6.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2.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1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2.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3.xml><?xml version="1.0" encoding="utf-8"?>
<dgm:layoutDef xmlns:dgm="http://schemas.openxmlformats.org/drawingml/2006/diagram" xmlns:a="http://schemas.openxmlformats.org/drawingml/2006/main" uniqueId="urn:microsoft.com/office/officeart/2005/8/layout/arrow2">
  <dgm:title val=""/>
  <dgm:desc val=""/>
  <dgm:catLst>
    <dgm:cat type="process" pri="2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arrowDiagram">
    <dgm:varLst>
      <dgm:chMax val="5"/>
      <dgm:dir/>
      <dgm:resizeHandles val="exact"/>
    </dgm:varLst>
    <dgm:alg type="composite">
      <dgm:param type="ar" val="1.6"/>
    </dgm:alg>
    <dgm:shape xmlns:r="http://schemas.openxmlformats.org/officeDocument/2006/relationships" r:blip="">
      <dgm:adjLst/>
    </dgm:shape>
    <dgm:presOf/>
    <dgm:constrLst>
      <dgm:constr type="l" for="ch" forName="arrow"/>
      <dgm:constr type="t" for="ch" forName="arrow"/>
      <dgm:constr type="w" for="ch" forName="arrow" refType="w"/>
      <dgm:constr type="h" for="ch" forName="arrow" refType="h"/>
      <dgm:constr type="ctrX" for="ch" forName="arrowDiagram1" refType="w" fact="0.5"/>
      <dgm:constr type="ctrY" for="ch" forName="arrowDiagram1" refType="h" fact="0.5"/>
      <dgm:constr type="w" for="ch" forName="arrowDiagram1" refType="w"/>
      <dgm:constr type="h" for="ch" forName="arrowDiagram1" refType="h"/>
      <dgm:constr type="ctrX" for="ch" forName="arrowDiagram2" refType="w" fact="0.5"/>
      <dgm:constr type="ctrY" for="ch" forName="arrowDiagram2" refType="h" fact="0.5"/>
      <dgm:constr type="w" for="ch" forName="arrowDiagram2" refType="w"/>
      <dgm:constr type="h" for="ch" forName="arrowDiagram2" refType="h"/>
      <dgm:constr type="ctrX" for="ch" forName="arrowDiagram3" refType="w" fact="0.5"/>
      <dgm:constr type="ctrY" for="ch" forName="arrowDiagram3" refType="h" fact="0.5"/>
      <dgm:constr type="w" for="ch" forName="arrowDiagram3" refType="w"/>
      <dgm:constr type="h" for="ch" forName="arrowDiagram3" refType="h"/>
      <dgm:constr type="ctrX" for="ch" forName="arrowDiagram4" refType="w" fact="0.5"/>
      <dgm:constr type="ctrY" for="ch" forName="arrowDiagram4" refType="h" fact="0.5"/>
      <dgm:constr type="w" for="ch" forName="arrowDiagram4" refType="w"/>
      <dgm:constr type="h" for="ch" forName="arrowDiagram4" refType="h"/>
      <dgm:constr type="ctrX" for="ch" forName="arrowDiagram5" refType="w" fact="0.5"/>
      <dgm:constr type="ctrY" for="ch" forName="arrowDiagram5" refType="h" fact="0.5"/>
      <dgm:constr type="w" for="ch" forName="arrowDiagram5" refType="w"/>
      <dgm:constr type="h" for="ch" forName="arrowDiagram5" refType="h"/>
    </dgm:constrLst>
    <dgm:ruleLst/>
    <dgm:choose name="Name0">
      <dgm:if name="Name1" axis="ch" ptType="node" func="cnt" op="gte" val="1">
        <dgm:layoutNode name="arrow" styleLbl="bgShp">
          <dgm:alg type="sp"/>
          <dgm:shape xmlns:r="http://schemas.openxmlformats.org/officeDocument/2006/relationships" type="swooshArrow" r:blip="">
            <dgm:adjLst>
              <dgm:adj idx="2" val="0.25"/>
            </dgm:adjLst>
          </dgm:shape>
          <dgm:presOf/>
          <dgm:constrLst/>
          <dgm:ruleLst/>
        </dgm:layoutNode>
        <dgm:choose name="Name2">
          <dgm:if name="Name3" axis="ch" ptType="node" func="cnt" op="lt" val="1"/>
          <dgm:if name="Name4" axis="ch" ptType="node" func="cnt" op="equ" val="1">
            <dgm:layoutNode name="arrowDiagram1">
              <dgm:varLst>
                <dgm:bulletEnabled val="1"/>
              </dgm:varLst>
              <dgm:alg type="composite">
                <dgm:param type="vertAlign" val="none"/>
                <dgm:param type="horzAlign" val="none"/>
              </dgm:alg>
              <dgm:shape xmlns:r="http://schemas.openxmlformats.org/officeDocument/2006/relationships" r:blip="">
                <dgm:adjLst/>
              </dgm:shape>
              <dgm:presOf/>
              <dgm:constrLst>
                <dgm:constr type="ctrX" for="ch" forName="bullet1" refType="w" fact="0.8"/>
                <dgm:constr type="ctrY" for="ch" forName="bullet1" refType="h" fact="0.262"/>
                <dgm:constr type="w" for="ch" forName="bullet1" refType="w" fact="0.074"/>
                <dgm:constr type="h" for="ch" forName="bullet1" refType="w" refFor="ch" refForName="bullet1"/>
                <dgm:constr type="r" for="ch" forName="textBox1" refType="ctrX" refFor="ch" refForName="bullet1"/>
                <dgm:constr type="t" for="ch" forName="textBox1" refType="ctrY" refFor="ch" refForName="bullet1"/>
                <dgm:constr type="w" for="ch" forName="textBox1" refType="w" fact="0.4"/>
                <dgm:constr type="h" for="ch" forName="textBox1" refType="h" fact="0.738"/>
                <dgm:constr type="userA" refType="h" refFor="ch" refForName="bullet1" fact="0.53"/>
                <dgm:constr type="rMarg" for="ch" forName="textBox1" refType="userA" fact="2.834"/>
                <dgm:constr type="primFontSz" for="ch" ptType="node" op="equ" val="65"/>
              </dgm:constrLst>
              <dgm:ruleLst/>
              <dgm:forEach name="Name5" axis="ch" ptType="node" cnt="1">
                <dgm:layoutNode name="bullet1" styleLbl="node1">
                  <dgm:alg type="sp"/>
                  <dgm:shape xmlns:r="http://schemas.openxmlformats.org/officeDocument/2006/relationships" type="ellipse" r:blip="">
                    <dgm:adjLst/>
                  </dgm:shape>
                  <dgm:presOf/>
                  <dgm:constrLst/>
                  <dgm:ruleLst/>
                </dgm:layoutNode>
                <dgm:layoutNode name="textBox1" styleLbl="revTx">
                  <dgm:varLst>
                    <dgm:bulletEnabled val="1"/>
                  </dgm:varLst>
                  <dgm:alg type="tx">
                    <dgm:param type="txAnchorVert" val="t"/>
                    <dgm:param type="parTxLTRAlign" val="r"/>
                    <dgm:param type="parTxRTLAlign" val="r"/>
                  </dgm:alg>
                  <dgm:shape xmlns:r="http://schemas.openxmlformats.org/officeDocument/2006/relationships" type="round2DiagRect" r:blip="">
                    <dgm:adjLst/>
                  </dgm:shape>
                  <dgm:presOf axis="desOrSelf" ptType="node"/>
                  <dgm:constrLst>
                    <dgm:constr type="lMarg"/>
                    <dgm:constr type="tMarg"/>
                    <dgm:constr type="bMarg"/>
                  </dgm:constrLst>
                  <dgm:ruleLst>
                    <dgm:rule type="primFontSz" val="5" fact="NaN" max="NaN"/>
                  </dgm:ruleLst>
                </dgm:layoutNode>
              </dgm:forEach>
            </dgm:layoutNode>
          </dgm:if>
          <dgm:if name="Name6" axis="ch" ptType="node" func="cnt" op="equ" val="2">
            <dgm:layoutNode name="arrowDiagram2">
              <dgm:alg type="composite">
                <dgm:param type="vertAlign" val="none"/>
                <dgm:param type="horzAlign" val="none"/>
              </dgm:alg>
              <dgm:shape xmlns:r="http://schemas.openxmlformats.org/officeDocument/2006/relationships" r:blip="">
                <dgm:adjLst/>
              </dgm:shape>
              <dgm:presOf/>
              <dgm:choose name="Name7">
                <dgm:if name="Name8" func="var" arg="dir" op="equ" val="norm">
                  <dgm:constrLst>
                    <dgm:constr type="ctrX" for="ch" forName="bullet2a" refType="w" fact="0.25"/>
                    <dgm:constr type="ctrY" for="ch" forName="bullet2a" refType="h" fact="0.573"/>
                    <dgm:constr type="w" for="ch" forName="bullet2a" refType="w" fact="0.035"/>
                    <dgm:constr type="h" for="ch" forName="bullet2a" refType="w" refFor="ch" refForName="bullet2a"/>
                    <dgm:constr type="l" for="ch" forName="textBox2a" refType="ctrX" refFor="ch" refForName="bullet2a"/>
                    <dgm:constr type="t" for="ch" forName="textBox2a" refType="ctrY" refFor="ch" refForName="bullet2a"/>
                    <dgm:constr type="w" for="ch" forName="textBox2a" refType="w" fact="0.325"/>
                    <dgm:constr type="h" for="ch" forName="textBox2a" refType="h" fact="0.427"/>
                    <dgm:constr type="userA" refType="h" refFor="ch" refForName="bullet2a" fact="0.53"/>
                    <dgm:constr type="l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l" for="ch" forName="textBox2b" refType="ctrX" refFor="ch" refForName="bullet2b"/>
                    <dgm:constr type="t" for="ch" forName="textBox2b" refType="ctrY" refFor="ch" refForName="bullet2b"/>
                    <dgm:constr type="w" for="ch" forName="textBox2b" refType="w" fact="0.325"/>
                    <dgm:constr type="h" for="ch" forName="textBox2b" refType="h" fact="0.662"/>
                    <dgm:constr type="userB" refType="h" refFor="ch" refForName="bullet2b" fact="0.53"/>
                    <dgm:constr type="lMarg" for="ch" forName="textBox2b" refType="userB" fact="2.834"/>
                    <dgm:constr type="primFontSz" for="ch" ptType="node" op="equ" val="65"/>
                  </dgm:constrLst>
                </dgm:if>
                <dgm:else name="Name9">
                  <dgm:constrLst>
                    <dgm:constr type="ctrX" for="ch" forName="bullet2a" refType="w" fact="0.25"/>
                    <dgm:constr type="ctrY" for="ch" forName="bullet2a" refType="h" fact="0.573"/>
                    <dgm:constr type="w" for="ch" forName="bullet2a" refType="w" fact="0.035"/>
                    <dgm:constr type="h" for="ch" forName="bullet2a" refType="w" refFor="ch" refForName="bullet2a"/>
                    <dgm:constr type="r" for="ch" forName="textBox2a" refType="ctrX" refFor="ch" refForName="bullet2a"/>
                    <dgm:constr type="b" for="ch" forName="textBox2a" refType="ctrY" refFor="ch" refForName="bullet2a"/>
                    <dgm:constr type="w" for="ch" forName="textBox2a" refType="w" fact="0.25"/>
                    <dgm:constr type="h" for="ch" forName="textBox2a" refType="h" fact="0.573"/>
                    <dgm:constr type="userA" refType="h" refFor="ch" refForName="bullet2a" fact="0.53"/>
                    <dgm:constr type="r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r" for="ch" forName="textBox2b" refType="ctrX" refFor="ch" refForName="bullet2b"/>
                    <dgm:constr type="b" for="ch" forName="textBox2b" refType="ctrY" refFor="ch" refForName="bullet2b"/>
                    <dgm:constr type="w" for="ch" forName="textBox2b" refType="w" fact="0.28"/>
                    <dgm:constr type="h" for="ch" forName="textBox2b" refType="h" fact="0.338"/>
                    <dgm:constr type="userB" refType="h" refFor="ch" refForName="bullet2b" fact="0.53"/>
                    <dgm:constr type="rMarg" for="ch" forName="textBox2b" refType="userB" fact="2.834"/>
                    <dgm:constr type="primFontSz" for="ch" ptType="node" op="equ" val="65"/>
                  </dgm:constrLst>
                </dgm:else>
              </dgm:choose>
              <dgm:ruleLst/>
              <dgm:forEach name="Name10" axis="ch" ptType="node" cnt="1">
                <dgm:layoutNode name="bullet2a" styleLbl="node1">
                  <dgm:alg type="sp"/>
                  <dgm:shape xmlns:r="http://schemas.openxmlformats.org/officeDocument/2006/relationships" type="ellipse" r:blip="">
                    <dgm:adjLst/>
                  </dgm:shape>
                  <dgm:presOf/>
                  <dgm:constrLst/>
                  <dgm:ruleLst/>
                </dgm:layoutNode>
                <dgm:layoutNode name="textBox2a" styleLbl="revTx">
                  <dgm:varLst>
                    <dgm:bulletEnabled val="1"/>
                  </dgm:varLst>
                  <dgm:choose name="Name11">
                    <dgm:if name="Name12" func="var" arg="dir" op="equ" val="norm">
                      <dgm:choose name="Name13">
                        <dgm:if name="Name14" axis="root des" ptType="all node" func="maxDepth" op="gt" val="1">
                          <dgm:alg type="tx">
                            <dgm:param type="txAnchorVert" val="t"/>
                            <dgm:param type="parTxLTRAlign" val="l"/>
                            <dgm:param type="parTxRTLAlign" val="r"/>
                          </dgm:alg>
                        </dgm:if>
                        <dgm:else name="Name15">
                          <dgm:alg type="tx">
                            <dgm:param type="txAnchorVert" val="t"/>
                            <dgm:param type="parTxLTRAlign" val="l"/>
                            <dgm:param type="parTxRTLAlign" val="l"/>
                          </dgm:alg>
                        </dgm:else>
                      </dgm:choose>
                    </dgm:if>
                    <dgm:else name="Name16">
                      <dgm:choose name="Name17">
                        <dgm:if name="Name18" axis="root des" ptType="all node" func="maxDepth" op="gt" val="1">
                          <dgm:alg type="tx">
                            <dgm:param type="txAnchorVert" val="b"/>
                            <dgm:param type="txAnchorVertCh" val="b"/>
                            <dgm:param type="parTxLTRAlign" val="l"/>
                            <dgm:param type="parTxRTLAlign" val="r"/>
                          </dgm:alg>
                        </dgm:if>
                        <dgm:else name="Name1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
                    <dgm:if name="Name21" func="var" arg="dir" op="equ" val="norm">
                      <dgm:constrLst>
                        <dgm:constr type="rMarg"/>
                        <dgm:constr type="tMarg"/>
                        <dgm:constr type="bMarg"/>
                      </dgm:constrLst>
                    </dgm:if>
                    <dgm:else name="Name22">
                      <dgm:constrLst>
                        <dgm:constr type="lMarg"/>
                        <dgm:constr type="tMarg"/>
                        <dgm:constr type="bMarg"/>
                      </dgm:constrLst>
                    </dgm:else>
                  </dgm:choose>
                  <dgm:ruleLst>
                    <dgm:rule type="primFontSz" val="5" fact="NaN" max="NaN"/>
                  </dgm:ruleLst>
                </dgm:layoutNode>
              </dgm:forEach>
              <dgm:forEach name="Name23" axis="ch" ptType="node" st="2" cnt="1">
                <dgm:layoutNode name="bullet2b" styleLbl="node1">
                  <dgm:alg type="sp"/>
                  <dgm:shape xmlns:r="http://schemas.openxmlformats.org/officeDocument/2006/relationships" type="ellipse" r:blip="">
                    <dgm:adjLst/>
                  </dgm:shape>
                  <dgm:presOf/>
                  <dgm:constrLst/>
                  <dgm:ruleLst/>
                </dgm:layoutNode>
                <dgm:layoutNode name="textBox2b" styleLbl="revTx">
                  <dgm:varLst>
                    <dgm:bulletEnabled val="1"/>
                  </dgm:varLst>
                  <dgm:choose name="Name24">
                    <dgm:if name="Name25" func="var" arg="dir" op="equ" val="norm">
                      <dgm:choose name="Name26">
                        <dgm:if name="Name27" axis="root des" ptType="all node" func="maxDepth" op="gt" val="1">
                          <dgm:alg type="tx">
                            <dgm:param type="txAnchorVert" val="t"/>
                            <dgm:param type="parTxLTRAlign" val="l"/>
                            <dgm:param type="parTxRTLAlign" val="r"/>
                          </dgm:alg>
                        </dgm:if>
                        <dgm:else name="Name28">
                          <dgm:alg type="tx">
                            <dgm:param type="txAnchorVert" val="t"/>
                            <dgm:param type="parTxLTRAlign" val="l"/>
                            <dgm:param type="parTxRTLAlign" val="l"/>
                          </dgm:alg>
                        </dgm:else>
                      </dgm:choose>
                    </dgm:if>
                    <dgm:else name="Name29">
                      <dgm:choose name="Name30">
                        <dgm:if name="Name31" axis="root des" ptType="all node" func="maxDepth" op="gt" val="1">
                          <dgm:alg type="tx">
                            <dgm:param type="txAnchorVert" val="b"/>
                            <dgm:param type="txAnchorVertCh" val="b"/>
                            <dgm:param type="parTxLTRAlign" val="l"/>
                            <dgm:param type="parTxRTLAlign" val="r"/>
                          </dgm:alg>
                        </dgm:if>
                        <dgm:else name="Name3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33">
                    <dgm:if name="Name34" func="var" arg="dir" op="equ" val="norm">
                      <dgm:constrLst>
                        <dgm:constr type="rMarg"/>
                        <dgm:constr type="tMarg"/>
                        <dgm:constr type="bMarg"/>
                      </dgm:constrLst>
                    </dgm:if>
                    <dgm:else name="Name35">
                      <dgm:constrLst>
                        <dgm:constr type="lMarg"/>
                        <dgm:constr type="tMarg"/>
                        <dgm:constr type="bMarg"/>
                      </dgm:constrLst>
                    </dgm:else>
                  </dgm:choose>
                  <dgm:ruleLst>
                    <dgm:rule type="primFontSz" val="5" fact="NaN" max="NaN"/>
                  </dgm:ruleLst>
                </dgm:layoutNode>
              </dgm:forEach>
            </dgm:layoutNode>
          </dgm:if>
          <dgm:if name="Name36" axis="ch" ptType="node" func="cnt" op="equ" val="3">
            <dgm:layoutNode name="arrowDiagram3">
              <dgm:alg type="composite">
                <dgm:param type="vertAlign" val="none"/>
                <dgm:param type="horzAlign" val="none"/>
              </dgm:alg>
              <dgm:shape xmlns:r="http://schemas.openxmlformats.org/officeDocument/2006/relationships" r:blip="">
                <dgm:adjLst/>
              </dgm:shape>
              <dgm:presOf/>
              <dgm:choose name="Name37">
                <dgm:if name="Name38" func="var" arg="dir" op="equ" val="norm">
                  <dgm:constrLst>
                    <dgm:constr type="ctrX" for="ch" forName="bullet3a" refType="w" fact="0.14"/>
                    <dgm:constr type="ctrY" for="ch" forName="bullet3a" refType="h" fact="0.711"/>
                    <dgm:constr type="w" for="ch" forName="bullet3a" refType="w" fact="0.026"/>
                    <dgm:constr type="h" for="ch" forName="bullet3a" refType="w" refFor="ch" refForName="bullet3a"/>
                    <dgm:constr type="l" for="ch" forName="textBox3a" refType="ctrX" refFor="ch" refForName="bullet3a"/>
                    <dgm:constr type="t" for="ch" forName="textBox3a" refType="ctrY" refFor="ch" refForName="bullet3a"/>
                    <dgm:constr type="w" for="ch" forName="textBox3a" refType="w" fact="0.233"/>
                    <dgm:constr type="h" for="ch" forName="textBox3a" refType="h" fact="0.289"/>
                    <dgm:constr type="userA" refType="h" refFor="ch" refForName="bullet3a" fact="0.53"/>
                    <dgm:constr type="l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l" for="ch" forName="textBox3b" refType="ctrX" refFor="ch" refForName="bullet3b"/>
                    <dgm:constr type="t" for="ch" forName="textBox3b" refType="ctrY" refFor="ch" refForName="bullet3b"/>
                    <dgm:constr type="w" for="ch" forName="textBox3b" refType="w" fact="0.24"/>
                    <dgm:constr type="h" for="ch" forName="textBox3b" refType="h" fact="0.544"/>
                    <dgm:constr type="userB" refType="h" refFor="ch" refForName="bullet3b" fact="0.53"/>
                    <dgm:constr type="l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l" for="ch" forName="textBox3c" refType="ctrX" refFor="ch" refForName="bullet3c"/>
                    <dgm:constr type="t" for="ch" forName="textBox3c" refType="ctrY" refFor="ch" refForName="bullet3c"/>
                    <dgm:constr type="w" for="ch" forName="textBox3c" refType="w" fact="0.24"/>
                    <dgm:constr type="h" for="ch" forName="textBox3c" refType="h" fact="0.695"/>
                    <dgm:constr type="userC" refType="h" refFor="ch" refForName="bullet3c" fact="0.53"/>
                    <dgm:constr type="lMarg" for="ch" forName="textBox3c" refType="userC" fact="2.834"/>
                    <dgm:constr type="primFontSz" for="ch" ptType="node" op="equ" val="65"/>
                  </dgm:constrLst>
                </dgm:if>
                <dgm:else name="Name39">
                  <dgm:constrLst>
                    <dgm:constr type="ctrX" for="ch" forName="bullet3a" refType="w" fact="0.14"/>
                    <dgm:constr type="ctrY" for="ch" forName="bullet3a" refType="h" fact="0.711"/>
                    <dgm:constr type="w" for="ch" forName="bullet3a" refType="w" fact="0.026"/>
                    <dgm:constr type="h" for="ch" forName="bullet3a" refType="w" refFor="ch" refForName="bullet3a"/>
                    <dgm:constr type="r" for="ch" forName="textBox3a" refType="ctrX" refFor="ch" refForName="bullet3a"/>
                    <dgm:constr type="b" for="ch" forName="textBox3a" refType="ctrY" refFor="ch" refForName="bullet3a"/>
                    <dgm:constr type="w" for="ch" forName="textBox3a" refType="w" fact="0.14"/>
                    <dgm:constr type="h" for="ch" forName="textBox3a" refType="h" fact="0.711"/>
                    <dgm:constr type="userA" refType="h" refFor="ch" refForName="bullet3a" fact="0.53"/>
                    <dgm:constr type="r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r" for="ch" forName="textBox3b" refType="ctrX" refFor="ch" refForName="bullet3b"/>
                    <dgm:constr type="b" for="ch" forName="textBox3b" refType="ctrY" refFor="ch" refForName="bullet3b"/>
                    <dgm:constr type="w" for="ch" forName="textBox3b" refType="w" fact="0.24"/>
                    <dgm:constr type="h" for="ch" forName="textBox3b" refType="h" fact="0.456"/>
                    <dgm:constr type="userB" refType="h" refFor="ch" refForName="bullet3b" fact="0.53"/>
                    <dgm:constr type="r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r" for="ch" forName="textBox3c" refType="ctrX" refFor="ch" refForName="bullet3c"/>
                    <dgm:constr type="b" for="ch" forName="textBox3c" refType="ctrY" refFor="ch" refForName="bullet3c"/>
                    <dgm:constr type="w" for="ch" forName="textBox3c" refType="w" fact="0.24"/>
                    <dgm:constr type="h" for="ch" forName="textBox3c" refType="h" fact="0.305"/>
                    <dgm:constr type="userC" refType="h" refFor="ch" refForName="bullet3c" fact="0.53"/>
                    <dgm:constr type="rMarg" for="ch" forName="textBox3c" refType="userC" fact="2.834"/>
                    <dgm:constr type="primFontSz" for="ch" ptType="node" op="equ" val="65"/>
                  </dgm:constrLst>
                </dgm:else>
              </dgm:choose>
              <dgm:ruleLst/>
              <dgm:forEach name="Name40" axis="ch" ptType="node" cnt="1">
                <dgm:layoutNode name="bullet3a" styleLbl="node1">
                  <dgm:alg type="sp"/>
                  <dgm:shape xmlns:r="http://schemas.openxmlformats.org/officeDocument/2006/relationships" type="ellipse" r:blip="">
                    <dgm:adjLst/>
                  </dgm:shape>
                  <dgm:presOf/>
                  <dgm:constrLst/>
                  <dgm:ruleLst/>
                </dgm:layoutNode>
                <dgm:layoutNode name="textBox3a" styleLbl="revTx">
                  <dgm:varLst>
                    <dgm:bulletEnabled val="1"/>
                  </dgm:varLst>
                  <dgm:choose name="Name41">
                    <dgm:if name="Name42" func="var" arg="dir" op="equ" val="norm">
                      <dgm:choose name="Name43">
                        <dgm:if name="Name44" axis="root des" ptType="all node" func="maxDepth" op="gt" val="1">
                          <dgm:alg type="tx">
                            <dgm:param type="txAnchorVert" val="t"/>
                            <dgm:param type="parTxLTRAlign" val="l"/>
                            <dgm:param type="parTxRTLAlign" val="r"/>
                          </dgm:alg>
                        </dgm:if>
                        <dgm:else name="Name45">
                          <dgm:alg type="tx">
                            <dgm:param type="txAnchorVert" val="t"/>
                            <dgm:param type="parTxLTRAlign" val="l"/>
                            <dgm:param type="parTxRTLAlign" val="l"/>
                          </dgm:alg>
                        </dgm:else>
                      </dgm:choose>
                    </dgm:if>
                    <dgm:else name="Name46">
                      <dgm:choose name="Name47">
                        <dgm:if name="Name48" axis="root des" ptType="all node" func="maxDepth" op="gt" val="1">
                          <dgm:alg type="tx">
                            <dgm:param type="txAnchorVert" val="b"/>
                            <dgm:param type="txAnchorVertCh" val="b"/>
                            <dgm:param type="parTxLTRAlign" val="l"/>
                            <dgm:param type="parTxRTLAlign" val="r"/>
                          </dgm:alg>
                        </dgm:if>
                        <dgm:else name="Name4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50">
                    <dgm:if name="Name51" func="var" arg="dir" op="equ" val="norm">
                      <dgm:constrLst>
                        <dgm:constr type="rMarg"/>
                        <dgm:constr type="tMarg"/>
                        <dgm:constr type="bMarg"/>
                      </dgm:constrLst>
                    </dgm:if>
                    <dgm:else name="Name52">
                      <dgm:constrLst>
                        <dgm:constr type="lMarg"/>
                        <dgm:constr type="tMarg"/>
                        <dgm:constr type="bMarg"/>
                      </dgm:constrLst>
                    </dgm:else>
                  </dgm:choose>
                  <dgm:ruleLst>
                    <dgm:rule type="primFontSz" val="5" fact="NaN" max="NaN"/>
                  </dgm:ruleLst>
                </dgm:layoutNode>
              </dgm:forEach>
              <dgm:forEach name="Name53" axis="ch" ptType="node" st="2" cnt="1">
                <dgm:layoutNode name="bullet3b" styleLbl="node1">
                  <dgm:alg type="sp"/>
                  <dgm:shape xmlns:r="http://schemas.openxmlformats.org/officeDocument/2006/relationships" type="ellipse" r:blip="">
                    <dgm:adjLst/>
                  </dgm:shape>
                  <dgm:presOf/>
                  <dgm:constrLst/>
                  <dgm:ruleLst/>
                </dgm:layoutNode>
                <dgm:layoutNode name="textBox3b" styleLbl="revTx">
                  <dgm:varLst>
                    <dgm:bulletEnabled val="1"/>
                  </dgm:varLst>
                  <dgm:choose name="Name54">
                    <dgm:if name="Name55" func="var" arg="dir" op="equ" val="norm">
                      <dgm:choose name="Name56">
                        <dgm:if name="Name57" axis="root des" ptType="all node" func="maxDepth" op="gt" val="1">
                          <dgm:alg type="tx">
                            <dgm:param type="txAnchorVert" val="t"/>
                            <dgm:param type="parTxLTRAlign" val="l"/>
                            <dgm:param type="parTxRTLAlign" val="r"/>
                          </dgm:alg>
                        </dgm:if>
                        <dgm:else name="Name58">
                          <dgm:alg type="tx">
                            <dgm:param type="txAnchorVert" val="t"/>
                            <dgm:param type="parTxLTRAlign" val="l"/>
                            <dgm:param type="parTxRTLAlign" val="l"/>
                          </dgm:alg>
                        </dgm:else>
                      </dgm:choose>
                    </dgm:if>
                    <dgm:else name="Name59">
                      <dgm:choose name="Name60">
                        <dgm:if name="Name61" axis="root des" ptType="all node" func="maxDepth" op="gt" val="1">
                          <dgm:alg type="tx">
                            <dgm:param type="txAnchorVert" val="b"/>
                            <dgm:param type="txAnchorVertCh" val="b"/>
                            <dgm:param type="parTxLTRAlign" val="l"/>
                            <dgm:param type="parTxRTLAlign" val="r"/>
                          </dgm:alg>
                        </dgm:if>
                        <dgm:else name="Name6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63">
                    <dgm:if name="Name64" func="var" arg="dir" op="equ" val="norm">
                      <dgm:constrLst>
                        <dgm:constr type="rMarg"/>
                        <dgm:constr type="tMarg"/>
                        <dgm:constr type="bMarg"/>
                      </dgm:constrLst>
                    </dgm:if>
                    <dgm:else name="Name65">
                      <dgm:constrLst>
                        <dgm:constr type="lMarg"/>
                        <dgm:constr type="tMarg"/>
                        <dgm:constr type="bMarg"/>
                      </dgm:constrLst>
                    </dgm:else>
                  </dgm:choose>
                  <dgm:ruleLst>
                    <dgm:rule type="primFontSz" val="5" fact="NaN" max="NaN"/>
                  </dgm:ruleLst>
                </dgm:layoutNode>
              </dgm:forEach>
              <dgm:forEach name="Name66" axis="ch" ptType="node" st="3" cnt="1">
                <dgm:layoutNode name="bullet3c" styleLbl="node1">
                  <dgm:alg type="sp"/>
                  <dgm:shape xmlns:r="http://schemas.openxmlformats.org/officeDocument/2006/relationships" type="ellipse" r:blip="">
                    <dgm:adjLst/>
                  </dgm:shape>
                  <dgm:presOf/>
                  <dgm:constrLst/>
                  <dgm:ruleLst/>
                </dgm:layoutNode>
                <dgm:layoutNode name="textBox3c" styleLbl="revTx">
                  <dgm:varLst>
                    <dgm:bulletEnabled val="1"/>
                  </dgm:varLst>
                  <dgm:choose name="Name67">
                    <dgm:if name="Name68" func="var" arg="dir" op="equ" val="norm">
                      <dgm:choose name="Name69">
                        <dgm:if name="Name70" axis="root des" ptType="all node" func="maxDepth" op="gt" val="1">
                          <dgm:alg type="tx">
                            <dgm:param type="txAnchorVert" val="t"/>
                            <dgm:param type="parTxLTRAlign" val="l"/>
                            <dgm:param type="parTxRTLAlign" val="r"/>
                          </dgm:alg>
                        </dgm:if>
                        <dgm:else name="Name71">
                          <dgm:alg type="tx">
                            <dgm:param type="txAnchorVert" val="t"/>
                            <dgm:param type="parTxLTRAlign" val="l"/>
                            <dgm:param type="parTxRTLAlign" val="l"/>
                          </dgm:alg>
                        </dgm:else>
                      </dgm:choose>
                    </dgm:if>
                    <dgm:else name="Name72">
                      <dgm:choose name="Name73">
                        <dgm:if name="Name74" axis="root des" ptType="all node" func="maxDepth" op="gt" val="1">
                          <dgm:alg type="tx">
                            <dgm:param type="txAnchorVert" val="b"/>
                            <dgm:param type="txAnchorVertCh" val="b"/>
                            <dgm:param type="parTxLTRAlign" val="l"/>
                            <dgm:param type="parTxRTLAlign" val="r"/>
                          </dgm:alg>
                        </dgm:if>
                        <dgm:else name="Name7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76">
                    <dgm:if name="Name77" func="var" arg="dir" op="equ" val="norm">
                      <dgm:constrLst>
                        <dgm:constr type="rMarg"/>
                        <dgm:constr type="tMarg"/>
                        <dgm:constr type="bMarg"/>
                      </dgm:constrLst>
                    </dgm:if>
                    <dgm:else name="Name78">
                      <dgm:constrLst>
                        <dgm:constr type="lMarg"/>
                        <dgm:constr type="tMarg"/>
                        <dgm:constr type="bMarg"/>
                      </dgm:constrLst>
                    </dgm:else>
                  </dgm:choose>
                  <dgm:ruleLst>
                    <dgm:rule type="primFontSz" val="5" fact="NaN" max="NaN"/>
                  </dgm:ruleLst>
                </dgm:layoutNode>
              </dgm:forEach>
            </dgm:layoutNode>
          </dgm:if>
          <dgm:if name="Name79" axis="ch" ptType="node" func="cnt" op="equ" val="4">
            <dgm:layoutNode name="arrowDiagram4">
              <dgm:alg type="composite">
                <dgm:param type="vertAlign" val="none"/>
                <dgm:param type="horzAlign" val="none"/>
              </dgm:alg>
              <dgm:shape xmlns:r="http://schemas.openxmlformats.org/officeDocument/2006/relationships" r:blip="">
                <dgm:adjLst/>
              </dgm:shape>
              <dgm:presOf/>
              <dgm:choose name="Name80">
                <dgm:if name="Name81" func="var" arg="dir" op="equ" val="norm">
                  <dgm:constrLst>
                    <dgm:constr type="ctrX" for="ch" forName="bullet4a" refType="w" fact="0.11"/>
                    <dgm:constr type="ctrY" for="ch" forName="bullet4a" refType="h" fact="0.762"/>
                    <dgm:constr type="w" for="ch" forName="bullet4a" refType="w" fact="0.023"/>
                    <dgm:constr type="h" for="ch" forName="bullet4a" refType="w" refFor="ch" refForName="bullet4a"/>
                    <dgm:constr type="l" for="ch" forName="textBox4a" refType="ctrX" refFor="ch" refForName="bullet4a"/>
                    <dgm:constr type="t" for="ch" forName="textBox4a" refType="ctrY" refFor="ch" refForName="bullet4a"/>
                    <dgm:constr type="w" for="ch" forName="textBox4a" refType="w" fact="0.171"/>
                    <dgm:constr type="h" for="ch" forName="textBox4a" refType="h" fact="0.238"/>
                    <dgm:constr type="userA" refType="h" refFor="ch" refForName="bullet4a" fact="0.53"/>
                    <dgm:constr type="l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l" for="ch" forName="textBox4b" refType="ctrX" refFor="ch" refForName="bullet4b"/>
                    <dgm:constr type="t" for="ch" forName="textBox4b" refType="ctrY" refFor="ch" refForName="bullet4b"/>
                    <dgm:constr type="w" for="ch" forName="textBox4b" refType="w" fact="0.21"/>
                    <dgm:constr type="h" for="ch" forName="textBox4b" refType="h" fact="0.457"/>
                    <dgm:constr type="userB" refType="h" refFor="ch" refForName="bullet4b" fact="0.53"/>
                    <dgm:constr type="l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l" for="ch" forName="textBox4c" refType="ctrX" refFor="ch" refForName="bullet4c"/>
                    <dgm:constr type="t" for="ch" forName="textBox4c" refType="ctrY" refFor="ch" refForName="bullet4c"/>
                    <dgm:constr type="w" for="ch" forName="textBox4c" refType="w" fact="0.21"/>
                    <dgm:constr type="h" for="ch" forName="textBox4c" refType="h" fact="0.618"/>
                    <dgm:constr type="userC" refType="h" refFor="ch" refForName="bullet4c" fact="0.53"/>
                    <dgm:constr type="l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l" for="ch" forName="textBox4d" refType="ctrX" refFor="ch" refForName="bullet4d"/>
                    <dgm:constr type="t" for="ch" forName="textBox4d" refType="ctrY" refFor="ch" refForName="bullet4d"/>
                    <dgm:constr type="w" for="ch" forName="textBox4d" refType="w" fact="0.21"/>
                    <dgm:constr type="h" for="ch" forName="textBox4d" refType="h" fact="0.717"/>
                    <dgm:constr type="userD" refType="h" refFor="ch" refForName="bullet4d" fact="0.53"/>
                    <dgm:constr type="lMarg" for="ch" forName="textBox4d" refType="userD" fact="2.834"/>
                    <dgm:constr type="primFontSz" for="ch" ptType="node" op="equ" val="65"/>
                  </dgm:constrLst>
                </dgm:if>
                <dgm:else name="Name82">
                  <dgm:constrLst>
                    <dgm:constr type="ctrX" for="ch" forName="bullet4a" refType="w" fact="0.11"/>
                    <dgm:constr type="ctrY" for="ch" forName="bullet4a" refType="h" fact="0.762"/>
                    <dgm:constr type="w" for="ch" forName="bullet4a" refType="w" fact="0.023"/>
                    <dgm:constr type="h" for="ch" forName="bullet4a" refType="w" refFor="ch" refForName="bullet4a"/>
                    <dgm:constr type="r" for="ch" forName="textBox4a" refType="ctrX" refFor="ch" refForName="bullet4a"/>
                    <dgm:constr type="b" for="ch" forName="textBox4a" refType="ctrY" refFor="ch" refForName="bullet4a"/>
                    <dgm:constr type="w" for="ch" forName="textBox4a" refType="w" fact="0.11"/>
                    <dgm:constr type="h" for="ch" forName="textBox4a" refType="h" fact="0.762"/>
                    <dgm:constr type="userA" refType="h" refFor="ch" refForName="bullet4a" fact="0.53"/>
                    <dgm:constr type="r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r" for="ch" forName="textBox4b" refType="ctrX" refFor="ch" refForName="bullet4b"/>
                    <dgm:constr type="b" for="ch" forName="textBox4b" refType="ctrY" refFor="ch" refForName="bullet4b"/>
                    <dgm:constr type="w" for="ch" forName="textBox4b" refType="w" fact="0.171"/>
                    <dgm:constr type="h" for="ch" forName="textBox4b" refType="h" fact="0.543"/>
                    <dgm:constr type="userB" refType="h" refFor="ch" refForName="bullet4b" fact="0.53"/>
                    <dgm:constr type="r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r" for="ch" forName="textBox4c" refType="ctrX" refFor="ch" refForName="bullet4c"/>
                    <dgm:constr type="b" for="ch" forName="textBox4c" refType="ctrY" refFor="ch" refForName="bullet4c"/>
                    <dgm:constr type="w" for="ch" forName="textBox4c" refType="w" fact="0.21"/>
                    <dgm:constr type="h" for="ch" forName="textBox4c" refType="h" fact="0.382"/>
                    <dgm:constr type="userC" refType="h" refFor="ch" refForName="bullet4c" fact="0.53"/>
                    <dgm:constr type="r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r" for="ch" forName="textBox4d" refType="ctrX" refFor="ch" refForName="bullet4d"/>
                    <dgm:constr type="b" for="ch" forName="textBox4d" refType="ctrY" refFor="ch" refForName="bullet4d"/>
                    <dgm:constr type="w" for="ch" forName="textBox4d" refType="w" fact="0.21"/>
                    <dgm:constr type="h" for="ch" forName="textBox4d" refType="h" fact="0.283"/>
                    <dgm:constr type="userD" refType="h" refFor="ch" refForName="bullet4d" fact="0.53"/>
                    <dgm:constr type="rMarg" for="ch" forName="textBox4d" refType="userD" fact="2.834"/>
                    <dgm:constr type="primFontSz" for="ch" ptType="node" op="equ" val="65"/>
                  </dgm:constrLst>
                </dgm:else>
              </dgm:choose>
              <dgm:ruleLst/>
              <dgm:forEach name="Name83" axis="ch" ptType="node" cnt="1">
                <dgm:layoutNode name="bullet4a" styleLbl="node1">
                  <dgm:alg type="sp"/>
                  <dgm:shape xmlns:r="http://schemas.openxmlformats.org/officeDocument/2006/relationships" type="ellipse" r:blip="">
                    <dgm:adjLst/>
                  </dgm:shape>
                  <dgm:presOf/>
                  <dgm:constrLst/>
                  <dgm:ruleLst/>
                </dgm:layoutNode>
                <dgm:layoutNode name="textBox4a" styleLbl="revTx">
                  <dgm:varLst>
                    <dgm:bulletEnabled val="1"/>
                  </dgm:varLst>
                  <dgm:choose name="Name84">
                    <dgm:if name="Name85" func="var" arg="dir" op="equ" val="norm">
                      <dgm:choose name="Name86">
                        <dgm:if name="Name87" axis="root des" ptType="all node" func="maxDepth" op="gt" val="1">
                          <dgm:alg type="tx">
                            <dgm:param type="txAnchorVert" val="t"/>
                            <dgm:param type="parTxLTRAlign" val="l"/>
                            <dgm:param type="parTxRTLAlign" val="r"/>
                          </dgm:alg>
                        </dgm:if>
                        <dgm:else name="Name88">
                          <dgm:alg type="tx">
                            <dgm:param type="txAnchorVert" val="t"/>
                            <dgm:param type="parTxLTRAlign" val="l"/>
                            <dgm:param type="parTxRTLAlign" val="l"/>
                          </dgm:alg>
                        </dgm:else>
                      </dgm:choose>
                    </dgm:if>
                    <dgm:else name="Name89">
                      <dgm:choose name="Name90">
                        <dgm:if name="Name91" axis="root des" ptType="all node" func="maxDepth" op="gt" val="1">
                          <dgm:alg type="tx">
                            <dgm:param type="txAnchorVert" val="b"/>
                            <dgm:param type="txAnchorVertCh" val="b"/>
                            <dgm:param type="parTxLTRAlign" val="l"/>
                            <dgm:param type="parTxRTLAlign" val="r"/>
                          </dgm:alg>
                        </dgm:if>
                        <dgm:else name="Name9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93">
                    <dgm:if name="Name94" func="var" arg="dir" op="equ" val="norm">
                      <dgm:constrLst>
                        <dgm:constr type="rMarg"/>
                        <dgm:constr type="tMarg"/>
                        <dgm:constr type="bMarg"/>
                      </dgm:constrLst>
                    </dgm:if>
                    <dgm:else name="Name95">
                      <dgm:constrLst>
                        <dgm:constr type="lMarg"/>
                        <dgm:constr type="tMarg"/>
                        <dgm:constr type="bMarg"/>
                      </dgm:constrLst>
                    </dgm:else>
                  </dgm:choose>
                  <dgm:ruleLst>
                    <dgm:rule type="primFontSz" val="5" fact="NaN" max="NaN"/>
                  </dgm:ruleLst>
                </dgm:layoutNode>
              </dgm:forEach>
              <dgm:forEach name="Name96" axis="ch" ptType="node" st="2" cnt="1">
                <dgm:layoutNode name="bullet4b" styleLbl="node1">
                  <dgm:alg type="sp"/>
                  <dgm:shape xmlns:r="http://schemas.openxmlformats.org/officeDocument/2006/relationships" type="ellipse" r:blip="">
                    <dgm:adjLst/>
                  </dgm:shape>
                  <dgm:presOf/>
                  <dgm:constrLst/>
                  <dgm:ruleLst/>
                </dgm:layoutNode>
                <dgm:layoutNode name="textBox4b" styleLbl="revTx">
                  <dgm:varLst>
                    <dgm:bulletEnabled val="1"/>
                  </dgm:varLst>
                  <dgm:choose name="Name97">
                    <dgm:if name="Name98" func="var" arg="dir" op="equ" val="norm">
                      <dgm:choose name="Name99">
                        <dgm:if name="Name100" axis="root des" ptType="all node" func="maxDepth" op="gt" val="1">
                          <dgm:alg type="tx">
                            <dgm:param type="txAnchorVert" val="t"/>
                            <dgm:param type="parTxLTRAlign" val="l"/>
                            <dgm:param type="parTxRTLAlign" val="r"/>
                          </dgm:alg>
                        </dgm:if>
                        <dgm:else name="Name101">
                          <dgm:alg type="tx">
                            <dgm:param type="txAnchorVert" val="t"/>
                            <dgm:param type="parTxLTRAlign" val="l"/>
                            <dgm:param type="parTxRTLAlign" val="l"/>
                          </dgm:alg>
                        </dgm:else>
                      </dgm:choose>
                    </dgm:if>
                    <dgm:else name="Name102">
                      <dgm:choose name="Name103">
                        <dgm:if name="Name104" axis="root des" ptType="all node" func="maxDepth" op="gt" val="1">
                          <dgm:alg type="tx">
                            <dgm:param type="txAnchorVert" val="b"/>
                            <dgm:param type="txAnchorVertCh" val="b"/>
                            <dgm:param type="parTxLTRAlign" val="l"/>
                            <dgm:param type="parTxRTLAlign" val="r"/>
                          </dgm:alg>
                        </dgm:if>
                        <dgm:else name="Name10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06">
                    <dgm:if name="Name107" func="var" arg="dir" op="equ" val="norm">
                      <dgm:constrLst>
                        <dgm:constr type="rMarg"/>
                        <dgm:constr type="tMarg"/>
                        <dgm:constr type="bMarg"/>
                      </dgm:constrLst>
                    </dgm:if>
                    <dgm:else name="Name108">
                      <dgm:constrLst>
                        <dgm:constr type="lMarg"/>
                        <dgm:constr type="tMarg"/>
                        <dgm:constr type="bMarg"/>
                      </dgm:constrLst>
                    </dgm:else>
                  </dgm:choose>
                  <dgm:ruleLst>
                    <dgm:rule type="primFontSz" val="5" fact="NaN" max="NaN"/>
                  </dgm:ruleLst>
                </dgm:layoutNode>
              </dgm:forEach>
              <dgm:forEach name="Name109" axis="ch" ptType="node" st="3" cnt="1">
                <dgm:layoutNode name="bullet4c" styleLbl="node1">
                  <dgm:alg type="sp"/>
                  <dgm:shape xmlns:r="http://schemas.openxmlformats.org/officeDocument/2006/relationships" type="ellipse" r:blip="">
                    <dgm:adjLst/>
                  </dgm:shape>
                  <dgm:presOf/>
                  <dgm:constrLst/>
                  <dgm:ruleLst/>
                </dgm:layoutNode>
                <dgm:layoutNode name="textBox4c" styleLbl="revTx">
                  <dgm:varLst>
                    <dgm:bulletEnabled val="1"/>
                  </dgm:varLst>
                  <dgm:choose name="Name110">
                    <dgm:if name="Name111" func="var" arg="dir" op="equ" val="norm">
                      <dgm:choose name="Name112">
                        <dgm:if name="Name113" axis="root des" ptType="all node" func="maxDepth" op="gt" val="1">
                          <dgm:alg type="tx">
                            <dgm:param type="txAnchorVert" val="t"/>
                            <dgm:param type="parTxLTRAlign" val="l"/>
                            <dgm:param type="parTxRTLAlign" val="r"/>
                          </dgm:alg>
                        </dgm:if>
                        <dgm:else name="Name114">
                          <dgm:alg type="tx">
                            <dgm:param type="txAnchorVert" val="t"/>
                            <dgm:param type="parTxLTRAlign" val="l"/>
                            <dgm:param type="parTxRTLAlign" val="l"/>
                          </dgm:alg>
                        </dgm:else>
                      </dgm:choose>
                    </dgm:if>
                    <dgm:else name="Name115">
                      <dgm:choose name="Name116">
                        <dgm:if name="Name117" axis="root des" ptType="all node" func="maxDepth" op="gt" val="1">
                          <dgm:alg type="tx">
                            <dgm:param type="txAnchorVert" val="b"/>
                            <dgm:param type="txAnchorVertCh" val="b"/>
                            <dgm:param type="parTxLTRAlign" val="l"/>
                            <dgm:param type="parTxRTLAlign" val="r"/>
                          </dgm:alg>
                        </dgm:if>
                        <dgm:else name="Name11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19">
                    <dgm:if name="Name120" func="var" arg="dir" op="equ" val="norm">
                      <dgm:constrLst>
                        <dgm:constr type="rMarg"/>
                        <dgm:constr type="tMarg"/>
                        <dgm:constr type="bMarg"/>
                      </dgm:constrLst>
                    </dgm:if>
                    <dgm:else name="Name121">
                      <dgm:constrLst>
                        <dgm:constr type="lMarg"/>
                        <dgm:constr type="tMarg"/>
                        <dgm:constr type="bMarg"/>
                      </dgm:constrLst>
                    </dgm:else>
                  </dgm:choose>
                  <dgm:ruleLst>
                    <dgm:rule type="primFontSz" val="5" fact="NaN" max="NaN"/>
                  </dgm:ruleLst>
                </dgm:layoutNode>
              </dgm:forEach>
              <dgm:forEach name="Name122" axis="ch" ptType="node" st="4" cnt="1">
                <dgm:layoutNode name="bullet4d" styleLbl="node1">
                  <dgm:alg type="sp"/>
                  <dgm:shape xmlns:r="http://schemas.openxmlformats.org/officeDocument/2006/relationships" type="ellipse" r:blip="">
                    <dgm:adjLst/>
                  </dgm:shape>
                  <dgm:presOf/>
                  <dgm:constrLst/>
                  <dgm:ruleLst/>
                </dgm:layoutNode>
                <dgm:layoutNode name="textBox4d" styleLbl="revTx">
                  <dgm:varLst>
                    <dgm:bulletEnabled val="1"/>
                  </dgm:varLst>
                  <dgm:choose name="Name123">
                    <dgm:if name="Name124" func="var" arg="dir" op="equ" val="norm">
                      <dgm:choose name="Name125">
                        <dgm:if name="Name126" axis="root des" ptType="all node" func="maxDepth" op="gt" val="1">
                          <dgm:alg type="tx">
                            <dgm:param type="txAnchorVert" val="t"/>
                            <dgm:param type="parTxLTRAlign" val="l"/>
                            <dgm:param type="parTxRTLAlign" val="r"/>
                          </dgm:alg>
                        </dgm:if>
                        <dgm:else name="Name127">
                          <dgm:alg type="tx">
                            <dgm:param type="txAnchorVert" val="t"/>
                            <dgm:param type="parTxLTRAlign" val="l"/>
                            <dgm:param type="parTxRTLAlign" val="l"/>
                          </dgm:alg>
                        </dgm:else>
                      </dgm:choose>
                    </dgm:if>
                    <dgm:else name="Name128">
                      <dgm:choose name="Name129">
                        <dgm:if name="Name130" axis="root des" ptType="all node" func="maxDepth" op="gt" val="1">
                          <dgm:alg type="tx">
                            <dgm:param type="txAnchorVert" val="b"/>
                            <dgm:param type="txAnchorVertCh" val="b"/>
                            <dgm:param type="parTxLTRAlign" val="l"/>
                            <dgm:param type="parTxRTLAlign" val="r"/>
                          </dgm:alg>
                        </dgm:if>
                        <dgm:else name="Name13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32">
                    <dgm:if name="Name133" func="var" arg="dir" op="equ" val="norm">
                      <dgm:constrLst>
                        <dgm:constr type="rMarg"/>
                        <dgm:constr type="tMarg"/>
                        <dgm:constr type="bMarg"/>
                      </dgm:constrLst>
                    </dgm:if>
                    <dgm:else name="Name134">
                      <dgm:constrLst>
                        <dgm:constr type="lMarg"/>
                        <dgm:constr type="tMarg"/>
                        <dgm:constr type="bMarg"/>
                      </dgm:constrLst>
                    </dgm:else>
                  </dgm:choose>
                  <dgm:ruleLst>
                    <dgm:rule type="primFontSz" val="5" fact="NaN" max="NaN"/>
                  </dgm:ruleLst>
                </dgm:layoutNode>
              </dgm:forEach>
            </dgm:layoutNode>
          </dgm:if>
          <dgm:else name="Name135">
            <dgm:layoutNode name="arrowDiagram5">
              <dgm:alg type="composite">
                <dgm:param type="vertAlign" val="none"/>
                <dgm:param type="horzAlign" val="none"/>
              </dgm:alg>
              <dgm:shape xmlns:r="http://schemas.openxmlformats.org/officeDocument/2006/relationships" r:blip="">
                <dgm:adjLst/>
              </dgm:shape>
              <dgm:presOf/>
              <dgm:choose name="Name136">
                <dgm:if name="Name137" func="var" arg="dir" op="equ" val="norm">
                  <dgm:constrLst>
                    <dgm:constr type="ctrX" for="ch" forName="bullet5a" refType="w" fact="0.11"/>
                    <dgm:constr type="ctrY" for="ch" forName="bullet5a" refType="h" fact="0.762"/>
                    <dgm:constr type="w" for="ch" forName="bullet5a" refType="w" fact="0.023"/>
                    <dgm:constr type="h" for="ch" forName="bullet5a" refType="w" refFor="ch" refForName="bullet5a"/>
                    <dgm:constr type="l" for="ch" forName="textBox5a" refType="ctrX" refFor="ch" refForName="bullet5a"/>
                    <dgm:constr type="t" for="ch" forName="textBox5a" refType="ctrY" refFor="ch" refForName="bullet5a"/>
                    <dgm:constr type="w" for="ch" forName="textBox5a" refType="w" fact="0.131"/>
                    <dgm:constr type="h" for="ch" forName="textBox5a" refType="h" fact="0.238"/>
                    <dgm:constr type="userA" refType="h" refFor="ch" refForName="bullet5a" fact="0.53"/>
                    <dgm:constr type="l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l" for="ch" forName="textBox5b" refType="ctrX" refFor="ch" refForName="bullet5b"/>
                    <dgm:constr type="t" for="ch" forName="textBox5b" refType="ctrY" refFor="ch" refForName="bullet5b"/>
                    <dgm:constr type="w" for="ch" forName="textBox5b" refType="w" fact="0.166"/>
                    <dgm:constr type="h" for="ch" forName="textBox5b" refType="h" fact="0.419"/>
                    <dgm:constr type="userB" refType="h" refFor="ch" refForName="bullet5b" fact="0.53"/>
                    <dgm:constr type="l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l" for="ch" forName="textBox5c" refType="ctrX" refFor="ch" refForName="bullet5c"/>
                    <dgm:constr type="t" for="ch" forName="textBox5c" refType="ctrY" refFor="ch" refForName="bullet5c"/>
                    <dgm:constr type="w" for="ch" forName="textBox5c" refType="w" fact="0.193"/>
                    <dgm:constr type="h" for="ch" forName="textBox5c" refType="h" fact="0.562"/>
                    <dgm:constr type="userC" refType="h" refFor="ch" refForName="bullet5c" fact="0.53"/>
                    <dgm:constr type="l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l" for="ch" forName="textBox5d" refType="ctrX" refFor="ch" refForName="bullet5d"/>
                    <dgm:constr type="t" for="ch" forName="textBox5d" refType="ctrY" refFor="ch" refForName="bullet5d"/>
                    <dgm:constr type="w" for="ch" forName="textBox5d" refType="w" fact="0.2"/>
                    <dgm:constr type="h" for="ch" forName="textBox5d" refType="h" fact="0.67"/>
                    <dgm:constr type="userD" refType="h" refFor="ch" refForName="bullet5d" fact="0.53"/>
                    <dgm:constr type="l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l" for="ch" forName="textBox5e" refType="ctrX" refFor="ch" refForName="bullet5e"/>
                    <dgm:constr type="t" for="ch" forName="textBox5e" refType="ctrY" refFor="ch" refForName="bullet5e"/>
                    <dgm:constr type="w" for="ch" forName="textBox5e" refType="w" fact="0.2"/>
                    <dgm:constr type="h" for="ch" forName="textBox5e" refType="h" fact="0.736"/>
                    <dgm:constr type="userE" refType="h" refFor="ch" refForName="bullet5e" fact="0.53"/>
                    <dgm:constr type="lMarg" for="ch" forName="textBox5e" refType="userE" fact="2.834"/>
                    <dgm:constr type="primFontSz" for="ch" ptType="node" op="equ" val="65"/>
                  </dgm:constrLst>
                </dgm:if>
                <dgm:else name="Name138">
                  <dgm:constrLst>
                    <dgm:constr type="ctrX" for="ch" forName="bullet5a" refType="w" fact="0.11"/>
                    <dgm:constr type="ctrY" for="ch" forName="bullet5a" refType="h" fact="0.762"/>
                    <dgm:constr type="w" for="ch" forName="bullet5a" refType="w" fact="0.023"/>
                    <dgm:constr type="h" for="ch" forName="bullet5a" refType="w" refFor="ch" refForName="bullet5a"/>
                    <dgm:constr type="r" for="ch" forName="textBox5a" refType="ctrX" refFor="ch" refForName="bullet5a"/>
                    <dgm:constr type="b" for="ch" forName="textBox5a" refType="ctrY" refFor="ch" refForName="bullet5a"/>
                    <dgm:constr type="w" for="ch" forName="textBox5a" refType="w" fact="0.11"/>
                    <dgm:constr type="h" for="ch" forName="textBox5a" refType="h" fact="0.762"/>
                    <dgm:constr type="userA" refType="h" refFor="ch" refForName="bullet5a" fact="0.53"/>
                    <dgm:constr type="r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r" for="ch" forName="textBox5b" refType="ctrX" refFor="ch" refForName="bullet5b"/>
                    <dgm:constr type="b" for="ch" forName="textBox5b" refType="ctrY" refFor="ch" refForName="bullet5b"/>
                    <dgm:constr type="w" for="ch" forName="textBox5b" refType="w" fact="0.131"/>
                    <dgm:constr type="h" for="ch" forName="textBox5b" refType="h" fact="0.581"/>
                    <dgm:constr type="userB" refType="h" refFor="ch" refForName="bullet5b" fact="0.53"/>
                    <dgm:constr type="r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r" for="ch" forName="textBox5c" refType="ctrX" refFor="ch" refForName="bullet5c"/>
                    <dgm:constr type="b" for="ch" forName="textBox5c" refType="ctrY" refFor="ch" refForName="bullet5c"/>
                    <dgm:constr type="w" for="ch" forName="textBox5c" refType="w" fact="0.166"/>
                    <dgm:constr type="h" for="ch" forName="textBox5c" refType="h" fact="0.438"/>
                    <dgm:constr type="userC" refType="h" refFor="ch" refForName="bullet5c" fact="0.53"/>
                    <dgm:constr type="r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r" for="ch" forName="textBox5d" refType="ctrX" refFor="ch" refForName="bullet5d"/>
                    <dgm:constr type="b" for="ch" forName="textBox5d" refType="ctrY" refFor="ch" refForName="bullet5d"/>
                    <dgm:constr type="w" for="ch" forName="textBox5d" refType="w" fact="0.193"/>
                    <dgm:constr type="h" for="ch" forName="textBox5d" refType="h" fact="0.33"/>
                    <dgm:constr type="userD" refType="h" refFor="ch" refForName="bullet5d" fact="0.53"/>
                    <dgm:constr type="r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r" for="ch" forName="textBox5e" refType="ctrX" refFor="ch" refForName="bullet5e"/>
                    <dgm:constr type="b" for="ch" forName="textBox5e" refType="ctrY" refFor="ch" refForName="bullet5e"/>
                    <dgm:constr type="w" for="ch" forName="textBox5e" refType="w" fact="0.2"/>
                    <dgm:constr type="h" for="ch" forName="textBox5e" refType="h" fact="0.264"/>
                    <dgm:constr type="userE" refType="h" refFor="ch" refForName="bullet5e" fact="0.53"/>
                    <dgm:constr type="rMarg" for="ch" forName="textBox5e" refType="userE" fact="2.834"/>
                    <dgm:constr type="primFontSz" for="ch" ptType="node" op="equ" val="65"/>
                  </dgm:constrLst>
                </dgm:else>
              </dgm:choose>
              <dgm:ruleLst/>
              <dgm:forEach name="Name139" axis="ch" ptType="node" cnt="1">
                <dgm:layoutNode name="bullet5a" styleLbl="node1">
                  <dgm:alg type="sp"/>
                  <dgm:shape xmlns:r="http://schemas.openxmlformats.org/officeDocument/2006/relationships" type="ellipse" r:blip="">
                    <dgm:adjLst/>
                  </dgm:shape>
                  <dgm:presOf/>
                  <dgm:constrLst/>
                  <dgm:ruleLst/>
                </dgm:layoutNode>
                <dgm:layoutNode name="textBox5a" styleLbl="revTx">
                  <dgm:varLst>
                    <dgm:bulletEnabled val="1"/>
                  </dgm:varLst>
                  <dgm:choose name="Name140">
                    <dgm:if name="Name141" func="var" arg="dir" op="equ" val="norm">
                      <dgm:choose name="Name142">
                        <dgm:if name="Name143" axis="root des" ptType="all node" func="maxDepth" op="gt" val="1">
                          <dgm:alg type="tx">
                            <dgm:param type="txAnchorVert" val="t"/>
                            <dgm:param type="parTxLTRAlign" val="l"/>
                            <dgm:param type="parTxRTLAlign" val="r"/>
                          </dgm:alg>
                        </dgm:if>
                        <dgm:else name="Name144">
                          <dgm:alg type="tx">
                            <dgm:param type="txAnchorVert" val="t"/>
                            <dgm:param type="parTxLTRAlign" val="l"/>
                            <dgm:param type="parTxRTLAlign" val="l"/>
                          </dgm:alg>
                        </dgm:else>
                      </dgm:choose>
                    </dgm:if>
                    <dgm:else name="Name145">
                      <dgm:choose name="Name146">
                        <dgm:if name="Name147" axis="root des" ptType="all node" func="maxDepth" op="gt" val="1">
                          <dgm:alg type="tx">
                            <dgm:param type="txAnchorVert" val="b"/>
                            <dgm:param type="txAnchorVertCh" val="b"/>
                            <dgm:param type="parTxLTRAlign" val="l"/>
                            <dgm:param type="parTxRTLAlign" val="r"/>
                          </dgm:alg>
                        </dgm:if>
                        <dgm:else name="Name14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49">
                    <dgm:if name="Name150" func="var" arg="dir" op="equ" val="norm">
                      <dgm:constrLst>
                        <dgm:constr type="rMarg"/>
                        <dgm:constr type="tMarg"/>
                        <dgm:constr type="bMarg"/>
                      </dgm:constrLst>
                    </dgm:if>
                    <dgm:else name="Name151">
                      <dgm:constrLst>
                        <dgm:constr type="lMarg"/>
                        <dgm:constr type="tMarg"/>
                        <dgm:constr type="bMarg"/>
                      </dgm:constrLst>
                    </dgm:else>
                  </dgm:choose>
                  <dgm:ruleLst>
                    <dgm:rule type="primFontSz" val="5" fact="NaN" max="NaN"/>
                  </dgm:ruleLst>
                </dgm:layoutNode>
              </dgm:forEach>
              <dgm:forEach name="Name152" axis="ch" ptType="node" st="2" cnt="1">
                <dgm:layoutNode name="bullet5b" styleLbl="node1">
                  <dgm:alg type="sp"/>
                  <dgm:shape xmlns:r="http://schemas.openxmlformats.org/officeDocument/2006/relationships" type="ellipse" r:blip="">
                    <dgm:adjLst/>
                  </dgm:shape>
                  <dgm:presOf/>
                  <dgm:constrLst/>
                  <dgm:ruleLst/>
                </dgm:layoutNode>
                <dgm:layoutNode name="textBox5b" styleLbl="revTx">
                  <dgm:varLst>
                    <dgm:bulletEnabled val="1"/>
                  </dgm:varLst>
                  <dgm:choose name="Name153">
                    <dgm:if name="Name154" func="var" arg="dir" op="equ" val="norm">
                      <dgm:choose name="Name155">
                        <dgm:if name="Name156" axis="root des" ptType="all node" func="maxDepth" op="gt" val="1">
                          <dgm:alg type="tx">
                            <dgm:param type="txAnchorVert" val="t"/>
                            <dgm:param type="parTxLTRAlign" val="l"/>
                            <dgm:param type="parTxRTLAlign" val="r"/>
                          </dgm:alg>
                        </dgm:if>
                        <dgm:else name="Name157">
                          <dgm:alg type="tx">
                            <dgm:param type="txAnchorVert" val="t"/>
                            <dgm:param type="parTxLTRAlign" val="l"/>
                            <dgm:param type="parTxRTLAlign" val="l"/>
                          </dgm:alg>
                        </dgm:else>
                      </dgm:choose>
                    </dgm:if>
                    <dgm:else name="Name158">
                      <dgm:choose name="Name159">
                        <dgm:if name="Name160" axis="root des" ptType="all node" func="maxDepth" op="gt" val="1">
                          <dgm:alg type="tx">
                            <dgm:param type="txAnchorVert" val="b"/>
                            <dgm:param type="txAnchorVertCh" val="b"/>
                            <dgm:param type="parTxLTRAlign" val="l"/>
                            <dgm:param type="parTxRTLAlign" val="r"/>
                          </dgm:alg>
                        </dgm:if>
                        <dgm:else name="Name16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62">
                    <dgm:if name="Name163" func="var" arg="dir" op="equ" val="norm">
                      <dgm:constrLst>
                        <dgm:constr type="rMarg"/>
                        <dgm:constr type="tMarg"/>
                        <dgm:constr type="bMarg"/>
                      </dgm:constrLst>
                    </dgm:if>
                    <dgm:else name="Name164">
                      <dgm:constrLst>
                        <dgm:constr type="lMarg"/>
                        <dgm:constr type="tMarg"/>
                        <dgm:constr type="bMarg"/>
                      </dgm:constrLst>
                    </dgm:else>
                  </dgm:choose>
                  <dgm:ruleLst>
                    <dgm:rule type="primFontSz" val="5" fact="NaN" max="NaN"/>
                  </dgm:ruleLst>
                </dgm:layoutNode>
              </dgm:forEach>
              <dgm:forEach name="Name165" axis="ch" ptType="node" st="3" cnt="1">
                <dgm:layoutNode name="bullet5c" styleLbl="node1">
                  <dgm:alg type="sp"/>
                  <dgm:shape xmlns:r="http://schemas.openxmlformats.org/officeDocument/2006/relationships" type="ellipse" r:blip="">
                    <dgm:adjLst/>
                  </dgm:shape>
                  <dgm:presOf/>
                  <dgm:constrLst/>
                  <dgm:ruleLst/>
                </dgm:layoutNode>
                <dgm:layoutNode name="textBox5c" styleLbl="revTx">
                  <dgm:varLst>
                    <dgm:bulletEnabled val="1"/>
                  </dgm:varLst>
                  <dgm:choose name="Name166">
                    <dgm:if name="Name167" func="var" arg="dir" op="equ" val="norm">
                      <dgm:choose name="Name168">
                        <dgm:if name="Name169" axis="root des" ptType="all node" func="maxDepth" op="gt" val="1">
                          <dgm:alg type="tx">
                            <dgm:param type="txAnchorVert" val="t"/>
                            <dgm:param type="parTxLTRAlign" val="l"/>
                            <dgm:param type="parTxRTLAlign" val="r"/>
                          </dgm:alg>
                        </dgm:if>
                        <dgm:else name="Name170">
                          <dgm:alg type="tx">
                            <dgm:param type="txAnchorVert" val="t"/>
                            <dgm:param type="parTxLTRAlign" val="l"/>
                            <dgm:param type="parTxRTLAlign" val="l"/>
                          </dgm:alg>
                        </dgm:else>
                      </dgm:choose>
                    </dgm:if>
                    <dgm:else name="Name171">
                      <dgm:choose name="Name172">
                        <dgm:if name="Name173" axis="root des" ptType="all node" func="maxDepth" op="gt" val="1">
                          <dgm:alg type="tx">
                            <dgm:param type="txAnchorVert" val="b"/>
                            <dgm:param type="txAnchorVertCh" val="b"/>
                            <dgm:param type="parTxLTRAlign" val="l"/>
                            <dgm:param type="parTxRTLAlign" val="r"/>
                          </dgm:alg>
                        </dgm:if>
                        <dgm:else name="Name174">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75">
                    <dgm:if name="Name176" func="var" arg="dir" op="equ" val="norm">
                      <dgm:constrLst>
                        <dgm:constr type="rMarg"/>
                        <dgm:constr type="tMarg"/>
                        <dgm:constr type="bMarg"/>
                      </dgm:constrLst>
                    </dgm:if>
                    <dgm:else name="Name177">
                      <dgm:constrLst>
                        <dgm:constr type="lMarg"/>
                        <dgm:constr type="tMarg"/>
                        <dgm:constr type="bMarg"/>
                      </dgm:constrLst>
                    </dgm:else>
                  </dgm:choose>
                  <dgm:ruleLst>
                    <dgm:rule type="primFontSz" val="5" fact="NaN" max="NaN"/>
                  </dgm:ruleLst>
                </dgm:layoutNode>
              </dgm:forEach>
              <dgm:forEach name="Name178" axis="ch" ptType="node" st="4" cnt="1">
                <dgm:layoutNode name="bullet5d" styleLbl="node1">
                  <dgm:alg type="sp"/>
                  <dgm:shape xmlns:r="http://schemas.openxmlformats.org/officeDocument/2006/relationships" type="ellipse" r:blip="">
                    <dgm:adjLst/>
                  </dgm:shape>
                  <dgm:presOf/>
                  <dgm:constrLst/>
                  <dgm:ruleLst/>
                </dgm:layoutNode>
                <dgm:layoutNode name="textBox5d" styleLbl="revTx">
                  <dgm:varLst>
                    <dgm:bulletEnabled val="1"/>
                  </dgm:varLst>
                  <dgm:choose name="Name179">
                    <dgm:if name="Name180" func="var" arg="dir" op="equ" val="norm">
                      <dgm:choose name="Name181">
                        <dgm:if name="Name182" axis="root des" ptType="all node" func="maxDepth" op="gt" val="1">
                          <dgm:alg type="tx">
                            <dgm:param type="txAnchorVert" val="t"/>
                            <dgm:param type="parTxLTRAlign" val="l"/>
                            <dgm:param type="parTxRTLAlign" val="r"/>
                          </dgm:alg>
                        </dgm:if>
                        <dgm:else name="Name183">
                          <dgm:alg type="tx">
                            <dgm:param type="txAnchorVert" val="t"/>
                            <dgm:param type="parTxLTRAlign" val="l"/>
                            <dgm:param type="parTxRTLAlign" val="l"/>
                          </dgm:alg>
                        </dgm:else>
                      </dgm:choose>
                    </dgm:if>
                    <dgm:else name="Name184">
                      <dgm:choose name="Name185">
                        <dgm:if name="Name186" axis="root des" ptType="all node" func="maxDepth" op="gt" val="1">
                          <dgm:alg type="tx">
                            <dgm:param type="txAnchorVert" val="b"/>
                            <dgm:param type="txAnchorVertCh" val="b"/>
                            <dgm:param type="parTxLTRAlign" val="l"/>
                            <dgm:param type="parTxRTLAlign" val="r"/>
                          </dgm:alg>
                        </dgm:if>
                        <dgm:else name="Name187">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88">
                    <dgm:if name="Name189" func="var" arg="dir" op="equ" val="norm">
                      <dgm:constrLst>
                        <dgm:constr type="rMarg"/>
                        <dgm:constr type="tMarg"/>
                        <dgm:constr type="bMarg"/>
                      </dgm:constrLst>
                    </dgm:if>
                    <dgm:else name="Name190">
                      <dgm:constrLst>
                        <dgm:constr type="lMarg"/>
                        <dgm:constr type="tMarg"/>
                        <dgm:constr type="bMarg"/>
                      </dgm:constrLst>
                    </dgm:else>
                  </dgm:choose>
                  <dgm:ruleLst>
                    <dgm:rule type="primFontSz" val="5" fact="NaN" max="NaN"/>
                  </dgm:ruleLst>
                </dgm:layoutNode>
              </dgm:forEach>
              <dgm:forEach name="Name191" axis="ch" ptType="node" st="5" cnt="1">
                <dgm:layoutNode name="bullet5e" styleLbl="node1">
                  <dgm:alg type="sp"/>
                  <dgm:shape xmlns:r="http://schemas.openxmlformats.org/officeDocument/2006/relationships" type="ellipse" r:blip="">
                    <dgm:adjLst/>
                  </dgm:shape>
                  <dgm:presOf/>
                  <dgm:constrLst/>
                  <dgm:ruleLst/>
                </dgm:layoutNode>
                <dgm:layoutNode name="textBox5e" styleLbl="revTx">
                  <dgm:varLst>
                    <dgm:bulletEnabled val="1"/>
                  </dgm:varLst>
                  <dgm:choose name="Name192">
                    <dgm:if name="Name193" func="var" arg="dir" op="equ" val="norm">
                      <dgm:choose name="Name194">
                        <dgm:if name="Name195" axis="root des" ptType="all node" func="maxDepth" op="gt" val="1">
                          <dgm:alg type="tx">
                            <dgm:param type="txAnchorVert" val="t"/>
                            <dgm:param type="parTxLTRAlign" val="l"/>
                            <dgm:param type="parTxRTLAlign" val="r"/>
                          </dgm:alg>
                        </dgm:if>
                        <dgm:else name="Name196">
                          <dgm:alg type="tx">
                            <dgm:param type="txAnchorVert" val="t"/>
                            <dgm:param type="parTxLTRAlign" val="l"/>
                            <dgm:param type="parTxRTLAlign" val="l"/>
                          </dgm:alg>
                        </dgm:else>
                      </dgm:choose>
                    </dgm:if>
                    <dgm:else name="Name197">
                      <dgm:choose name="Name198">
                        <dgm:if name="Name199" axis="root des" ptType="all node" func="maxDepth" op="gt" val="1">
                          <dgm:alg type="tx">
                            <dgm:param type="txAnchorVert" val="b"/>
                            <dgm:param type="txAnchorVertCh" val="b"/>
                            <dgm:param type="parTxLTRAlign" val="l"/>
                            <dgm:param type="parTxRTLAlign" val="r"/>
                          </dgm:alg>
                        </dgm:if>
                        <dgm:else name="Name200">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1">
                    <dgm:if name="Name202" func="var" arg="dir" op="equ" val="norm">
                      <dgm:constrLst>
                        <dgm:constr type="rMarg"/>
                        <dgm:constr type="tMarg"/>
                        <dgm:constr type="bMarg"/>
                      </dgm:constrLst>
                    </dgm:if>
                    <dgm:else name="Name203">
                      <dgm:constrLst>
                        <dgm:constr type="lMarg"/>
                        <dgm:constr type="tMarg"/>
                        <dgm:constr type="bMarg"/>
                      </dgm:constrLst>
                    </dgm:else>
                  </dgm:choose>
                  <dgm:ruleLst>
                    <dgm:rule type="primFontSz" val="5" fact="NaN" max="NaN"/>
                  </dgm:ruleLst>
                </dgm:layoutNode>
              </dgm:forEach>
            </dgm:layoutNode>
          </dgm:else>
        </dgm:choose>
      </dgm:if>
      <dgm:else name="Name204"/>
    </dgm:choose>
  </dgm:layoutNode>
</dgm:layoutDef>
</file>

<file path=word/diagrams/layout24.xml><?xml version="1.0" encoding="utf-8"?>
<dgm:layoutDef xmlns:dgm="http://schemas.openxmlformats.org/drawingml/2006/diagram" xmlns:a="http://schemas.openxmlformats.org/drawingml/2006/main" uniqueId="urn:microsoft.com/office/officeart/2005/8/layout/hList3">
  <dgm:title val=""/>
  <dgm:desc val=""/>
  <dgm:catLst>
    <dgm:cat type="list" pri="1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1" destId="2" srcOrd="0" destOrd="0"/>
        <dgm:cxn modelId="7" srcId="1" destId="3" srcOrd="1" destOrd="0"/>
        <dgm:cxn modelId="8" srcId="1" destId="4" srcOrd="2" destOrd="0"/>
      </dgm:cxnLst>
      <dgm:bg/>
      <dgm:whole/>
    </dgm:dataModel>
  </dgm:sampData>
  <dgm:styleData>
    <dgm:dataModel>
      <dgm:ptLst>
        <dgm:pt modelId="0" type="doc"/>
        <dgm:pt modelId="1"/>
        <dgm:pt modelId="2"/>
        <dgm:pt modelId="3"/>
      </dgm:ptLst>
      <dgm:cxnLst>
        <dgm:cxn modelId="5" srcId="0" destId="1" srcOrd="0" destOrd="0"/>
        <dgm:cxn modelId="6" srcId="1" destId="2" srcOrd="0" destOrd="0"/>
        <dgm:cxn modelId="7" srcId="1" destId="3" srcOrd="1" destOrd="0"/>
      </dgm:cxnLst>
      <dgm:bg/>
      <dgm:whole/>
    </dgm:dataModel>
  </dgm:styleData>
  <dgm:clrData>
    <dgm:dataModel>
      <dgm:ptLst>
        <dgm:pt modelId="0" type="doc"/>
        <dgm:pt modelId="1"/>
        <dgm:pt modelId="2"/>
        <dgm:pt modelId="3"/>
        <dgm:pt modelId="4"/>
        <dgm:pt modelId="5"/>
      </dgm:ptLst>
      <dgm:cxnLst>
        <dgm:cxn modelId="6" srcId="0" destId="1" srcOrd="0" destOrd="0"/>
        <dgm:cxn modelId="7" srcId="1" destId="2" srcOrd="0" destOrd="0"/>
        <dgm:cxn modelId="8" srcId="1" destId="3" srcOrd="1" destOrd="0"/>
        <dgm:cxn modelId="9" srcId="1" destId="4" srcOrd="2" destOrd="0"/>
        <dgm:cxn modelId="10" srcId="1" destId="5" srcOrd="3" destOrd="0"/>
      </dgm:cxnLst>
      <dgm:bg/>
      <dgm:whole/>
    </dgm:dataModel>
  </dgm:clrData>
  <dgm:layoutNode name="composite">
    <dgm:varLst>
      <dgm:chMax val="1"/>
      <dgm:dir/>
      <dgm:resizeHandles val="exact"/>
    </dgm:varLst>
    <dgm:alg type="composite"/>
    <dgm:shape xmlns:r="http://schemas.openxmlformats.org/officeDocument/2006/relationships" r:blip="">
      <dgm:adjLst/>
    </dgm:shape>
    <dgm:presOf/>
    <dgm:constrLst>
      <dgm:constr type="w" for="ch" forName="roof" refType="w"/>
      <dgm:constr type="h" for="ch" forName="roof" refType="h" fact="0.3"/>
      <dgm:constr type="primFontSz" for="ch" forName="roof" val="65"/>
      <dgm:constr type="w" for="ch" forName="pillars" refType="w"/>
      <dgm:constr type="h" for="ch" forName="pillars" refType="h" fact="0.63"/>
      <dgm:constr type="t" for="ch" forName="pillars" refType="h" fact="0.3"/>
      <dgm:constr type="primFontSz" for="des" forName="pillar1" val="65"/>
      <dgm:constr type="primFontSz" for="des" forName="pillarX" refType="primFontSz" refFor="des" refForName="pillar1" op="equ"/>
      <dgm:constr type="w" for="ch" forName="base" refType="w"/>
      <dgm:constr type="h" for="ch" forName="base" refType="h" fact="0.07"/>
      <dgm:constr type="t" for="ch" forName="base" refType="h" fact="0.93"/>
    </dgm:constrLst>
    <dgm:ruleLst/>
    <dgm:forEach name="Name0" axis="ch" ptType="node" cnt="1">
      <dgm:layoutNode name="roof" styleLbl="dkBgShp">
        <dgm:alg type="tx"/>
        <dgm:shape xmlns:r="http://schemas.openxmlformats.org/officeDocument/2006/relationships" type="rect" r:blip="">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pillars" styleLbl="node1">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pillar1" refType="w"/>
          <dgm:constr type="h" for="ch" forName="pillar1" refType="h"/>
          <dgm:constr type="w" for="ch" forName="pillarX" refType="w"/>
          <dgm:constr type="h" for="ch" forName="pillarX" refType="h"/>
        </dgm:constrLst>
        <dgm:ruleLst/>
        <dgm:layoutNode name="pillar1" styleLbl="node1">
          <dgm:varLst>
            <dgm:bulletEnabled val="1"/>
          </dgm:varLst>
          <dgm:alg type="tx"/>
          <dgm:shape xmlns:r="http://schemas.openxmlformats.org/officeDocument/2006/relationships" type="rect" r:blip="">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ch" ptType="node" st="2">
          <dgm:layoutNode name="pillarX" styleLbl="node1">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dgm:layoutNode>
      <dgm:layoutNode name="base" styleLbl="dkBgShp">
        <dgm:alg type="sp"/>
        <dgm:shape xmlns:r="http://schemas.openxmlformats.org/officeDocument/2006/relationships" type="rect" r:blip="">
          <dgm:adjLst/>
        </dgm:shape>
        <dgm:presOf/>
        <dgm:constrLst/>
        <dgm:ruleLst/>
      </dgm:layoutNode>
    </dgm:forEach>
  </dgm:layoutNode>
</dgm:layoutDef>
</file>

<file path=word/diagrams/layout2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6.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7.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8.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9.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2">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3">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5.xml><?xml version="1.0" encoding="utf-8"?>
<dgm:styleDef xmlns:dgm="http://schemas.openxmlformats.org/drawingml/2006/diagram" xmlns:a="http://schemas.openxmlformats.org/drawingml/2006/main" uniqueId="urn:microsoft.com/office/officeart/2005/8/quickstyle/simple1#4">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6.xml><?xml version="1.0" encoding="utf-8"?>
<dgm:styleDef xmlns:dgm="http://schemas.openxmlformats.org/drawingml/2006/diagram" xmlns:a="http://schemas.openxmlformats.org/drawingml/2006/main" uniqueId="urn:microsoft.com/office/officeart/2005/8/quickstyle/simple1#5">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7.xml><?xml version="1.0" encoding="utf-8"?>
<dgm:styleDef xmlns:dgm="http://schemas.openxmlformats.org/drawingml/2006/diagram" xmlns:a="http://schemas.openxmlformats.org/drawingml/2006/main" uniqueId="urn:microsoft.com/office/officeart/2005/8/quickstyle/simple1#6">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8.xml><?xml version="1.0" encoding="utf-8"?>
<dgm:styleDef xmlns:dgm="http://schemas.openxmlformats.org/drawingml/2006/diagram" xmlns:a="http://schemas.openxmlformats.org/drawingml/2006/main" uniqueId="urn:microsoft.com/office/officeart/2005/8/quickstyle/simple1#7">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9.xml><?xml version="1.0" encoding="utf-8"?>
<dgm:styleDef xmlns:dgm="http://schemas.openxmlformats.org/drawingml/2006/diagram" xmlns:a="http://schemas.openxmlformats.org/drawingml/2006/main" uniqueId="urn:microsoft.com/office/officeart/2005/8/quickstyle/simple1#8">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640518-336B-477A-A2E7-E7D130F3AD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105394</Words>
  <Characters>600748</Characters>
  <Application>Microsoft Office Word</Application>
  <DocSecurity>0</DocSecurity>
  <Lines>5006</Lines>
  <Paragraphs>1409</Paragraphs>
  <ScaleCrop>false</ScaleCrop>
  <Company/>
  <LinksUpToDate>false</LinksUpToDate>
  <CharactersWithSpaces>704733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2017-10-13T06:51:00Z</dcterms:created>
  <dcterms:modified xsi:type="dcterms:W3CDTF">2017-10-13T07:21:00Z</dcterms:modified>
</cp:coreProperties>
</file>